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0E0F" w14:textId="77777777" w:rsidR="007A5306" w:rsidRDefault="00000000">
      <w:pPr>
        <w:spacing w:after="16" w:line="259" w:lineRule="auto"/>
        <w:ind w:left="0" w:firstLine="0"/>
      </w:pPr>
      <w:r>
        <w:rPr>
          <w:sz w:val="23"/>
        </w:rPr>
        <w:t xml:space="preserve"> </w:t>
      </w:r>
    </w:p>
    <w:p w14:paraId="644A5460" w14:textId="77777777" w:rsidR="007A5306" w:rsidRDefault="00000000">
      <w:pPr>
        <w:spacing w:after="0" w:line="259" w:lineRule="auto"/>
        <w:ind w:left="0" w:firstLine="0"/>
      </w:pPr>
      <w:r>
        <w:rPr>
          <w:sz w:val="23"/>
        </w:rPr>
        <w:t xml:space="preserve"> </w:t>
      </w:r>
      <w:r>
        <w:rPr>
          <w:b/>
          <w:sz w:val="27"/>
        </w:rPr>
        <w:t>The OU-ISIR Gait Database, Similar Action Inertial Dataset</w:t>
      </w:r>
      <w:r>
        <w:rPr>
          <w:sz w:val="27"/>
        </w:rPr>
        <w:t xml:space="preserve"> </w:t>
      </w:r>
    </w:p>
    <w:p w14:paraId="1293DBB1" w14:textId="77777777" w:rsidR="007A5306" w:rsidRDefault="00000000">
      <w:pPr>
        <w:spacing w:after="0" w:line="259" w:lineRule="auto"/>
        <w:ind w:left="0" w:firstLine="0"/>
      </w:pPr>
      <w:r>
        <w:rPr>
          <w:b/>
        </w:rPr>
        <w:t xml:space="preserve"> </w:t>
      </w:r>
    </w:p>
    <w:p w14:paraId="4D5FCF98" w14:textId="77777777" w:rsidR="007A5306" w:rsidRDefault="00000000">
      <w:pPr>
        <w:pStyle w:val="Heading1"/>
        <w:ind w:left="-5"/>
      </w:pPr>
      <w:r>
        <w:t xml:space="preserve">Introduction </w:t>
      </w:r>
      <w:r>
        <w:rPr>
          <w:b w:val="0"/>
        </w:rPr>
        <w:t xml:space="preserve"> </w:t>
      </w:r>
    </w:p>
    <w:p w14:paraId="6FABE032" w14:textId="77777777" w:rsidR="007A5306" w:rsidRDefault="00000000">
      <w:pPr>
        <w:ind w:left="-5"/>
      </w:pPr>
      <w:r>
        <w:t xml:space="preserve">The OU-ISIR Gait Database is meant to aid research efforts in the general area of developing, testing and evaluating algorithms for gait-based human and action recognition. The Institute of Scientific and Industrial Research (ISIR), Osaka University (OU) has copyright in the collection of gait and associated data and serves as a distributor of the OU-ISIR Gait Database.  </w:t>
      </w:r>
    </w:p>
    <w:p w14:paraId="2FC4C02C" w14:textId="77777777" w:rsidR="007A5306" w:rsidRDefault="00000000">
      <w:pPr>
        <w:spacing w:after="0" w:line="259" w:lineRule="auto"/>
        <w:ind w:left="0" w:firstLine="0"/>
      </w:pPr>
      <w:r>
        <w:rPr>
          <w:b/>
        </w:rPr>
        <w:t xml:space="preserve"> </w:t>
      </w:r>
    </w:p>
    <w:p w14:paraId="2A0D21F1" w14:textId="77777777" w:rsidR="007A5306" w:rsidRDefault="00000000">
      <w:pPr>
        <w:pStyle w:val="Heading1"/>
        <w:ind w:left="-5"/>
      </w:pPr>
      <w:r>
        <w:t xml:space="preserve">Release of the Database </w:t>
      </w:r>
      <w:r>
        <w:rPr>
          <w:b w:val="0"/>
        </w:rPr>
        <w:t xml:space="preserve"> </w:t>
      </w:r>
    </w:p>
    <w:p w14:paraId="54DBD8BE" w14:textId="77777777" w:rsidR="007A5306" w:rsidRDefault="00000000">
      <w:pPr>
        <w:ind w:left="-5"/>
      </w:pPr>
      <w:r>
        <w:t xml:space="preserve">This database could be downloaded as a zipped file with password protection and the password will be issued on a case-by-case basis. To receive the password, the requestor must sign this document and send it to the database administrator by mail, e-mail, or FAX. In addition to other possible remedies, failure to observe these restrictions may result in access being denied for the database.  </w:t>
      </w:r>
    </w:p>
    <w:p w14:paraId="1116C1B9" w14:textId="77777777" w:rsidR="007A5306" w:rsidRDefault="00000000">
      <w:pPr>
        <w:pStyle w:val="Heading1"/>
        <w:ind w:left="-5"/>
      </w:pPr>
      <w:r>
        <w:t xml:space="preserve">Consent </w:t>
      </w:r>
      <w:r>
        <w:rPr>
          <w:b w:val="0"/>
        </w:rPr>
        <w:t xml:space="preserve"> </w:t>
      </w:r>
    </w:p>
    <w:p w14:paraId="3112A1BC" w14:textId="77777777" w:rsidR="007A5306" w:rsidRDefault="00000000">
      <w:pPr>
        <w:ind w:left="-5"/>
      </w:pPr>
      <w:r>
        <w:t xml:space="preserve">The researcher(s) agrees to the following restrictions on the OU-ISIR Gait Database:  </w:t>
      </w:r>
    </w:p>
    <w:p w14:paraId="32D386BC" w14:textId="77777777" w:rsidR="007A5306" w:rsidRDefault="00000000">
      <w:pPr>
        <w:spacing w:after="0" w:line="259" w:lineRule="auto"/>
        <w:ind w:left="0" w:firstLine="0"/>
      </w:pPr>
      <w:r>
        <w:t xml:space="preserve"> </w:t>
      </w:r>
    </w:p>
    <w:p w14:paraId="77E4A12D" w14:textId="77777777" w:rsidR="007A5306" w:rsidRDefault="00000000">
      <w:pPr>
        <w:numPr>
          <w:ilvl w:val="0"/>
          <w:numId w:val="1"/>
        </w:numPr>
      </w:pPr>
      <w:r>
        <w:rPr>
          <w:b/>
        </w:rPr>
        <w:t>Redistribution</w:t>
      </w:r>
      <w:r>
        <w:t xml:space="preserve">: Without prior written approval from the database administrator, the OU-ISIR Gait Database, in whole or in part, will not be further distributed, published, copied, or disseminated in any way or form whatsoever, whether for profit or not. This includes further distributing, copying or disseminating to a different facility or organizational unit in the requesting university, organization, or company.  </w:t>
      </w:r>
    </w:p>
    <w:p w14:paraId="1908351C" w14:textId="77777777" w:rsidR="007A5306" w:rsidRDefault="00000000">
      <w:pPr>
        <w:spacing w:after="0" w:line="259" w:lineRule="auto"/>
        <w:ind w:left="0" w:firstLine="0"/>
      </w:pPr>
      <w:r>
        <w:t xml:space="preserve"> </w:t>
      </w:r>
    </w:p>
    <w:p w14:paraId="6AEA2D17" w14:textId="77777777" w:rsidR="007A5306" w:rsidRDefault="00000000">
      <w:pPr>
        <w:numPr>
          <w:ilvl w:val="0"/>
          <w:numId w:val="1"/>
        </w:numPr>
      </w:pPr>
      <w:r>
        <w:rPr>
          <w:b/>
        </w:rPr>
        <w:t>Modification and Commercial Use</w:t>
      </w:r>
      <w:r>
        <w:t xml:space="preserve">: The OU-ISIR Gait Database, in whole or in part, may not be modified or used for commercial purposes.  </w:t>
      </w:r>
    </w:p>
    <w:p w14:paraId="34D0B4DB" w14:textId="77777777" w:rsidR="007A5306" w:rsidRDefault="00000000">
      <w:pPr>
        <w:spacing w:after="0" w:line="259" w:lineRule="auto"/>
        <w:ind w:left="0" w:firstLine="0"/>
      </w:pPr>
      <w:r>
        <w:t xml:space="preserve"> </w:t>
      </w:r>
    </w:p>
    <w:p w14:paraId="45B705CF" w14:textId="77777777" w:rsidR="007A5306" w:rsidRDefault="00000000">
      <w:pPr>
        <w:numPr>
          <w:ilvl w:val="0"/>
          <w:numId w:val="1"/>
        </w:numPr>
      </w:pPr>
      <w:r>
        <w:rPr>
          <w:b/>
        </w:rPr>
        <w:t>Requests for the OU-ISIR Gait Database</w:t>
      </w:r>
      <w:r>
        <w:t xml:space="preserve">: All requests for the OU-ISIR Gait Database will be forwarded to the database administrator.  </w:t>
      </w:r>
    </w:p>
    <w:p w14:paraId="19669E48" w14:textId="77777777" w:rsidR="007A5306" w:rsidRDefault="00000000">
      <w:pPr>
        <w:spacing w:after="0" w:line="259" w:lineRule="auto"/>
        <w:ind w:left="0" w:firstLine="0"/>
      </w:pPr>
      <w:r>
        <w:t xml:space="preserve"> </w:t>
      </w:r>
    </w:p>
    <w:p w14:paraId="10D2FFF5" w14:textId="77777777" w:rsidR="007A5306" w:rsidRDefault="00000000">
      <w:pPr>
        <w:numPr>
          <w:ilvl w:val="0"/>
          <w:numId w:val="1"/>
        </w:numPr>
      </w:pPr>
      <w:r>
        <w:rPr>
          <w:b/>
        </w:rPr>
        <w:t>Publication Requirements</w:t>
      </w:r>
      <w:r>
        <w:t xml:space="preserve">: Those seeking to include more than 1 second of inertial signal sequence from the OU-ISIR Gait Database in reports, papers, and other documents to be published or released must first obtain approval in writing from the database administrator. In no case should the signals be used in any way that could cause the original subject embarrassment or mental anguish.  </w:t>
      </w:r>
    </w:p>
    <w:p w14:paraId="09B21EA4" w14:textId="77777777" w:rsidR="007A5306" w:rsidRDefault="00000000">
      <w:pPr>
        <w:spacing w:after="0" w:line="259" w:lineRule="auto"/>
        <w:ind w:left="0" w:firstLine="0"/>
      </w:pPr>
      <w:r>
        <w:t xml:space="preserve"> </w:t>
      </w:r>
    </w:p>
    <w:p w14:paraId="114E3BBE" w14:textId="77777777" w:rsidR="007A5306" w:rsidRDefault="00000000">
      <w:pPr>
        <w:numPr>
          <w:ilvl w:val="0"/>
          <w:numId w:val="1"/>
        </w:numPr>
      </w:pPr>
      <w:r>
        <w:rPr>
          <w:b/>
        </w:rPr>
        <w:t>Citation/Reference</w:t>
      </w:r>
      <w:r>
        <w:t xml:space="preserve">: All documents and papers that report on research that uses the OU-ISIR Gait Database will acknowledge the use of the database by including an appropriate citation to the following:  </w:t>
      </w:r>
    </w:p>
    <w:p w14:paraId="0156AA6A" w14:textId="77777777" w:rsidR="007A5306" w:rsidRDefault="00000000">
      <w:pPr>
        <w:spacing w:after="0" w:line="259" w:lineRule="auto"/>
        <w:ind w:left="0" w:firstLine="0"/>
      </w:pPr>
      <w:r>
        <w:t xml:space="preserve"> </w:t>
      </w:r>
    </w:p>
    <w:p w14:paraId="74D4556F" w14:textId="77777777" w:rsidR="007A5306" w:rsidRDefault="00000000">
      <w:pPr>
        <w:spacing w:after="0" w:line="240" w:lineRule="auto"/>
        <w:ind w:left="0" w:firstLine="0"/>
      </w:pPr>
      <w:r>
        <w:rPr>
          <w:i/>
        </w:rPr>
        <w:t xml:space="preserve">Thanh Trung Ngo, Yasushi </w:t>
      </w:r>
      <w:proofErr w:type="spellStart"/>
      <w:r>
        <w:rPr>
          <w:i/>
        </w:rPr>
        <w:t>Makihara</w:t>
      </w:r>
      <w:proofErr w:type="spellEnd"/>
      <w:r>
        <w:rPr>
          <w:i/>
        </w:rPr>
        <w:t xml:space="preserve">, Hajime Nagahara, Yasuhiro </w:t>
      </w:r>
      <w:proofErr w:type="spellStart"/>
      <w:r>
        <w:rPr>
          <w:i/>
        </w:rPr>
        <w:t>Mukaigawa,Yasushi</w:t>
      </w:r>
      <w:proofErr w:type="spellEnd"/>
      <w:r>
        <w:rPr>
          <w:i/>
        </w:rPr>
        <w:t xml:space="preserve"> Yagi, "</w:t>
      </w:r>
      <w:r>
        <w:rPr>
          <w:b/>
          <w:i/>
        </w:rPr>
        <w:t>Similar gait action recognition using an inertial sensor</w:t>
      </w:r>
      <w:r>
        <w:rPr>
          <w:i/>
        </w:rPr>
        <w:t xml:space="preserve">," Pattern Recognition Vol.48 (4), pp. 1289-1301, 2015  </w:t>
      </w:r>
    </w:p>
    <w:p w14:paraId="10DE749F" w14:textId="77777777" w:rsidR="007A5306" w:rsidRDefault="00000000">
      <w:pPr>
        <w:spacing w:after="0" w:line="259" w:lineRule="auto"/>
        <w:ind w:left="0" w:firstLine="0"/>
      </w:pPr>
      <w:r>
        <w:t xml:space="preserve"> </w:t>
      </w:r>
    </w:p>
    <w:p w14:paraId="412CA8FD" w14:textId="77777777" w:rsidR="007A5306" w:rsidRDefault="00000000">
      <w:pPr>
        <w:numPr>
          <w:ilvl w:val="0"/>
          <w:numId w:val="1"/>
        </w:numPr>
      </w:pPr>
      <w:r>
        <w:rPr>
          <w:b/>
        </w:rPr>
        <w:t>Publications to Osaka University</w:t>
      </w:r>
      <w:r>
        <w:t xml:space="preserve">: A copy of all reports and papers that are for public or general release that use the database should be forwarded immediately upon release or publication to the database administrator.  </w:t>
      </w:r>
    </w:p>
    <w:p w14:paraId="695BD8B6" w14:textId="77777777" w:rsidR="007A5306" w:rsidRDefault="00000000">
      <w:pPr>
        <w:spacing w:after="0" w:line="259" w:lineRule="auto"/>
        <w:ind w:left="0" w:firstLine="0"/>
      </w:pPr>
      <w:r>
        <w:t xml:space="preserve"> </w:t>
      </w:r>
    </w:p>
    <w:p w14:paraId="0395A00D" w14:textId="77777777" w:rsidR="007A5306" w:rsidRDefault="00000000">
      <w:pPr>
        <w:numPr>
          <w:ilvl w:val="0"/>
          <w:numId w:val="1"/>
        </w:numPr>
      </w:pPr>
      <w:r>
        <w:rPr>
          <w:b/>
        </w:rPr>
        <w:t>Indemnification</w:t>
      </w:r>
      <w:r>
        <w:t xml:space="preserve">: Researcher agrees to indemnify, defend, and hold harmless the Institute of Scientific and Industrial Research, Osaka University and its Board of Trustees, officers, employees and agents, individually and collectively, from </w:t>
      </w:r>
      <w:proofErr w:type="gramStart"/>
      <w:r>
        <w:t>any and all</w:t>
      </w:r>
      <w:proofErr w:type="gramEnd"/>
      <w:r>
        <w:t xml:space="preserve"> losses, expenses, damages, demands and/or claims based upon any such injury or damage (real or alleged) and shall pay all damages, claims, judgments or expenses resulting from researcher’s use of the database.  </w:t>
      </w:r>
    </w:p>
    <w:p w14:paraId="1E29D5B6" w14:textId="77777777" w:rsidR="007A5306" w:rsidRDefault="00000000">
      <w:pPr>
        <w:spacing w:after="5" w:line="259" w:lineRule="auto"/>
        <w:ind w:left="104" w:firstLine="0"/>
      </w:pPr>
      <w:r>
        <w:t xml:space="preserve"> </w:t>
      </w:r>
      <w:r>
        <w:tab/>
        <w:t xml:space="preserve"> </w:t>
      </w:r>
    </w:p>
    <w:p w14:paraId="65F17148" w14:textId="77777777" w:rsidR="007A5306" w:rsidRDefault="00000000">
      <w:pPr>
        <w:spacing w:after="33" w:line="259" w:lineRule="auto"/>
        <w:ind w:left="67" w:firstLine="0"/>
      </w:pPr>
      <w:r>
        <w:rPr>
          <w:rFonts w:ascii="Calibri" w:eastAsia="Calibri" w:hAnsi="Calibri" w:cs="Calibri"/>
          <w:noProof/>
          <w:sz w:val="22"/>
        </w:rPr>
        <mc:AlternateContent>
          <mc:Choice Requires="wpg">
            <w:drawing>
              <wp:inline distT="0" distB="0" distL="0" distR="0" wp14:anchorId="2BB030D4" wp14:editId="214DF23C">
                <wp:extent cx="6496813" cy="21337"/>
                <wp:effectExtent l="0" t="0" r="0" b="0"/>
                <wp:docPr id="1348" name="Group 1348"/>
                <wp:cNvGraphicFramePr/>
                <a:graphic xmlns:a="http://schemas.openxmlformats.org/drawingml/2006/main">
                  <a:graphicData uri="http://schemas.microsoft.com/office/word/2010/wordprocessingGroup">
                    <wpg:wgp>
                      <wpg:cNvGrpSpPr/>
                      <wpg:grpSpPr>
                        <a:xfrm>
                          <a:off x="0" y="0"/>
                          <a:ext cx="6496813" cy="21337"/>
                          <a:chOff x="0" y="0"/>
                          <a:chExt cx="6496813" cy="21337"/>
                        </a:xfrm>
                      </wpg:grpSpPr>
                      <wps:wsp>
                        <wps:cNvPr id="1733" name="Shape 1733"/>
                        <wps:cNvSpPr/>
                        <wps:spPr>
                          <a:xfrm>
                            <a:off x="0" y="9144"/>
                            <a:ext cx="1636776" cy="9144"/>
                          </a:xfrm>
                          <a:custGeom>
                            <a:avLst/>
                            <a:gdLst/>
                            <a:ahLst/>
                            <a:cxnLst/>
                            <a:rect l="0" t="0" r="0" b="0"/>
                            <a:pathLst>
                              <a:path w="1636776" h="9144">
                                <a:moveTo>
                                  <a:pt x="0" y="0"/>
                                </a:moveTo>
                                <a:lnTo>
                                  <a:pt x="1636776" y="0"/>
                                </a:lnTo>
                                <a:lnTo>
                                  <a:pt x="16367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 name="Shape 1734"/>
                        <wps:cNvSpPr/>
                        <wps:spPr>
                          <a:xfrm>
                            <a:off x="3422142" y="9144"/>
                            <a:ext cx="1586484" cy="9144"/>
                          </a:xfrm>
                          <a:custGeom>
                            <a:avLst/>
                            <a:gdLst/>
                            <a:ahLst/>
                            <a:cxnLst/>
                            <a:rect l="0" t="0" r="0" b="0"/>
                            <a:pathLst>
                              <a:path w="1586484" h="9144">
                                <a:moveTo>
                                  <a:pt x="0" y="0"/>
                                </a:moveTo>
                                <a:lnTo>
                                  <a:pt x="1586484" y="0"/>
                                </a:lnTo>
                                <a:lnTo>
                                  <a:pt x="15864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 name="Shape 1735"/>
                        <wps:cNvSpPr/>
                        <wps:spPr>
                          <a:xfrm>
                            <a:off x="1703832" y="0"/>
                            <a:ext cx="1636776" cy="9144"/>
                          </a:xfrm>
                          <a:custGeom>
                            <a:avLst/>
                            <a:gdLst/>
                            <a:ahLst/>
                            <a:cxnLst/>
                            <a:rect l="0" t="0" r="0" b="0"/>
                            <a:pathLst>
                              <a:path w="1636776" h="9144">
                                <a:moveTo>
                                  <a:pt x="0" y="0"/>
                                </a:moveTo>
                                <a:lnTo>
                                  <a:pt x="1636776" y="0"/>
                                </a:lnTo>
                                <a:lnTo>
                                  <a:pt x="16367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5150358" y="9144"/>
                            <a:ext cx="1346454" cy="12192"/>
                          </a:xfrm>
                          <a:custGeom>
                            <a:avLst/>
                            <a:gdLst/>
                            <a:ahLst/>
                            <a:cxnLst/>
                            <a:rect l="0" t="0" r="0" b="0"/>
                            <a:pathLst>
                              <a:path w="1346454" h="12192">
                                <a:moveTo>
                                  <a:pt x="762" y="0"/>
                                </a:moveTo>
                                <a:lnTo>
                                  <a:pt x="1346454" y="6096"/>
                                </a:lnTo>
                                <a:lnTo>
                                  <a:pt x="1346454" y="12192"/>
                                </a:lnTo>
                                <a:lnTo>
                                  <a:pt x="0" y="609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8" style="width:511.56pt;height:1.68005pt;mso-position-horizontal-relative:char;mso-position-vertical-relative:line" coordsize="64968,213">
                <v:shape id="Shape 1736" style="position:absolute;width:16367;height:91;left:0;top:91;" coordsize="1636776,9144" path="m0,0l1636776,0l1636776,9144l0,9144l0,0">
                  <v:stroke weight="0pt" endcap="flat" joinstyle="miter" miterlimit="10" on="false" color="#000000" opacity="0"/>
                  <v:fill on="true" color="#000000"/>
                </v:shape>
                <v:shape id="Shape 1737" style="position:absolute;width:15864;height:91;left:34221;top:91;" coordsize="1586484,9144" path="m0,0l1586484,0l1586484,9144l0,9144l0,0">
                  <v:stroke weight="0pt" endcap="flat" joinstyle="miter" miterlimit="10" on="false" color="#000000" opacity="0"/>
                  <v:fill on="true" color="#000000"/>
                </v:shape>
                <v:shape id="Shape 1738" style="position:absolute;width:16367;height:91;left:17038;top:0;" coordsize="1636776,9144" path="m0,0l1636776,0l1636776,9144l0,9144l0,0">
                  <v:stroke weight="0pt" endcap="flat" joinstyle="miter" miterlimit="10" on="false" color="#000000" opacity="0"/>
                  <v:fill on="true" color="#000000"/>
                </v:shape>
                <v:shape id="Shape 129" style="position:absolute;width:13464;height:121;left:51503;top:91;" coordsize="1346454,12192" path="m762,0l1346454,6096l1346454,12192l0,6096l762,0x">
                  <v:stroke weight="0pt" endcap="flat" joinstyle="miter" miterlimit="10" on="false" color="#000000" opacity="0"/>
                  <v:fill on="true" color="#000000"/>
                </v:shape>
              </v:group>
            </w:pict>
          </mc:Fallback>
        </mc:AlternateContent>
      </w:r>
    </w:p>
    <w:p w14:paraId="131BC8B8" w14:textId="11A803F7" w:rsidR="007A5306" w:rsidRDefault="00850B0F" w:rsidP="00850B0F">
      <w:pPr>
        <w:ind w:left="114" w:right="1264"/>
      </w:pPr>
      <w:r>
        <w:t>NAME (in capitals)</w:t>
      </w:r>
      <w:r>
        <w:tab/>
        <w:t xml:space="preserve">            </w:t>
      </w:r>
      <w:r>
        <w:t>POSITION</w:t>
      </w:r>
      <w:r>
        <w:tab/>
      </w:r>
      <w:r>
        <w:tab/>
        <w:t xml:space="preserve">         </w:t>
      </w:r>
      <w:r>
        <w:t xml:space="preserve">SIGNATURE  </w:t>
      </w:r>
      <w:r>
        <w:tab/>
      </w:r>
      <w:r>
        <w:tab/>
        <w:t xml:space="preserve">     DATE</w:t>
      </w:r>
      <w:r>
        <w:br/>
        <w:t>HÀ THẾ TRUNG</w:t>
      </w:r>
      <w:r w:rsidR="00000000">
        <w:t xml:space="preserve">                         </w:t>
      </w:r>
      <w:r>
        <w:t xml:space="preserve"> Student</w:t>
      </w:r>
      <w:r w:rsidR="00000000">
        <w:tab/>
        <w:t xml:space="preserve">                                </w:t>
      </w:r>
      <w:r w:rsidR="00292C3F">
        <w:t xml:space="preserve">      </w:t>
      </w:r>
    </w:p>
    <w:p w14:paraId="2BF00001" w14:textId="77777777" w:rsidR="007A5306" w:rsidRDefault="00000000">
      <w:pPr>
        <w:spacing w:after="0" w:line="259" w:lineRule="auto"/>
        <w:ind w:left="55" w:firstLine="0"/>
      </w:pPr>
      <w:r>
        <w:rPr>
          <w:rFonts w:ascii="Calibri" w:eastAsia="Calibri" w:hAnsi="Calibri" w:cs="Calibri"/>
          <w:noProof/>
          <w:sz w:val="22"/>
        </w:rPr>
        <mc:AlternateContent>
          <mc:Choice Requires="wpg">
            <w:drawing>
              <wp:inline distT="0" distB="0" distL="0" distR="0" wp14:anchorId="4652AAA2" wp14:editId="6C68E396">
                <wp:extent cx="6385560" cy="6097"/>
                <wp:effectExtent l="0" t="0" r="0" b="0"/>
                <wp:docPr id="1346" name="Group 1346"/>
                <wp:cNvGraphicFramePr/>
                <a:graphic xmlns:a="http://schemas.openxmlformats.org/drawingml/2006/main">
                  <a:graphicData uri="http://schemas.microsoft.com/office/word/2010/wordprocessingGroup">
                    <wpg:wgp>
                      <wpg:cNvGrpSpPr/>
                      <wpg:grpSpPr>
                        <a:xfrm>
                          <a:off x="0" y="0"/>
                          <a:ext cx="6385560" cy="6097"/>
                          <a:chOff x="0" y="0"/>
                          <a:chExt cx="6385560" cy="6097"/>
                        </a:xfrm>
                      </wpg:grpSpPr>
                      <wps:wsp>
                        <wps:cNvPr id="1739" name="Shape 1739"/>
                        <wps:cNvSpPr/>
                        <wps:spPr>
                          <a:xfrm>
                            <a:off x="0" y="0"/>
                            <a:ext cx="6385560" cy="9144"/>
                          </a:xfrm>
                          <a:custGeom>
                            <a:avLst/>
                            <a:gdLst/>
                            <a:ahLst/>
                            <a:cxnLst/>
                            <a:rect l="0" t="0" r="0" b="0"/>
                            <a:pathLst>
                              <a:path w="6385560" h="9144">
                                <a:moveTo>
                                  <a:pt x="0" y="0"/>
                                </a:moveTo>
                                <a:lnTo>
                                  <a:pt x="6385560" y="0"/>
                                </a:lnTo>
                                <a:lnTo>
                                  <a:pt x="63855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6" style="width:502.8pt;height:0.480042pt;mso-position-horizontal-relative:char;mso-position-vertical-relative:line" coordsize="63855,60">
                <v:shape id="Shape 1740" style="position:absolute;width:63855;height:91;left:0;top:0;" coordsize="6385560,9144" path="m0,0l6385560,0l6385560,9144l0,9144l0,0">
                  <v:stroke weight="0pt" endcap="flat" joinstyle="miter" miterlimit="10" on="false" color="#000000" opacity="0"/>
                  <v:fill on="true" color="#000000"/>
                </v:shape>
              </v:group>
            </w:pict>
          </mc:Fallback>
        </mc:AlternateContent>
      </w:r>
      <w:r>
        <w:t xml:space="preserve"> </w:t>
      </w:r>
    </w:p>
    <w:p w14:paraId="313CF2F1" w14:textId="77777777" w:rsidR="007A5306" w:rsidRDefault="00000000">
      <w:pPr>
        <w:ind w:left="114"/>
      </w:pPr>
      <w:r>
        <w:t xml:space="preserve">ORGANIZATION AND ADDRESS (in capitals) </w:t>
      </w:r>
    </w:p>
    <w:p w14:paraId="0A40D375" w14:textId="351AAF68" w:rsidR="007A5306" w:rsidRDefault="00292C3F">
      <w:pPr>
        <w:spacing w:after="0" w:line="259" w:lineRule="auto"/>
        <w:ind w:left="104" w:firstLine="0"/>
      </w:pPr>
      <w:r>
        <w:t>UNIVERSITY OF GREENWICH VIETNAM (</w:t>
      </w:r>
      <w:proofErr w:type="spellStart"/>
      <w:r>
        <w:t>Hà</w:t>
      </w:r>
      <w:proofErr w:type="spellEnd"/>
      <w:r>
        <w:t xml:space="preserve"> </w:t>
      </w:r>
      <w:proofErr w:type="spellStart"/>
      <w:r>
        <w:t>Nội</w:t>
      </w:r>
      <w:proofErr w:type="spellEnd"/>
      <w:r>
        <w:t>)</w:t>
      </w:r>
    </w:p>
    <w:p w14:paraId="73FCE30D" w14:textId="77777777" w:rsidR="007A5306" w:rsidRDefault="00000000">
      <w:pPr>
        <w:spacing w:after="0" w:line="259" w:lineRule="auto"/>
        <w:ind w:left="55" w:firstLine="0"/>
      </w:pPr>
      <w:r>
        <w:rPr>
          <w:rFonts w:ascii="Calibri" w:eastAsia="Calibri" w:hAnsi="Calibri" w:cs="Calibri"/>
          <w:noProof/>
          <w:sz w:val="22"/>
        </w:rPr>
        <mc:AlternateContent>
          <mc:Choice Requires="wpg">
            <w:drawing>
              <wp:inline distT="0" distB="0" distL="0" distR="0" wp14:anchorId="0EEFF06D" wp14:editId="25E72DB0">
                <wp:extent cx="6385560" cy="6096"/>
                <wp:effectExtent l="0" t="0" r="0" b="0"/>
                <wp:docPr id="1347" name="Group 1347"/>
                <wp:cNvGraphicFramePr/>
                <a:graphic xmlns:a="http://schemas.openxmlformats.org/drawingml/2006/main">
                  <a:graphicData uri="http://schemas.microsoft.com/office/word/2010/wordprocessingGroup">
                    <wpg:wgp>
                      <wpg:cNvGrpSpPr/>
                      <wpg:grpSpPr>
                        <a:xfrm>
                          <a:off x="0" y="0"/>
                          <a:ext cx="6385560" cy="6096"/>
                          <a:chOff x="0" y="0"/>
                          <a:chExt cx="6385560" cy="6096"/>
                        </a:xfrm>
                      </wpg:grpSpPr>
                      <wps:wsp>
                        <wps:cNvPr id="1741" name="Shape 1741"/>
                        <wps:cNvSpPr/>
                        <wps:spPr>
                          <a:xfrm>
                            <a:off x="0" y="0"/>
                            <a:ext cx="6385560" cy="9144"/>
                          </a:xfrm>
                          <a:custGeom>
                            <a:avLst/>
                            <a:gdLst/>
                            <a:ahLst/>
                            <a:cxnLst/>
                            <a:rect l="0" t="0" r="0" b="0"/>
                            <a:pathLst>
                              <a:path w="6385560" h="9144">
                                <a:moveTo>
                                  <a:pt x="0" y="0"/>
                                </a:moveTo>
                                <a:lnTo>
                                  <a:pt x="6385560" y="0"/>
                                </a:lnTo>
                                <a:lnTo>
                                  <a:pt x="63855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7" style="width:502.8pt;height:0.47998pt;mso-position-horizontal-relative:char;mso-position-vertical-relative:line" coordsize="63855,60">
                <v:shape id="Shape 1742" style="position:absolute;width:63855;height:91;left:0;top:0;" coordsize="6385560,9144" path="m0,0l6385560,0l6385560,9144l0,9144l0,0">
                  <v:stroke weight="0pt" endcap="flat" joinstyle="miter" miterlimit="10" on="false" color="#000000" opacity="0"/>
                  <v:fill on="true" color="#000000"/>
                </v:shape>
              </v:group>
            </w:pict>
          </mc:Fallback>
        </mc:AlternateContent>
      </w:r>
      <w:r>
        <w:t xml:space="preserve"> </w:t>
      </w:r>
    </w:p>
    <w:p w14:paraId="00A2F63C" w14:textId="22917DB5" w:rsidR="00850B0F" w:rsidRPr="00850B0F" w:rsidRDefault="00850B0F">
      <w:pPr>
        <w:ind w:left="114"/>
        <w:rPr>
          <w:b/>
          <w:bCs/>
        </w:rPr>
      </w:pPr>
      <w:r w:rsidRPr="00850B0F">
        <w:rPr>
          <w:b/>
          <w:bCs/>
        </w:rPr>
        <w:t>Email</w:t>
      </w:r>
    </w:p>
    <w:p w14:paraId="49817CEA" w14:textId="6E56525F" w:rsidR="007A5306" w:rsidRDefault="00850B0F">
      <w:pPr>
        <w:ind w:left="114"/>
      </w:pPr>
      <w:r>
        <w:t>Trunghtgch200443@fpt.edu.vn</w:t>
      </w:r>
    </w:p>
    <w:p w14:paraId="07A1F294" w14:textId="77777777" w:rsidR="007A5306" w:rsidRDefault="00000000">
      <w:pPr>
        <w:spacing w:after="0" w:line="259" w:lineRule="auto"/>
        <w:ind w:left="0" w:firstLine="0"/>
      </w:pPr>
      <w:r>
        <w:t xml:space="preserve"> </w:t>
      </w:r>
    </w:p>
    <w:p w14:paraId="6AE3DBE0" w14:textId="77777777" w:rsidR="007A5306" w:rsidRDefault="00000000">
      <w:pPr>
        <w:spacing w:after="0" w:line="259" w:lineRule="auto"/>
        <w:ind w:left="0" w:firstLine="0"/>
      </w:pPr>
      <w:r>
        <w:t xml:space="preserve"> </w:t>
      </w:r>
    </w:p>
    <w:p w14:paraId="4276FE7C" w14:textId="77777777" w:rsidR="007A5306" w:rsidRDefault="00000000">
      <w:pPr>
        <w:ind w:left="-5"/>
      </w:pPr>
      <w:r>
        <w:t xml:space="preserve">Mail original to: Yagi Laboratory, Department of Intelligent Media, The Institute of Scientific and Industrial Research, Osaka University, </w:t>
      </w:r>
    </w:p>
    <w:p w14:paraId="6A0DBA47" w14:textId="77777777" w:rsidR="007A5306" w:rsidRDefault="00000000" w:rsidP="00850B0F">
      <w:pPr>
        <w:ind w:left="-5"/>
      </w:pPr>
      <w:r>
        <w:t xml:space="preserve">Address: 8-1 </w:t>
      </w:r>
      <w:proofErr w:type="spellStart"/>
      <w:r>
        <w:t>Mihogaoka</w:t>
      </w:r>
      <w:proofErr w:type="spellEnd"/>
      <w:r>
        <w:t xml:space="preserve">, Ibaraki, Osaka, 567-0047, JAPAN  </w:t>
      </w:r>
    </w:p>
    <w:sectPr w:rsidR="007A5306">
      <w:pgSz w:w="11904" w:h="16840"/>
      <w:pgMar w:top="1440" w:right="704" w:bottom="1440" w:left="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158D"/>
    <w:multiLevelType w:val="hybridMultilevel"/>
    <w:tmpl w:val="020E1D5E"/>
    <w:lvl w:ilvl="0" w:tplc="E8546FBC">
      <w:start w:val="1"/>
      <w:numFmt w:val="decimal"/>
      <w:lvlText w:val="%1."/>
      <w:lvlJc w:val="left"/>
      <w:pPr>
        <w:ind w:left="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39C88B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3A2B7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4E019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6808D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A4AECE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4D665B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E5E8A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2A222C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574320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MzM1MLUwMzS0tDRV0lEKTi0uzszPAykwrAUAwTHTiiwAAAA="/>
  </w:docVars>
  <w:rsids>
    <w:rsidRoot w:val="007A5306"/>
    <w:rsid w:val="002653EA"/>
    <w:rsid w:val="00292C3F"/>
    <w:rsid w:val="007A5306"/>
    <w:rsid w:val="00850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0CA7"/>
  <w15:docId w15:val="{2F671F36-CCFE-4D04-9193-6DD8AA2E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000000"/>
      <w:sz w:val="18"/>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OU-ISIR Gait Database, Similar Action Inertial Dataset</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OU-ISIR Gait Database, Similar Action Inertial Dataset</dc:title>
  <dc:subject/>
  <dc:creator>makihara</dc:creator>
  <cp:keywords/>
  <cp:lastModifiedBy>Trung Ha</cp:lastModifiedBy>
  <cp:revision>4</cp:revision>
  <dcterms:created xsi:type="dcterms:W3CDTF">2023-01-12T03:10:00Z</dcterms:created>
  <dcterms:modified xsi:type="dcterms:W3CDTF">2023-01-12T05:05:00Z</dcterms:modified>
</cp:coreProperties>
</file>