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 w:after="120"/>
        <w:jc w:val="center"/>
      </w:pPr>
      <w:r>
        <w:rPr>
          <w:b/>
          <w:bCs/>
          <w:sz w:val="56"/>
          <w:szCs w:val="56"/>
        </w:rPr>
        <w:t xml:space="preserve">Final Project Proposal</w:t>
      </w:r>
    </w:p>
    <w:p>
      <w:pPr>
        <w:spacing w:after="120"/>
        <w:jc w:val="center"/>
      </w:pPr>
      <w:r>
        <w:rPr>
          <w:sz w:val="28"/>
          <w:szCs w:val="28"/>
        </w:rPr>
        <w:t xml:space="preserve">Namoos Haider and Antonia Sunseri</w:t>
      </w:r>
    </w:p>
    <w:p>
      <w:pPr>
        <w:spacing w:after="480"/>
        <w:jc w:val="center"/>
      </w:pPr>
      <w:r>
        <w:rPr>
          <w:b/>
          <w:bCs/>
          <w:sz w:val="32"/>
          <w:szCs w:val="32"/>
        </w:rPr>
        <w:t xml:space="preserve">Breast Cancer Histopathology Classification Using Deep Learning</w:t>
      </w:r>
    </w:p>
    <w:p>
      <w:pPr>
        <w:pStyle w:val="Heading1"/>
      </w:pPr>
      <w:r>
        <w:t xml:space="preserve">Project Overview</w:t>
      </w:r>
    </w:p>
    <w:p>
      <w:pPr>
        <w:spacing w:after="120"/>
      </w:pPr>
      <w:r>
        <w:t xml:space="preserve">We propose to develop a deep learning system for classifying breast tumor microscopy images as benign or malignant using the BreakHis (Breast Cancer Histopathological Database) from the Federal University of Paraná. Dataset link: </w:t>
      </w:r>
    </w:p>
    <w:p>
      <w:pPr>
        <w:spacing w:after="120"/>
      </w:pPr>
      <w:hyperlink w:history="1" r:id="rIde5sya8owerwm0mnjqi8lb">
        <w:r>
          <w:rPr>
            <w:rStyle w:val="Hyperlink"/>
            <w:sz w:val="22"/>
            <w:szCs w:val="22"/>
          </w:rPr>
          <w:t xml:space="preserve">https://web.inf.ufpr.br/vri/databases/breast-cancer-histopathological-database-breakhis/</w:t>
        </w:r>
      </w:hyperlink>
    </w:p>
    <w:p>
      <w:pPr>
        <w:spacing w:after="120"/>
      </w:pPr>
      <w:r>
        <w:t xml:space="preserve">This dataset contains 9,109 microscopic images captured at four different magnification levels (40X, 100X, 200X, and 400X), which presents a unique challenge not typically found in standard image classification tasks.</w:t>
      </w:r>
    </w:p>
    <w:p>
      <w:pPr>
        <w:spacing w:after="240"/>
      </w:pPr>
      <w:r>
        <w:t xml:space="preserve">The multi-magnification aspect of this dataset makes it particularly interesting from both a technical and clinical perspective. Pathologists examine tissue samples at different magnifications to identify cellular and structural patterns, and our system aims to replicate this multi-scale analysis through deep learning.</w:t>
      </w:r>
    </w:p>
    <w:p>
      <w:pPr>
        <w:pStyle w:val="Heading1"/>
      </w:pPr>
      <w:r>
        <w:t xml:space="preserve">What Makes Our Approach Different</w:t>
      </w:r>
    </w:p>
    <w:p>
      <w:pPr>
        <w:spacing w:after="120"/>
      </w:pPr>
      <w:r>
        <w:t xml:space="preserve">After reviewing the limited existing work on this dataset, we have identified several gaps that distinguish our approach from standard implementations:</w:t>
      </w:r>
    </w:p>
    <w:p>
      <w:pPr>
        <w:pStyle w:val="Heading2"/>
      </w:pPr>
      <w:r>
        <w:t xml:space="preserve">1. Multi-Scale Fusion Architecture</w:t>
      </w:r>
    </w:p>
    <w:p>
      <w:pPr>
        <w:spacing w:after="120"/>
      </w:pPr>
      <w:r>
        <w:t xml:space="preserve">Rather than training independent models for each magnification level, which is the conventional approach, we plan to design an architecture that learns cross-magnification features. The hypothesis is that cellular patterns visible at 40X might correlate with structural patterns at 400X, and explicitly modeling these relationships could improve classification accuracy. Our experiments will include:</w:t>
      </w:r>
    </w:p>
    <w:p>
      <w:pPr>
        <w:pStyle w:val="ListParagraph"/>
        <w:numPr>
          <w:ilvl w:val="0"/>
          <w:numId w:val="2"/>
        </w:numPr>
      </w:pPr>
      <w:r>
        <w:t xml:space="preserve">Late fusion of magnification-specific CNN features</w:t>
      </w:r>
    </w:p>
    <w:p>
      <w:pPr>
        <w:pStyle w:val="ListParagraph"/>
        <w:numPr>
          <w:ilvl w:val="0"/>
          <w:numId w:val="2"/>
        </w:numPr>
      </w:pPr>
      <w:r>
        <w:t xml:space="preserve">Attention mechanisms that dynamically weight different magnification levels based on learned importance</w:t>
      </w:r>
    </w:p>
    <w:p>
      <w:pPr>
        <w:pStyle w:val="ListParagraph"/>
        <w:numPr>
          <w:ilvl w:val="0"/>
          <w:numId w:val="2"/>
        </w:numPr>
        <w:spacing w:after="200"/>
      </w:pPr>
      <w:r>
        <w:t xml:space="preserve">Shared encoder with magnification-specific decoder heads to capture both common and unique features</w:t>
      </w:r>
    </w:p>
    <w:p>
      <w:pPr>
        <w:pStyle w:val="Heading2"/>
      </w:pPr>
      <w:r>
        <w:t xml:space="preserve">2. Comprehensive Model Comparison</w:t>
      </w:r>
    </w:p>
    <w:p>
      <w:pPr>
        <w:spacing w:after="120"/>
      </w:pPr>
      <w:r>
        <w:t xml:space="preserve">We will systematically evaluate both pre-trained and from-scratch approaches to understand which strategy works best for histopathological images, which differ substantially from natural images:</w:t>
      </w:r>
    </w:p>
    <w:p>
      <w:pPr>
        <w:spacing w:after="120"/>
      </w:pPr>
      <w:r>
        <w:rPr>
          <w:b/>
          <w:bCs/>
        </w:rPr>
        <w:t xml:space="preserve">Pre-trained models: </w:t>
      </w:r>
      <w:r>
        <w:t xml:space="preserve">We will fine-tune ResNet, EfficientNet, DenseNet, and Vision Transformer models that were pre-trained on ImageNet. This will help us answer the critical question: do these models effectively transfer knowledge to microscopy images, or does the domain gap limit their usefulness?</w:t>
      </w:r>
    </w:p>
    <w:p>
      <w:pPr>
        <w:spacing w:after="200"/>
      </w:pPr>
      <w:r>
        <w:rPr>
          <w:b/>
          <w:bCs/>
        </w:rPr>
        <w:t xml:space="preserve">From-scratch CNNs: </w:t>
      </w:r>
      <w:r>
        <w:t xml:space="preserve">We will design a custom architecture specifically optimized for the texture and cellular patterns in histopathological images, without relying on ImageNet initialization.</w:t>
      </w:r>
    </w:p>
    <w:p>
      <w:pPr>
        <w:spacing w:after="200"/>
      </w:pPr>
      <w:r>
        <w:t xml:space="preserve">This comparison will provide insights into transfer learning effectiveness for medical imaging applications.</w:t>
      </w:r>
    </w:p>
    <w:p>
      <w:pPr>
        <w:pStyle w:val="Heading2"/>
      </w:pPr>
      <w:r>
        <w:t xml:space="preserve">3. Addressing Class Imbalance and Magnification Bias</w:t>
      </w:r>
    </w:p>
    <w:p>
      <w:pPr>
        <w:spacing w:after="120"/>
      </w:pPr>
      <w:r>
        <w:t xml:space="preserve">The BreakHis dataset has inherent imbalances across magnification levels and tumor types. We will implement several techniques to handle these challenges:</w:t>
      </w:r>
    </w:p>
    <w:p>
      <w:pPr>
        <w:pStyle w:val="ListParagraph"/>
        <w:numPr>
          <w:ilvl w:val="0"/>
          <w:numId w:val="2"/>
        </w:numPr>
      </w:pPr>
      <w:r>
        <w:t xml:space="preserve">Focal loss and class weighting strategies to handle the imbalance between benign and malignant samples</w:t>
      </w:r>
    </w:p>
    <w:p>
      <w:pPr>
        <w:pStyle w:val="ListParagraph"/>
        <w:numPr>
          <w:ilvl w:val="0"/>
          <w:numId w:val="2"/>
        </w:numPr>
      </w:pPr>
      <w:r>
        <w:t xml:space="preserve">Analysis of which magnification levels are most discriminative for different tumor types</w:t>
      </w:r>
    </w:p>
    <w:p>
      <w:pPr>
        <w:pStyle w:val="ListParagraph"/>
        <w:numPr>
          <w:ilvl w:val="0"/>
          <w:numId w:val="2"/>
        </w:numPr>
        <w:spacing w:after="200"/>
      </w:pPr>
      <w:r>
        <w:t xml:space="preserve">Cross-magnification consistency checks to ensure predictions remain stable across different zoom levels for the same patient</w:t>
      </w:r>
    </w:p>
    <w:p>
      <w:pPr>
        <w:pStyle w:val="Heading2"/>
      </w:pPr>
      <w:r>
        <w:t xml:space="preserve">4. Model Interpretability and Clinical Relevance</w:t>
      </w:r>
    </w:p>
    <w:p>
      <w:pPr>
        <w:spacing w:after="120"/>
      </w:pPr>
      <w:r>
        <w:t xml:space="preserve">Using Gradient-weighted Class Activation Mapping (Grad-CAM) and attention visualization techniques, we will identify which regions of the images the model focuses on at different magnifications. This interpretability component is clinically important because pathologists need to understand why a model makes certain predictions before trusting it in a diagnostic setting.</w:t>
      </w:r>
    </w:p>
    <w:p>
      <w:pPr>
        <w:spacing w:after="240"/>
      </w:pPr>
      <w:r>
        <w:t xml:space="preserve">By visualizing where the model looks at each magnification level, we can validate whether the learned features align with known histopathological markers of malignancy.</w:t>
      </w:r>
    </w:p>
    <w:p>
      <w:pPr>
        <w:pStyle w:val="Heading1"/>
      </w:pPr>
      <w:r>
        <w:t xml:space="preserve">Technical Approach</w:t>
      </w:r>
    </w:p>
    <w:p>
      <w:pPr>
        <w:spacing w:after="120"/>
      </w:pPr>
      <w:r>
        <w:rPr>
          <w:b/>
          <w:bCs/>
        </w:rPr>
        <w:t xml:space="preserve">Dataset: </w:t>
      </w:r>
      <w:r>
        <w:t xml:space="preserve">BreakHis contains 9,109 histopathological images (2,480 benign, 5,429 malignant) across 8 tumor subtypes at 4 magnification levels. The dataset comes from the Federal University of Paraná and is freely available for research purposes.</w:t>
      </w:r>
    </w:p>
    <w:p>
      <w:pPr>
        <w:spacing w:after="120"/>
      </w:pPr>
      <w:r>
        <w:rPr>
          <w:b/>
          <w:bCs/>
        </w:rPr>
        <w:t xml:space="preserve">Development Environment: </w:t>
      </w:r>
      <w:r>
        <w:t xml:space="preserve">PyTorch on Google Colab with GPU acceleration</w:t>
      </w:r>
    </w:p>
    <w:p>
      <w:pPr>
        <w:spacing w:after="120"/>
      </w:pPr>
      <w:r>
        <w:rPr>
          <w:b/>
          <w:bCs/>
        </w:rPr>
        <w:t xml:space="preserve">Evaluation Metrics: </w:t>
      </w:r>
      <w:r>
        <w:t xml:space="preserve">Accuracy, precision, recall, F1-score, and ROC-AUC for binary classification (benign vs. malignant). We will report results both per-magnification and using our fusion approach.</w:t>
      </w:r>
    </w:p>
    <w:p>
      <w:pPr>
        <w:spacing w:after="240"/>
      </w:pPr>
      <w:r>
        <w:rPr>
          <w:b/>
          <w:bCs/>
        </w:rPr>
        <w:t xml:space="preserve">Data Augmentation: </w:t>
      </w:r>
      <w:r>
        <w:t xml:space="preserve">Random rotations, flips, color jittering, and stain normalization to improve model generalization and robustness.</w:t>
      </w:r>
    </w:p>
    <w:p>
      <w:pPr>
        <w:pStyle w:val="Heading1"/>
      </w:pPr>
      <w:r>
        <w:t xml:space="preserve">Deliverables</w:t>
      </w:r>
    </w:p>
    <w:p>
      <w:pPr>
        <w:pStyle w:val="ListParagraph"/>
        <w:numPr>
          <w:ilvl w:val="0"/>
          <w:numId w:val="2"/>
        </w:numPr>
      </w:pPr>
      <w:r>
        <w:t xml:space="preserve">Trained models with performance metrics (accuracy, precision, recall, F1, ROC-AUC) for all magnifications</w:t>
      </w:r>
    </w:p>
    <w:p>
      <w:pPr>
        <w:pStyle w:val="ListParagraph"/>
        <w:numPr>
          <w:ilvl w:val="0"/>
          <w:numId w:val="2"/>
        </w:numPr>
      </w:pPr>
      <w:r>
        <w:t xml:space="preserve">Comparison showing multi-magnification fusion vs. single-magnification models</w:t>
      </w:r>
    </w:p>
    <w:p>
      <w:pPr>
        <w:pStyle w:val="ListParagraph"/>
        <w:numPr>
          <w:ilvl w:val="0"/>
          <w:numId w:val="2"/>
        </w:numPr>
      </w:pPr>
      <w:r>
        <w:t xml:space="preserve">Analysis of pre-trained vs. from-scratch approaches on histopathological images</w:t>
      </w:r>
    </w:p>
    <w:p>
      <w:pPr>
        <w:pStyle w:val="ListParagraph"/>
        <w:numPr>
          <w:ilvl w:val="0"/>
          <w:numId w:val="2"/>
        </w:numPr>
      </w:pPr>
      <w:r>
        <w:t xml:space="preserve">Grad-CAM visualizations showing what the model focuses on at each magnification</w:t>
      </w:r>
    </w:p>
    <w:p>
      <w:pPr>
        <w:pStyle w:val="ListParagraph"/>
        <w:numPr>
          <w:ilvl w:val="0"/>
          <w:numId w:val="2"/>
        </w:numPr>
        <w:spacing w:after="240"/>
      </w:pPr>
      <w:r>
        <w:t xml:space="preserve">Complete code repository and final report</w:t>
      </w:r>
    </w:p>
    <w:p>
      <w:pPr>
        <w:pStyle w:val="Heading1"/>
      </w:pPr>
      <w:r>
        <w:t xml:space="preserve">Why This Approach is Novel</w:t>
      </w:r>
    </w:p>
    <w:p>
      <w:pPr>
        <w:spacing w:after="120"/>
      </w:pPr>
      <w:r>
        <w:t xml:space="preserve">Most existing work on BreakHis treats each magnification independently or uses simple voting to combine predictions. Our approach is different because we use attention-based fusion that learns which magnifications are most important for classification, rather than treating them equally.</w:t>
      </w:r>
    </w:p>
    <w:p>
      <w:pPr>
        <w:spacing w:after="240"/>
      </w:pPr>
      <w:r>
        <w:t xml:space="preserve">Additionally, we systematically compare modern architectures (including Vision Transformers) that haven't been extensively tested on this dataset, and we include interpretability analysis to understand what the models learn at different scales. This combination makes our work distinct from the existing solutions.</w:t>
      </w:r>
    </w:p>
    <w:p>
      <w:pPr>
        <w:pStyle w:val="Heading1"/>
      </w:pPr>
      <w:r>
        <w:t xml:space="preserve">Conclusion</w:t>
      </w:r>
    </w:p>
    <w:p>
      <w:r>
        <w:t xml:space="preserve">This project balances technical rigor with practical feasibility. The BreakHis dataset provides a rich testbed for exploring multi-scale learning in medical imaging, and our approach of attention-based fusion combined with comprehensive model comparisons distinguishes our work from existing solutions. The medical imaging domain adds significant real-world relevance, as automated histopathology analysis could assist pathologists in making faster and more accurate diagnoses.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6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4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5sya8owerwm0mnjqi8lb" Type="http://schemas.openxmlformats.org/officeDocument/2006/relationships/hyperlink" Target="https://web.inf.ufpr.br/vri/databases/breast-cancer-histopathological-database-breakhis/"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2025-10-20T21:40:33.263Z</dcterms:created>
  <dcterms:modified xsi:type="dcterms:W3CDTF">2025-10-20T21:40:33.263Z</dcterms:modified>
</cp:coreProperties>
</file>

<file path=docProps/custom.xml><?xml version="1.0" encoding="utf-8"?>
<Properties xmlns="http://schemas.openxmlformats.org/officeDocument/2006/custom-properties" xmlns:vt="http://schemas.openxmlformats.org/officeDocument/2006/docPropsVTypes"/>
</file>