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jc w:val="center"/>
      </w:pPr>
      <w:r>
        <w:rPr>
          <w:b/>
          <w:color w:val="1F3864"/>
          <w:sz w:val="52"/>
        </w:rPr>
        <w:t>Enehano Lead Intelligence Platform</w:t>
      </w:r>
    </w:p>
    <w:p>
      <w:pPr>
        <w:jc w:val="center"/>
      </w:pPr>
      <w:r>
        <w:rPr>
          <w:i/>
          <w:color w:val="2E75B6"/>
          <w:sz w:val="32"/>
        </w:rPr>
        <w:t>Technical Design Document</w:t>
      </w:r>
    </w:p>
    <w:p>
      <w:pPr>
        <w:pBdr>
          <w:bottom w:val="single" w:sz="4" w:space="1" w:color="2E75B6"/>
        </w:pBdr>
      </w:pPr>
    </w:p>
    <w:p>
      <w:pPr>
        <w:spacing w:before="0" w:after="0"/>
      </w:pPr>
    </w:p>
    <w:p>
      <w:pPr>
        <w:jc w:val="center"/>
      </w:pPr>
      <w:r>
        <w:rPr>
          <w:color w:val="1F3864"/>
          <w:sz w:val="26"/>
        </w:rPr>
        <w:t>Team 1</w:t>
      </w:r>
    </w:p>
    <w:p>
      <w:pPr>
        <w:jc w:val="center"/>
      </w:pPr>
      <w:r>
        <w:rPr>
          <w:color w:val="595959"/>
          <w:sz w:val="22"/>
        </w:rPr>
        <w:t>June 2026</w:t>
      </w:r>
    </w:p>
    <w:p>
      <w:pPr>
        <w:jc w:val="center"/>
      </w:pPr>
      <w:r>
        <w:rPr>
          <w:color w:val="595959"/>
          <w:sz w:val="20"/>
        </w:rPr>
        <w:t>Internal / Confidential</w:t>
      </w:r>
    </w:p>
    <w:p>
      <w:r>
        <w:br w:type="page"/>
      </w:r>
    </w:p>
    <w:p>
      <w:pPr>
        <w:pStyle w:val="Heading1"/>
      </w:pPr>
      <w:r>
        <w:rPr>
          <w:color w:val="1F3864"/>
        </w:rPr>
        <w:t>Table of Contents</w:t>
      </w:r>
    </w:p>
    <w:p>
      <w:pPr>
        <w:spacing w:after="40"/>
      </w:pPr>
      <w:r>
        <w:rPr>
          <w:sz w:val="20"/>
        </w:rPr>
        <w:t>1  Executive Summary</w:t>
      </w:r>
    </w:p>
    <w:p>
      <w:pPr>
        <w:spacing w:after="40"/>
      </w:pPr>
      <w:r>
        <w:rPr>
          <w:sz w:val="20"/>
        </w:rPr>
        <w:t>2  Business Problem and Objectives</w:t>
      </w:r>
    </w:p>
    <w:p>
      <w:pPr>
        <w:spacing w:after="40"/>
      </w:pPr>
      <w:r>
        <w:rPr>
          <w:sz w:val="20"/>
        </w:rPr>
        <w:t>3  System Architecture</w:t>
      </w:r>
    </w:p>
    <w:p>
      <w:pPr>
        <w:spacing w:after="40"/>
      </w:pPr>
      <w:r>
        <w:rPr>
          <w:sz w:val="20"/>
        </w:rPr>
        <w:t>4  Tech Stack</w:t>
      </w:r>
    </w:p>
    <w:p>
      <w:pPr>
        <w:spacing w:after="40"/>
      </w:pPr>
      <w:r>
        <w:rPr>
          <w:sz w:val="20"/>
        </w:rPr>
        <w:t>5  Data Sources and Data Lineage</w:t>
      </w:r>
    </w:p>
    <w:p>
      <w:pPr>
        <w:spacing w:after="40"/>
      </w:pPr>
      <w:r>
        <w:rPr>
          <w:sz w:val="20"/>
        </w:rPr>
        <w:t>6  ML Modelling Pipeline</w:t>
      </w:r>
    </w:p>
    <w:p>
      <w:pPr>
        <w:spacing w:after="40"/>
      </w:pPr>
      <w:r>
        <w:rPr>
          <w:sz w:val="20"/>
        </w:rPr>
        <w:t>7  User Interface</w:t>
      </w:r>
    </w:p>
    <w:p>
      <w:pPr>
        <w:spacing w:after="40"/>
      </w:pPr>
      <w:r>
        <w:rPr>
          <w:sz w:val="20"/>
        </w:rPr>
        <w:t>8  Salesforce Integration</w:t>
      </w:r>
    </w:p>
    <w:p>
      <w:pPr>
        <w:spacing w:after="40"/>
      </w:pPr>
      <w:r>
        <w:rPr>
          <w:sz w:val="20"/>
        </w:rPr>
        <w:t>9  Trade-offs and Design Decisions</w:t>
      </w:r>
    </w:p>
    <w:p>
      <w:pPr>
        <w:spacing w:after="40"/>
      </w:pPr>
      <w:r>
        <w:rPr>
          <w:sz w:val="20"/>
        </w:rPr>
        <w:t>10  Deployment Recommendations</w:t>
      </w:r>
    </w:p>
    <w:p>
      <w:pPr>
        <w:spacing w:after="40"/>
      </w:pPr>
      <w:r>
        <w:rPr>
          <w:sz w:val="20"/>
        </w:rPr>
        <w:t>Appendix A  API Endpoint Reference</w:t>
      </w:r>
    </w:p>
    <w:p>
      <w:pPr>
        <w:spacing w:after="40"/>
      </w:pPr>
      <w:r>
        <w:rPr>
          <w:sz w:val="20"/>
        </w:rPr>
        <w:t>Appendix B  Feature Dictionary</w:t>
      </w:r>
    </w:p>
    <w:p>
      <w:r>
        <w:br w:type="page"/>
      </w:r>
    </w:p>
    <w:p>
      <w:pPr>
        <w:pStyle w:val="Heading1"/>
      </w:pPr>
      <w:r>
        <w:rPr>
          <w:color w:val="1F3864"/>
        </w:rPr>
        <w:t>1. Executive Summary</w:t>
      </w:r>
    </w:p>
    <w:p>
      <w:pPr>
        <w:spacing w:after="120"/>
      </w:pPr>
      <w:r>
        <w:rPr>
          <w:b w:val="0"/>
          <w:i w:val="0"/>
          <w:sz w:val="20"/>
        </w:rPr>
        <w:t>The Enehano Lead Intelligence Platform replaces the company's hand-crafted lead-scoring rule sheet with a calibrated machine-learning model. For every incoming lead it produces three numbers: the probability that the lead converts to a Salesforce Opportunity, the conditional probability that the Opportunity closes as Closed Won, and their product — the Expected Win Percentage — which a sales representative can act on without any statistical training. The model's headline result is that working only the top 20 percent of leads ranked by the AI score, a sales team reaches 64 percent of all real converters, compared with 31 percent using the existing rule scorer — more than twice the opportunity yield from the same outreach budget.</w:t>
      </w:r>
    </w:p>
    <w:p>
      <w:pPr>
        <w:spacing w:after="120"/>
      </w:pPr>
      <w:r>
        <w:rPr>
          <w:b w:val="0"/>
          <w:i w:val="0"/>
          <w:sz w:val="20"/>
        </w:rPr>
        <w:t>The platform is production-ready in the sense that it scores real Czech companies using live data from the ARES public business registry, writes AI scores directly into Salesforce custom Lead fields via the Bulk API, and has been tested end-to-end in a live Salesforce Developer Edition org using the batch sync script. The scores, probability estimates, and SHAP feature attributions are all accessible through a REST API, a Streamlit business dashboard, and directly from Salesforce. The key precondition before full production rollout is retraining on real Closed_Won history with the leakage-controlled feature set, since the current models were trained on synthetic outcome labels.</w:t>
      </w:r>
    </w:p>
    <w:p>
      <w:pPr>
        <w:pBdr>
          <w:bottom w:val="single" w:sz="4" w:space="1" w:color="2E75B6"/>
        </w:pBdr>
      </w:pPr>
    </w:p>
    <w:p>
      <w:pPr>
        <w:pStyle w:val="Heading1"/>
      </w:pPr>
      <w:r>
        <w:rPr>
          <w:color w:val="1F3864"/>
        </w:rPr>
        <w:t>2. Business Problem and Objectives</w:t>
      </w:r>
    </w:p>
    <w:p>
      <w:pPr>
        <w:spacing w:after="120"/>
      </w:pPr>
      <w:r>
        <w:rPr>
          <w:b w:val="0"/>
          <w:i w:val="0"/>
          <w:sz w:val="20"/>
        </w:rPr>
        <w:t>Enehano Solutions is a Czech Salesforce consulting firm whose growth depends on converting marketing-qualified leads into paid engagements efficiently. The scoring system currently in production is a weighted additive rule sheet: a fast first-response adds 25 points, a demo request adds 10, a partner lead source adds 15, and so on. These rules encode an experienced sales manager's intuitions but carry two structural weaknesses that this project addresses.</w:t>
      </w:r>
    </w:p>
    <w:p>
      <w:pPr>
        <w:spacing w:after="120"/>
      </w:pPr>
      <w:r>
        <w:rPr>
          <w:b w:val="0"/>
          <w:i w:val="0"/>
          <w:sz w:val="20"/>
        </w:rPr>
        <w:t>The first weakness is discriminative power. Rules are linear and interact only crudely; the AUC gap of 0.935 versus 0.64 quantifies the signal being left on the table. The second weakness is calibration. A rule score of 70 does not mean a 70 percent chance of conversion, so it cannot be used for pipeline-value estimation or resource planning. The AI model's probabilities are isotonically calibrated to an Expected Calibration Error of 0.019, making the stated probabilities trustworthy numbers. The project answers one core question: can historical CRM data, enriched with real Czech company data from the ARES register, produce a ranked output measurably better than the existing rule sheet? The answer is yes, and the advantage survives the removal of every feature that could exploit leakage in the synthetic training data.</w:t>
      </w:r>
    </w:p>
    <w:p>
      <w:pPr>
        <w:pBdr>
          <w:bottom w:val="single" w:sz="4" w:space="1" w:color="2E75B6"/>
        </w:pBdr>
      </w:pPr>
    </w:p>
    <w:p>
      <w:r>
        <w:br w:type="page"/>
      </w:r>
    </w:p>
    <w:p>
      <w:pPr>
        <w:pStyle w:val="Heading1"/>
      </w:pPr>
      <w:r>
        <w:rPr>
          <w:color w:val="1F3864"/>
        </w:rPr>
        <w:t>3. System Architecture</w:t>
      </w:r>
    </w:p>
    <w:p>
      <w:pPr>
        <w:spacing w:after="120"/>
      </w:pPr>
      <w:r>
        <w:rPr>
          <w:b w:val="0"/>
          <w:i w:val="0"/>
          <w:sz w:val="20"/>
        </w:rPr>
        <w:t>The platform is organised into three layers with clearly bounded responsibilities and well-defined interfaces between them.</w:t>
      </w:r>
    </w:p>
    <w:p>
      <w:pPr>
        <w:spacing w:after="120"/>
      </w:pPr>
      <w:r>
        <w:rPr>
          <w:b w:val="0"/>
          <w:i w:val="0"/>
          <w:sz w:val="20"/>
        </w:rPr>
        <w:t>The offline training pipeline reads labelled lead data, selects and calibrates a model, and writes serialised artifacts to disk. It is the only layer that writes model artifacts and it never runs in response to a user request. The serving layer — a FastAPI process — loads those artifacts once at startup and answers HTTP scoring requests in real time. The business dashboard — a Streamlit application — loads the same artifacts and presents scored leads, model diagnostics, and what-if simulations to non-technical users. All three layers share a single boundary module, contracts.py, which defines every column name, drop list, and scoring threshold. Any change to the feature boundary that is not reflected in contracts.py surfaces immediately as a runtime error rather than as a silent miscalibration.</w:t>
      </w:r>
    </w:p>
    <w:p>
      <w:pPr>
        <w:pStyle w:val="Heading2"/>
      </w:pPr>
      <w:r>
        <w:rPr>
          <w:color w:val="2E75B6"/>
        </w:rPr>
        <w:t>3.1  API Security</w:t>
      </w:r>
    </w:p>
    <w:p>
      <w:pPr>
        <w:spacing w:after="120"/>
      </w:pPr>
      <w:r>
        <w:rPr>
          <w:b w:val="0"/>
          <w:i w:val="0"/>
          <w:sz w:val="20"/>
        </w:rPr>
        <w:t>The three scoring endpoints (/score, /score/batch, /score/enrich) accept an optional X-API-Key HTTP header. If the SCORING_API_KEY environment variable is set, the API rejects requests with a missing or incorrect key with HTTP 401. If the variable is unset the check is skipped, making local development keyless by default. This design means the API can be exposed publicly with a single environment variable change, without any code modification. Full guidance on exposing the service over HTTPS for Salesforce Named Credentials is in docs/SALESFORCE_INTEGRATION.md.</w:t>
      </w:r>
    </w:p>
    <w:p>
      <w:pPr>
        <w:pStyle w:val="Heading2"/>
      </w:pPr>
      <w:r>
        <w:rPr>
          <w:color w:val="2E75B6"/>
        </w:rPr>
        <w:t>3.2  Architecture Diagram</w:t>
      </w:r>
    </w:p>
    <w:p>
      <w:pPr>
        <w:jc w:val="center"/>
        <w:pBdr>
          <w:top w:val="single" w:sz="6" w:space="4" w:color="AAAAAA"/>
          <w:left w:val="single" w:sz="6" w:space="4" w:color="AAAAAA"/>
          <w:bottom w:val="single" w:sz="6" w:space="4" w:color="AAAAAA"/>
          <w:right w:val="single" w:sz="6" w:space="4" w:color="AAAAAA"/>
        </w:pBdr>
      </w:pPr>
      <w:r>
        <w:rPr>
          <w:i/>
          <w:color w:val="595959"/>
          <w:sz w:val="18"/>
        </w:rPr>
        <w:t>[Figure 1 — Three-layer architecture: (1) Offline pipeline: data_generator.py -&gt; lead_train.csv -&gt; train.py -&gt; src/models/*.pkl + metrics.json. (2) Serving layer: FastAPI on port 8000 — /score, /score/batch (require X-API-Key if SCORING_API_KEY set), /score/enrich (ARES lookup + cache), /health, /metrics. (3) Dashboard: Streamlit on port 8501 — reads models, calls API for what-if scoring. Salesforce Batch path: sf_sync.py imports api.py directly, queries SF via SOQL, scores in-process, bulk-upserts AI_Score__c / AI_Segment__c / AI_Top_Driver__c back. contracts.py is shared by all layers.]</w:t>
      </w:r>
    </w:p>
    <w:p>
      <w:pPr>
        <w:spacing w:before="0" w:after="0"/>
      </w:pPr>
    </w:p>
    <w:p>
      <w:pPr>
        <w:pStyle w:val="Heading2"/>
      </w:pPr>
      <w:r>
        <w:rPr>
          <w:color w:val="2E75B6"/>
        </w:rPr>
        <w:t>3.3  API Endpoints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1F3864"/>
          </w:tcPr>
          <w:p>
            <w:pPr>
              <w:jc w:val="center"/>
            </w:pPr>
            <w:r>
              <w:rPr>
                <w:b/>
                <w:color w:val="FFFFFF"/>
                <w:sz w:val="18"/>
              </w:rPr>
              <w:t>Endpoint</w:t>
            </w:r>
          </w:p>
        </w:tc>
        <w:tc>
          <w:tcPr>
            <w:tcW w:type="dxa" w:w="1134"/>
            <w:shd w:val="clear" w:color="auto" w:fill="1F3864"/>
          </w:tcPr>
          <w:p>
            <w:pPr>
              <w:jc w:val="center"/>
            </w:pPr>
            <w:r>
              <w:rPr>
                <w:b/>
                <w:color w:val="FFFFFF"/>
                <w:sz w:val="18"/>
              </w:rPr>
              <w:t>Method</w:t>
            </w:r>
          </w:p>
        </w:tc>
        <w:tc>
          <w:tcPr>
            <w:tcW w:type="dxa" w:w="1417"/>
            <w:shd w:val="clear" w:color="auto" w:fill="1F3864"/>
          </w:tcPr>
          <w:p>
            <w:pPr>
              <w:jc w:val="center"/>
            </w:pPr>
            <w:r>
              <w:rPr>
                <w:b/>
                <w:color w:val="FFFFFF"/>
                <w:sz w:val="18"/>
              </w:rPr>
              <w:t>Auth</w:t>
            </w:r>
          </w:p>
        </w:tc>
        <w:tc>
          <w:tcPr>
            <w:tcW w:type="dxa" w:w="5102"/>
            <w:shd w:val="clear" w:color="auto" w:fill="1F3864"/>
          </w:tcPr>
          <w:p>
            <w:pPr>
              <w:jc w:val="center"/>
            </w:pPr>
            <w:r>
              <w:rPr>
                <w:b/>
                <w:color w:val="FFFFFF"/>
                <w:sz w:val="18"/>
              </w:rPr>
              <w:t>Purpose</w:t>
            </w:r>
          </w:p>
        </w:tc>
      </w:tr>
      <w:tr>
        <w:tc>
          <w:tcPr>
            <w:tcW w:type="dxa" w:w="1984"/>
            <w:shd w:val="clear" w:color="auto" w:fill="DCE6F1"/>
          </w:tcPr>
          <w:p>
            <w:r>
              <w:rPr>
                <w:b w:val="0"/>
                <w:sz w:val="18"/>
              </w:rPr>
              <w:t>/score</w:t>
            </w:r>
          </w:p>
        </w:tc>
        <w:tc>
          <w:tcPr>
            <w:tcW w:type="dxa" w:w="1134"/>
            <w:shd w:val="clear" w:color="auto" w:fill="DCE6F1"/>
          </w:tcPr>
          <w:p>
            <w:r>
              <w:rPr>
                <w:b w:val="0"/>
                <w:sz w:val="18"/>
              </w:rPr>
              <w:t>POST</w:t>
            </w:r>
          </w:p>
        </w:tc>
        <w:tc>
          <w:tcPr>
            <w:tcW w:type="dxa" w:w="1417"/>
            <w:shd w:val="clear" w:color="auto" w:fill="DCE6F1"/>
          </w:tcPr>
          <w:p>
            <w:r>
              <w:rPr>
                <w:b w:val="0"/>
                <w:sz w:val="18"/>
              </w:rPr>
              <w:t>X-API-Key*</w:t>
            </w:r>
          </w:p>
        </w:tc>
        <w:tc>
          <w:tcPr>
            <w:tcW w:type="dxa" w:w="5102"/>
            <w:shd w:val="clear" w:color="auto" w:fill="DCE6F1"/>
          </w:tcPr>
          <w:p>
            <w:r>
              <w:rPr>
                <w:b w:val="0"/>
                <w:sz w:val="18"/>
              </w:rPr>
              <w:t>Score a single lead — full LeadInput payload</w:t>
            </w:r>
          </w:p>
        </w:tc>
      </w:tr>
      <w:tr>
        <w:tc>
          <w:tcPr>
            <w:tcW w:type="dxa" w:w="1984"/>
          </w:tcPr>
          <w:p>
            <w:r>
              <w:rPr>
                <w:b w:val="0"/>
                <w:sz w:val="18"/>
              </w:rPr>
              <w:t>/score/batch</w:t>
            </w:r>
          </w:p>
        </w:tc>
        <w:tc>
          <w:tcPr>
            <w:tcW w:type="dxa" w:w="1134"/>
          </w:tcPr>
          <w:p>
            <w:r>
              <w:rPr>
                <w:b w:val="0"/>
                <w:sz w:val="18"/>
              </w:rPr>
              <w:t>POST</w:t>
            </w:r>
          </w:p>
        </w:tc>
        <w:tc>
          <w:tcPr>
            <w:tcW w:type="dxa" w:w="1417"/>
          </w:tcPr>
          <w:p>
            <w:r>
              <w:rPr>
                <w:b w:val="0"/>
                <w:sz w:val="18"/>
              </w:rPr>
              <w:t>X-API-Key*</w:t>
            </w:r>
          </w:p>
        </w:tc>
        <w:tc>
          <w:tcPr>
            <w:tcW w:type="dxa" w:w="5102"/>
          </w:tcPr>
          <w:p>
            <w:r>
              <w:rPr>
                <w:b w:val="0"/>
                <w:sz w:val="18"/>
              </w:rPr>
              <w:t>Score up to 500 leads in one call</w:t>
            </w:r>
          </w:p>
        </w:tc>
      </w:tr>
      <w:tr>
        <w:tc>
          <w:tcPr>
            <w:tcW w:type="dxa" w:w="1984"/>
            <w:shd w:val="clear" w:color="auto" w:fill="DCE6F1"/>
          </w:tcPr>
          <w:p>
            <w:r>
              <w:rPr>
                <w:b w:val="0"/>
                <w:sz w:val="18"/>
              </w:rPr>
              <w:t>/score/enrich</w:t>
            </w:r>
          </w:p>
        </w:tc>
        <w:tc>
          <w:tcPr>
            <w:tcW w:type="dxa" w:w="1134"/>
            <w:shd w:val="clear" w:color="auto" w:fill="DCE6F1"/>
          </w:tcPr>
          <w:p>
            <w:r>
              <w:rPr>
                <w:b w:val="0"/>
                <w:sz w:val="18"/>
              </w:rPr>
              <w:t>POST</w:t>
            </w:r>
          </w:p>
        </w:tc>
        <w:tc>
          <w:tcPr>
            <w:tcW w:type="dxa" w:w="1417"/>
            <w:shd w:val="clear" w:color="auto" w:fill="DCE6F1"/>
          </w:tcPr>
          <w:p>
            <w:r>
              <w:rPr>
                <w:b w:val="0"/>
                <w:sz w:val="18"/>
              </w:rPr>
              <w:t>X-API-Key*</w:t>
            </w:r>
          </w:p>
        </w:tc>
        <w:tc>
          <w:tcPr>
            <w:tcW w:type="dxa" w:w="5102"/>
            <w:shd w:val="clear" w:color="auto" w:fill="DCE6F1"/>
          </w:tcPr>
          <w:p>
            <w:r>
              <w:rPr>
                <w:b w:val="0"/>
                <w:sz w:val="18"/>
              </w:rPr>
              <w:t>IČO-only — ARES resolves firmographics server-side</w:t>
            </w:r>
          </w:p>
        </w:tc>
      </w:tr>
      <w:tr>
        <w:tc>
          <w:tcPr>
            <w:tcW w:type="dxa" w:w="1984"/>
          </w:tcPr>
          <w:p>
            <w:r>
              <w:rPr>
                <w:b w:val="0"/>
                <w:sz w:val="18"/>
              </w:rPr>
              <w:t>/health</w:t>
            </w:r>
          </w:p>
        </w:tc>
        <w:tc>
          <w:tcPr>
            <w:tcW w:type="dxa" w:w="1134"/>
          </w:tcPr>
          <w:p>
            <w:r>
              <w:rPr>
                <w:b w:val="0"/>
                <w:sz w:val="18"/>
              </w:rPr>
              <w:t>GET</w:t>
            </w:r>
          </w:p>
        </w:tc>
        <w:tc>
          <w:tcPr>
            <w:tcW w:type="dxa" w:w="1417"/>
          </w:tcPr>
          <w:p>
            <w:r>
              <w:rPr>
                <w:b w:val="0"/>
                <w:sz w:val="18"/>
              </w:rPr>
              <w:t>none</w:t>
            </w:r>
          </w:p>
        </w:tc>
        <w:tc>
          <w:tcPr>
            <w:tcW w:type="dxa" w:w="5102"/>
          </w:tcPr>
          <w:p>
            <w:r>
              <w:rPr>
                <w:b w:val="0"/>
                <w:sz w:val="18"/>
              </w:rPr>
              <w:t>Liveness probe; returns model version and ARES cache size</w:t>
            </w:r>
          </w:p>
        </w:tc>
      </w:tr>
      <w:tr>
        <w:tc>
          <w:tcPr>
            <w:tcW w:type="dxa" w:w="1984"/>
            <w:shd w:val="clear" w:color="auto" w:fill="DCE6F1"/>
          </w:tcPr>
          <w:p>
            <w:r>
              <w:rPr>
                <w:b w:val="0"/>
                <w:sz w:val="18"/>
              </w:rPr>
              <w:t>/metrics</w:t>
            </w:r>
          </w:p>
        </w:tc>
        <w:tc>
          <w:tcPr>
            <w:tcW w:type="dxa" w:w="1134"/>
            <w:shd w:val="clear" w:color="auto" w:fill="DCE6F1"/>
          </w:tcPr>
          <w:p>
            <w:r>
              <w:rPr>
                <w:b w:val="0"/>
                <w:sz w:val="18"/>
              </w:rPr>
              <w:t>GET</w:t>
            </w:r>
          </w:p>
        </w:tc>
        <w:tc>
          <w:tcPr>
            <w:tcW w:type="dxa" w:w="1417"/>
            <w:shd w:val="clear" w:color="auto" w:fill="DCE6F1"/>
          </w:tcPr>
          <w:p>
            <w:r>
              <w:rPr>
                <w:b w:val="0"/>
                <w:sz w:val="18"/>
              </w:rPr>
              <w:t>none</w:t>
            </w:r>
          </w:p>
        </w:tc>
        <w:tc>
          <w:tcPr>
            <w:tcW w:type="dxa" w:w="5102"/>
            <w:shd w:val="clear" w:color="auto" w:fill="DCE6F1"/>
          </w:tcPr>
          <w:p>
            <w:r>
              <w:rPr>
                <w:b w:val="0"/>
                <w:sz w:val="18"/>
              </w:rPr>
              <w:t>Full metrics.json model card</w:t>
            </w:r>
          </w:p>
        </w:tc>
      </w:tr>
      <w:tr>
        <w:tc>
          <w:tcPr>
            <w:tcW w:type="dxa" w:w="1984"/>
          </w:tcPr>
          <w:p>
            <w:r>
              <w:rPr>
                <w:b w:val="0"/>
                <w:sz w:val="18"/>
              </w:rPr>
              <w:t>/docs</w:t>
            </w:r>
          </w:p>
        </w:tc>
        <w:tc>
          <w:tcPr>
            <w:tcW w:type="dxa" w:w="1134"/>
          </w:tcPr>
          <w:p>
            <w:r>
              <w:rPr>
                <w:b w:val="0"/>
                <w:sz w:val="18"/>
              </w:rPr>
              <w:t>GET</w:t>
            </w:r>
          </w:p>
        </w:tc>
        <w:tc>
          <w:tcPr>
            <w:tcW w:type="dxa" w:w="1417"/>
          </w:tcPr>
          <w:p>
            <w:r>
              <w:rPr>
                <w:b w:val="0"/>
                <w:sz w:val="18"/>
              </w:rPr>
              <w:t>none</w:t>
            </w:r>
          </w:p>
        </w:tc>
        <w:tc>
          <w:tcPr>
            <w:tcW w:type="dxa" w:w="5102"/>
          </w:tcPr>
          <w:p>
            <w:r>
              <w:rPr>
                <w:b w:val="0"/>
                <w:sz w:val="18"/>
              </w:rPr>
              <w:t>Swagger UI — auto-generated from Pydantic schemas</w:t>
            </w:r>
          </w:p>
        </w:tc>
      </w:tr>
    </w:tbl>
    <w:p>
      <w:pPr>
        <w:jc w:val="center"/>
      </w:pPr>
      <w:r>
        <w:rPr>
          <w:i/>
          <w:color w:val="595959"/>
          <w:sz w:val="16"/>
        </w:rPr>
        <w:t>Table 1. FastAPI endpoints on port 8000. *Auth applies only when SCORING_API_KEY env var is set.</w:t>
      </w:r>
    </w:p>
    <w:p>
      <w:pPr>
        <w:spacing w:before="0" w:after="0"/>
      </w:pP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551"/>
            <w:shd w:val="clear" w:color="auto" w:fill="1F3864"/>
          </w:tcPr>
          <w:p>
            <w:pPr>
              <w:jc w:val="center"/>
            </w:pPr>
            <w:r>
              <w:rPr>
                <w:b/>
                <w:color w:val="FFFFFF"/>
                <w:sz w:val="18"/>
              </w:rPr>
              <w:t>Service</w:t>
            </w:r>
          </w:p>
        </w:tc>
        <w:tc>
          <w:tcPr>
            <w:tcW w:type="dxa" w:w="1984"/>
            <w:shd w:val="clear" w:color="auto" w:fill="1F3864"/>
          </w:tcPr>
          <w:p>
            <w:pPr>
              <w:jc w:val="center"/>
            </w:pPr>
            <w:r>
              <w:rPr>
                <w:b/>
                <w:color w:val="FFFFFF"/>
                <w:sz w:val="18"/>
              </w:rPr>
              <w:t>Container</w:t>
            </w:r>
          </w:p>
        </w:tc>
        <w:tc>
          <w:tcPr>
            <w:tcW w:type="dxa" w:w="1134"/>
            <w:shd w:val="clear" w:color="auto" w:fill="1F3864"/>
          </w:tcPr>
          <w:p>
            <w:pPr>
              <w:jc w:val="center"/>
            </w:pPr>
            <w:r>
              <w:rPr>
                <w:b/>
                <w:color w:val="FFFFFF"/>
                <w:sz w:val="18"/>
              </w:rPr>
              <w:t>Port</w:t>
            </w:r>
          </w:p>
        </w:tc>
        <w:tc>
          <w:tcPr>
            <w:tcW w:type="dxa" w:w="3969"/>
            <w:shd w:val="clear" w:color="auto" w:fill="1F3864"/>
          </w:tcPr>
          <w:p>
            <w:pPr>
              <w:jc w:val="center"/>
            </w:pPr>
            <w:r>
              <w:rPr>
                <w:b/>
                <w:color w:val="FFFFFF"/>
                <w:sz w:val="18"/>
              </w:rPr>
              <w:t>Notes</w:t>
            </w:r>
          </w:p>
        </w:tc>
      </w:tr>
      <w:tr>
        <w:tc>
          <w:tcPr>
            <w:tcW w:type="dxa" w:w="2551"/>
            <w:shd w:val="clear" w:color="auto" w:fill="DCE6F1"/>
          </w:tcPr>
          <w:p>
            <w:r>
              <w:rPr>
                <w:b w:val="0"/>
                <w:sz w:val="18"/>
              </w:rPr>
              <w:t>Streamlit dashboard</w:t>
            </w:r>
          </w:p>
        </w:tc>
        <w:tc>
          <w:tcPr>
            <w:tcW w:type="dxa" w:w="1984"/>
            <w:shd w:val="clear" w:color="auto" w:fill="DCE6F1"/>
          </w:tcPr>
          <w:p>
            <w:r>
              <w:rPr>
                <w:b w:val="0"/>
                <w:sz w:val="18"/>
              </w:rPr>
              <w:t>enehano-app</w:t>
            </w:r>
          </w:p>
        </w:tc>
        <w:tc>
          <w:tcPr>
            <w:tcW w:type="dxa" w:w="1134"/>
            <w:shd w:val="clear" w:color="auto" w:fill="DCE6F1"/>
          </w:tcPr>
          <w:p>
            <w:r>
              <w:rPr>
                <w:b w:val="0"/>
                <w:sz w:val="18"/>
              </w:rPr>
              <w:t>8501</w:t>
            </w:r>
          </w:p>
        </w:tc>
        <w:tc>
          <w:tcPr>
            <w:tcW w:type="dxa" w:w="3969"/>
            <w:shd w:val="clear" w:color="auto" w:fill="DCE6F1"/>
          </w:tcPr>
          <w:p>
            <w:r>
              <w:rPr>
                <w:b w:val="0"/>
                <w:sz w:val="18"/>
              </w:rPr>
              <w:t>Starts after API health check passes</w:t>
            </w:r>
          </w:p>
        </w:tc>
      </w:tr>
      <w:tr>
        <w:tc>
          <w:tcPr>
            <w:tcW w:type="dxa" w:w="2551"/>
          </w:tcPr>
          <w:p>
            <w:r>
              <w:rPr>
                <w:b w:val="0"/>
                <w:sz w:val="18"/>
              </w:rPr>
              <w:t>FastAPI scoring API</w:t>
            </w:r>
          </w:p>
        </w:tc>
        <w:tc>
          <w:tcPr>
            <w:tcW w:type="dxa" w:w="1984"/>
          </w:tcPr>
          <w:p>
            <w:r>
              <w:rPr>
                <w:b w:val="0"/>
                <w:sz w:val="18"/>
              </w:rPr>
              <w:t>enehano-api</w:t>
            </w:r>
          </w:p>
        </w:tc>
        <w:tc>
          <w:tcPr>
            <w:tcW w:type="dxa" w:w="1134"/>
          </w:tcPr>
          <w:p>
            <w:r>
              <w:rPr>
                <w:b w:val="0"/>
                <w:sz w:val="18"/>
              </w:rPr>
              <w:t>8000</w:t>
            </w:r>
          </w:p>
        </w:tc>
        <w:tc>
          <w:tcPr>
            <w:tcW w:type="dxa" w:w="3969"/>
          </w:tcPr>
          <w:p>
            <w:r>
              <w:rPr>
                <w:b w:val="0"/>
                <w:sz w:val="18"/>
              </w:rPr>
              <w:t>Health check: GET /health every 10 s</w:t>
            </w:r>
          </w:p>
        </w:tc>
      </w:tr>
    </w:tbl>
    <w:p>
      <w:pPr>
        <w:jc w:val="center"/>
      </w:pPr>
      <w:r>
        <w:rPr>
          <w:i/>
          <w:color w:val="595959"/>
          <w:sz w:val="16"/>
        </w:rPr>
        <w:t>Table 2. Docker Compose service topology.</w:t>
      </w:r>
    </w:p>
    <w:p>
      <w:pPr>
        <w:pBdr>
          <w:bottom w:val="single" w:sz="4" w:space="1" w:color="2E75B6"/>
        </w:pBdr>
      </w:pPr>
    </w:p>
    <w:p>
      <w:r>
        <w:br w:type="page"/>
      </w:r>
    </w:p>
    <w:p>
      <w:pPr>
        <w:pStyle w:val="Heading1"/>
      </w:pPr>
      <w:r>
        <w:rPr>
          <w:color w:val="1F3864"/>
        </w:rPr>
        <w:t>4. Tech Stack</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154"/>
            <w:shd w:val="clear" w:color="auto" w:fill="1F3864"/>
          </w:tcPr>
          <w:p>
            <w:pPr>
              <w:jc w:val="center"/>
            </w:pPr>
            <w:r>
              <w:rPr>
                <w:b/>
                <w:color w:val="FFFFFF"/>
                <w:sz w:val="18"/>
              </w:rPr>
              <w:t>Component</w:t>
            </w:r>
          </w:p>
        </w:tc>
        <w:tc>
          <w:tcPr>
            <w:tcW w:type="dxa" w:w="2154"/>
            <w:shd w:val="clear" w:color="auto" w:fill="1F3864"/>
          </w:tcPr>
          <w:p>
            <w:pPr>
              <w:jc w:val="center"/>
            </w:pPr>
            <w:r>
              <w:rPr>
                <w:b/>
                <w:color w:val="FFFFFF"/>
                <w:sz w:val="18"/>
              </w:rPr>
              <w:t>Technology</w:t>
            </w:r>
          </w:p>
        </w:tc>
        <w:tc>
          <w:tcPr>
            <w:tcW w:type="dxa" w:w="2041"/>
            <w:shd w:val="clear" w:color="auto" w:fill="1F3864"/>
          </w:tcPr>
          <w:p>
            <w:pPr>
              <w:jc w:val="center"/>
            </w:pPr>
            <w:r>
              <w:rPr>
                <w:b/>
                <w:color w:val="FFFFFF"/>
                <w:sz w:val="18"/>
              </w:rPr>
              <w:t>Version</w:t>
            </w:r>
          </w:p>
        </w:tc>
        <w:tc>
          <w:tcPr>
            <w:tcW w:type="dxa" w:w="3288"/>
            <w:shd w:val="clear" w:color="auto" w:fill="1F3864"/>
          </w:tcPr>
          <w:p>
            <w:pPr>
              <w:jc w:val="center"/>
            </w:pPr>
            <w:r>
              <w:rPr>
                <w:b/>
                <w:color w:val="FFFFFF"/>
                <w:sz w:val="18"/>
              </w:rPr>
              <w:t>Purpose</w:t>
            </w:r>
          </w:p>
        </w:tc>
      </w:tr>
      <w:tr>
        <w:tc>
          <w:tcPr>
            <w:tcW w:type="dxa" w:w="2154"/>
            <w:shd w:val="clear" w:color="auto" w:fill="DCE6F1"/>
          </w:tcPr>
          <w:p>
            <w:r>
              <w:rPr>
                <w:b w:val="0"/>
                <w:sz w:val="18"/>
              </w:rPr>
              <w:t>Language</w:t>
            </w:r>
          </w:p>
        </w:tc>
        <w:tc>
          <w:tcPr>
            <w:tcW w:type="dxa" w:w="2154"/>
            <w:shd w:val="clear" w:color="auto" w:fill="DCE6F1"/>
          </w:tcPr>
          <w:p>
            <w:r>
              <w:rPr>
                <w:b w:val="0"/>
                <w:sz w:val="18"/>
              </w:rPr>
              <w:t>Python</w:t>
            </w:r>
          </w:p>
        </w:tc>
        <w:tc>
          <w:tcPr>
            <w:tcW w:type="dxa" w:w="2041"/>
            <w:shd w:val="clear" w:color="auto" w:fill="DCE6F1"/>
          </w:tcPr>
          <w:p>
            <w:r>
              <w:rPr>
                <w:b w:val="0"/>
                <w:sz w:val="18"/>
              </w:rPr>
              <w:t>3.11+</w:t>
            </w:r>
          </w:p>
        </w:tc>
        <w:tc>
          <w:tcPr>
            <w:tcW w:type="dxa" w:w="3288"/>
            <w:shd w:val="clear" w:color="auto" w:fill="DCE6F1"/>
          </w:tcPr>
          <w:p>
            <w:r>
              <w:rPr>
                <w:b w:val="0"/>
                <w:sz w:val="18"/>
              </w:rPr>
              <w:t>Entire codebase</w:t>
            </w:r>
          </w:p>
        </w:tc>
      </w:tr>
      <w:tr>
        <w:tc>
          <w:tcPr>
            <w:tcW w:type="dxa" w:w="2154"/>
          </w:tcPr>
          <w:p>
            <w:r>
              <w:rPr>
                <w:b w:val="0"/>
                <w:sz w:val="18"/>
              </w:rPr>
              <w:t>ML / CV / Calibration</w:t>
            </w:r>
          </w:p>
        </w:tc>
        <w:tc>
          <w:tcPr>
            <w:tcW w:type="dxa" w:w="2154"/>
          </w:tcPr>
          <w:p>
            <w:r>
              <w:rPr>
                <w:b w:val="0"/>
                <w:sz w:val="18"/>
              </w:rPr>
              <w:t>scikit-learn</w:t>
            </w:r>
          </w:p>
        </w:tc>
        <w:tc>
          <w:tcPr>
            <w:tcW w:type="dxa" w:w="2041"/>
          </w:tcPr>
          <w:p>
            <w:r>
              <w:rPr>
                <w:b w:val="0"/>
                <w:sz w:val="18"/>
              </w:rPr>
              <w:t>&gt;= 1.3</w:t>
            </w:r>
          </w:p>
        </w:tc>
        <w:tc>
          <w:tcPr>
            <w:tcW w:type="dxa" w:w="3288"/>
          </w:tcPr>
          <w:p>
            <w:r>
              <w:rPr>
                <w:b w:val="0"/>
                <w:sz w:val="18"/>
              </w:rPr>
              <w:t>Pipelines, ColumnTransformer, CalibratedClassifierCV, TimeSeriesSplit</w:t>
            </w:r>
          </w:p>
        </w:tc>
      </w:tr>
      <w:tr>
        <w:tc>
          <w:tcPr>
            <w:tcW w:type="dxa" w:w="2154"/>
            <w:shd w:val="clear" w:color="auto" w:fill="DCE6F1"/>
          </w:tcPr>
          <w:p>
            <w:r>
              <w:rPr>
                <w:b w:val="0"/>
                <w:sz w:val="18"/>
              </w:rPr>
              <w:t>Gradient boosting</w:t>
            </w:r>
          </w:p>
        </w:tc>
        <w:tc>
          <w:tcPr>
            <w:tcW w:type="dxa" w:w="2154"/>
            <w:shd w:val="clear" w:color="auto" w:fill="DCE6F1"/>
          </w:tcPr>
          <w:p>
            <w:r>
              <w:rPr>
                <w:b w:val="0"/>
                <w:sz w:val="18"/>
              </w:rPr>
              <w:t>LightGBM</w:t>
            </w:r>
          </w:p>
        </w:tc>
        <w:tc>
          <w:tcPr>
            <w:tcW w:type="dxa" w:w="2041"/>
            <w:shd w:val="clear" w:color="auto" w:fill="DCE6F1"/>
          </w:tcPr>
          <w:p>
            <w:r>
              <w:rPr>
                <w:b w:val="0"/>
                <w:sz w:val="18"/>
              </w:rPr>
              <w:t>&gt;= 4.0</w:t>
            </w:r>
          </w:p>
        </w:tc>
        <w:tc>
          <w:tcPr>
            <w:tcW w:type="dxa" w:w="3288"/>
            <w:shd w:val="clear" w:color="auto" w:fill="DCE6F1"/>
          </w:tcPr>
          <w:p>
            <w:r>
              <w:rPr>
                <w:b w:val="0"/>
                <w:sz w:val="18"/>
              </w:rPr>
              <w:t>Native categorical GBM candidate model</w:t>
            </w:r>
          </w:p>
        </w:tc>
      </w:tr>
      <w:tr>
        <w:tc>
          <w:tcPr>
            <w:tcW w:type="dxa" w:w="2154"/>
          </w:tcPr>
          <w:p>
            <w:r>
              <w:rPr>
                <w:b w:val="0"/>
                <w:sz w:val="18"/>
              </w:rPr>
              <w:t>Hyperparameter tuning</w:t>
            </w:r>
          </w:p>
        </w:tc>
        <w:tc>
          <w:tcPr>
            <w:tcW w:type="dxa" w:w="2154"/>
          </w:tcPr>
          <w:p>
            <w:r>
              <w:rPr>
                <w:b w:val="0"/>
                <w:sz w:val="18"/>
              </w:rPr>
              <w:t>Optuna</w:t>
            </w:r>
          </w:p>
        </w:tc>
        <w:tc>
          <w:tcPr>
            <w:tcW w:type="dxa" w:w="2041"/>
          </w:tcPr>
          <w:p>
            <w:r>
              <w:rPr>
                <w:b w:val="0"/>
                <w:sz w:val="18"/>
              </w:rPr>
              <w:t>&gt;= 3.6</w:t>
            </w:r>
          </w:p>
        </w:tc>
        <w:tc>
          <w:tcPr>
            <w:tcW w:type="dxa" w:w="3288"/>
          </w:tcPr>
          <w:p>
            <w:r>
              <w:rPr>
                <w:b w:val="0"/>
                <w:sz w:val="18"/>
              </w:rPr>
              <w:t>Optional LightGBM search (RUN_OPTUNA=1)</w:t>
            </w:r>
          </w:p>
        </w:tc>
      </w:tr>
      <w:tr>
        <w:tc>
          <w:tcPr>
            <w:tcW w:type="dxa" w:w="2154"/>
            <w:shd w:val="clear" w:color="auto" w:fill="DCE6F1"/>
          </w:tcPr>
          <w:p>
            <w:r>
              <w:rPr>
                <w:b w:val="0"/>
                <w:sz w:val="18"/>
              </w:rPr>
              <w:t>Explainability</w:t>
            </w:r>
          </w:p>
        </w:tc>
        <w:tc>
          <w:tcPr>
            <w:tcW w:type="dxa" w:w="2154"/>
            <w:shd w:val="clear" w:color="auto" w:fill="DCE6F1"/>
          </w:tcPr>
          <w:p>
            <w:r>
              <w:rPr>
                <w:b w:val="0"/>
                <w:sz w:val="18"/>
              </w:rPr>
              <w:t>SHAP</w:t>
            </w:r>
          </w:p>
        </w:tc>
        <w:tc>
          <w:tcPr>
            <w:tcW w:type="dxa" w:w="2041"/>
            <w:shd w:val="clear" w:color="auto" w:fill="DCE6F1"/>
          </w:tcPr>
          <w:p>
            <w:r>
              <w:rPr>
                <w:b w:val="0"/>
                <w:sz w:val="18"/>
              </w:rPr>
              <w:t>&gt;= 0.44</w:t>
            </w:r>
          </w:p>
        </w:tc>
        <w:tc>
          <w:tcPr>
            <w:tcW w:type="dxa" w:w="3288"/>
            <w:shd w:val="clear" w:color="auto" w:fill="DCE6F1"/>
          </w:tcPr>
          <w:p>
            <w:r>
              <w:rPr>
                <w:b w:val="0"/>
                <w:sz w:val="18"/>
              </w:rPr>
              <w:t>TreeExplainer / LinearExplainer per request</w:t>
            </w:r>
          </w:p>
        </w:tc>
      </w:tr>
      <w:tr>
        <w:tc>
          <w:tcPr>
            <w:tcW w:type="dxa" w:w="2154"/>
          </w:tcPr>
          <w:p>
            <w:r>
              <w:rPr>
                <w:b w:val="0"/>
                <w:sz w:val="18"/>
              </w:rPr>
              <w:t>Data wrangling</w:t>
            </w:r>
          </w:p>
        </w:tc>
        <w:tc>
          <w:tcPr>
            <w:tcW w:type="dxa" w:w="2154"/>
          </w:tcPr>
          <w:p>
            <w:r>
              <w:rPr>
                <w:b w:val="0"/>
                <w:sz w:val="18"/>
              </w:rPr>
              <w:t>pandas</w:t>
            </w:r>
          </w:p>
        </w:tc>
        <w:tc>
          <w:tcPr>
            <w:tcW w:type="dxa" w:w="2041"/>
          </w:tcPr>
          <w:p>
            <w:r>
              <w:rPr>
                <w:b w:val="0"/>
                <w:sz w:val="18"/>
              </w:rPr>
              <w:t>&gt;= 2.0</w:t>
            </w:r>
          </w:p>
        </w:tc>
        <w:tc>
          <w:tcPr>
            <w:tcW w:type="dxa" w:w="3288"/>
          </w:tcPr>
          <w:p>
            <w:r>
              <w:rPr>
                <w:b w:val="0"/>
                <w:sz w:val="18"/>
              </w:rPr>
              <w:t>Feature frames and CSV I/O</w:t>
            </w:r>
          </w:p>
        </w:tc>
      </w:tr>
      <w:tr>
        <w:tc>
          <w:tcPr>
            <w:tcW w:type="dxa" w:w="2154"/>
            <w:shd w:val="clear" w:color="auto" w:fill="DCE6F1"/>
          </w:tcPr>
          <w:p>
            <w:r>
              <w:rPr>
                <w:b w:val="0"/>
                <w:sz w:val="18"/>
              </w:rPr>
              <w:t>Numerics</w:t>
            </w:r>
          </w:p>
        </w:tc>
        <w:tc>
          <w:tcPr>
            <w:tcW w:type="dxa" w:w="2154"/>
            <w:shd w:val="clear" w:color="auto" w:fill="DCE6F1"/>
          </w:tcPr>
          <w:p>
            <w:r>
              <w:rPr>
                <w:b w:val="0"/>
                <w:sz w:val="18"/>
              </w:rPr>
              <w:t>NumPy</w:t>
            </w:r>
          </w:p>
        </w:tc>
        <w:tc>
          <w:tcPr>
            <w:tcW w:type="dxa" w:w="2041"/>
            <w:shd w:val="clear" w:color="auto" w:fill="DCE6F1"/>
          </w:tcPr>
          <w:p>
            <w:r>
              <w:rPr>
                <w:b w:val="0"/>
                <w:sz w:val="18"/>
              </w:rPr>
              <w:t>&gt;= 1.24</w:t>
            </w:r>
          </w:p>
        </w:tc>
        <w:tc>
          <w:tcPr>
            <w:tcW w:type="dxa" w:w="3288"/>
            <w:shd w:val="clear" w:color="auto" w:fill="DCE6F1"/>
          </w:tcPr>
          <w:p>
            <w:r>
              <w:rPr>
                <w:b w:val="0"/>
                <w:sz w:val="18"/>
              </w:rPr>
              <w:t>Array operations and thresholding</w:t>
            </w:r>
          </w:p>
        </w:tc>
      </w:tr>
      <w:tr>
        <w:tc>
          <w:tcPr>
            <w:tcW w:type="dxa" w:w="2154"/>
          </w:tcPr>
          <w:p>
            <w:r>
              <w:rPr>
                <w:b w:val="0"/>
                <w:sz w:val="18"/>
              </w:rPr>
              <w:t>Serialisation</w:t>
            </w:r>
          </w:p>
        </w:tc>
        <w:tc>
          <w:tcPr>
            <w:tcW w:type="dxa" w:w="2154"/>
          </w:tcPr>
          <w:p>
            <w:r>
              <w:rPr>
                <w:b w:val="0"/>
                <w:sz w:val="18"/>
              </w:rPr>
              <w:t>joblib</w:t>
            </w:r>
          </w:p>
        </w:tc>
        <w:tc>
          <w:tcPr>
            <w:tcW w:type="dxa" w:w="2041"/>
          </w:tcPr>
          <w:p>
            <w:r>
              <w:rPr>
                <w:b w:val="0"/>
                <w:sz w:val="18"/>
              </w:rPr>
              <w:t>&gt;= 1.3</w:t>
            </w:r>
          </w:p>
        </w:tc>
        <w:tc>
          <w:tcPr>
            <w:tcW w:type="dxa" w:w="3288"/>
          </w:tcPr>
          <w:p>
            <w:r>
              <w:rPr>
                <w:b w:val="0"/>
                <w:sz w:val="18"/>
              </w:rPr>
              <w:t>Model artifact persistence</w:t>
            </w:r>
          </w:p>
        </w:tc>
      </w:tr>
      <w:tr>
        <w:tc>
          <w:tcPr>
            <w:tcW w:type="dxa" w:w="2154"/>
            <w:shd w:val="clear" w:color="auto" w:fill="DCE6F1"/>
          </w:tcPr>
          <w:p>
            <w:r>
              <w:rPr>
                <w:b w:val="0"/>
                <w:sz w:val="18"/>
              </w:rPr>
              <w:t>REST API</w:t>
            </w:r>
          </w:p>
        </w:tc>
        <w:tc>
          <w:tcPr>
            <w:tcW w:type="dxa" w:w="2154"/>
            <w:shd w:val="clear" w:color="auto" w:fill="DCE6F1"/>
          </w:tcPr>
          <w:p>
            <w:r>
              <w:rPr>
                <w:b w:val="0"/>
                <w:sz w:val="18"/>
              </w:rPr>
              <w:t>FastAPI + uvicorn</w:t>
            </w:r>
          </w:p>
        </w:tc>
        <w:tc>
          <w:tcPr>
            <w:tcW w:type="dxa" w:w="2041"/>
            <w:shd w:val="clear" w:color="auto" w:fill="DCE6F1"/>
          </w:tcPr>
          <w:p>
            <w:r>
              <w:rPr>
                <w:b w:val="0"/>
                <w:sz w:val="18"/>
              </w:rPr>
              <w:t>&gt;= 0.110 / &gt;= 0.27</w:t>
            </w:r>
          </w:p>
        </w:tc>
        <w:tc>
          <w:tcPr>
            <w:tcW w:type="dxa" w:w="3288"/>
            <w:shd w:val="clear" w:color="auto" w:fill="DCE6F1"/>
          </w:tcPr>
          <w:p>
            <w:r>
              <w:rPr>
                <w:b w:val="0"/>
                <w:sz w:val="18"/>
              </w:rPr>
              <w:t>Scoring endpoints, ASGI server</w:t>
            </w:r>
          </w:p>
        </w:tc>
      </w:tr>
      <w:tr>
        <w:tc>
          <w:tcPr>
            <w:tcW w:type="dxa" w:w="2154"/>
          </w:tcPr>
          <w:p>
            <w:r>
              <w:rPr>
                <w:b w:val="0"/>
                <w:sz w:val="18"/>
              </w:rPr>
              <w:t>Schema validation</w:t>
            </w:r>
          </w:p>
        </w:tc>
        <w:tc>
          <w:tcPr>
            <w:tcW w:type="dxa" w:w="2154"/>
          </w:tcPr>
          <w:p>
            <w:r>
              <w:rPr>
                <w:b w:val="0"/>
                <w:sz w:val="18"/>
              </w:rPr>
              <w:t>Pydantic v2</w:t>
            </w:r>
          </w:p>
        </w:tc>
        <w:tc>
          <w:tcPr>
            <w:tcW w:type="dxa" w:w="2041"/>
          </w:tcPr>
          <w:p>
            <w:r>
              <w:rPr>
                <w:b w:val="0"/>
                <w:sz w:val="18"/>
              </w:rPr>
              <w:t>&gt;= 2.6</w:t>
            </w:r>
          </w:p>
        </w:tc>
        <w:tc>
          <w:tcPr>
            <w:tcW w:type="dxa" w:w="3288"/>
          </w:tcPr>
          <w:p>
            <w:r>
              <w:rPr>
                <w:b w:val="0"/>
                <w:sz w:val="18"/>
              </w:rPr>
              <w:t>LeadInput, ScoreOutput contracts</w:t>
            </w:r>
          </w:p>
        </w:tc>
      </w:tr>
      <w:tr>
        <w:tc>
          <w:tcPr>
            <w:tcW w:type="dxa" w:w="2154"/>
            <w:shd w:val="clear" w:color="auto" w:fill="DCE6F1"/>
          </w:tcPr>
          <w:p>
            <w:r>
              <w:rPr>
                <w:b w:val="0"/>
                <w:sz w:val="18"/>
              </w:rPr>
              <w:t>Dashboard</w:t>
            </w:r>
          </w:p>
        </w:tc>
        <w:tc>
          <w:tcPr>
            <w:tcW w:type="dxa" w:w="2154"/>
            <w:shd w:val="clear" w:color="auto" w:fill="DCE6F1"/>
          </w:tcPr>
          <w:p>
            <w:r>
              <w:rPr>
                <w:b w:val="0"/>
                <w:sz w:val="18"/>
              </w:rPr>
              <w:t>Streamlit</w:t>
            </w:r>
          </w:p>
        </w:tc>
        <w:tc>
          <w:tcPr>
            <w:tcW w:type="dxa" w:w="2041"/>
            <w:shd w:val="clear" w:color="auto" w:fill="DCE6F1"/>
          </w:tcPr>
          <w:p>
            <w:r>
              <w:rPr>
                <w:b w:val="0"/>
                <w:sz w:val="18"/>
              </w:rPr>
              <w:t>&gt;= 1.30</w:t>
            </w:r>
          </w:p>
        </w:tc>
        <w:tc>
          <w:tcPr>
            <w:tcW w:type="dxa" w:w="3288"/>
            <w:shd w:val="clear" w:color="auto" w:fill="DCE6F1"/>
          </w:tcPr>
          <w:p>
            <w:r>
              <w:rPr>
                <w:b w:val="0"/>
                <w:sz w:val="18"/>
              </w:rPr>
              <w:t>Business UI — 7-tab interactive app</w:t>
            </w:r>
          </w:p>
        </w:tc>
      </w:tr>
      <w:tr>
        <w:tc>
          <w:tcPr>
            <w:tcW w:type="dxa" w:w="2154"/>
          </w:tcPr>
          <w:p>
            <w:r>
              <w:rPr>
                <w:b w:val="0"/>
                <w:sz w:val="18"/>
              </w:rPr>
              <w:t>Charts</w:t>
            </w:r>
          </w:p>
        </w:tc>
        <w:tc>
          <w:tcPr>
            <w:tcW w:type="dxa" w:w="2154"/>
          </w:tcPr>
          <w:p>
            <w:r>
              <w:rPr>
                <w:b w:val="0"/>
                <w:sz w:val="18"/>
              </w:rPr>
              <w:t>Plotly</w:t>
            </w:r>
          </w:p>
        </w:tc>
        <w:tc>
          <w:tcPr>
            <w:tcW w:type="dxa" w:w="2041"/>
          </w:tcPr>
          <w:p>
            <w:r>
              <w:rPr>
                <w:b w:val="0"/>
                <w:sz w:val="18"/>
              </w:rPr>
              <w:t>&gt;= 5.18</w:t>
            </w:r>
          </w:p>
        </w:tc>
        <w:tc>
          <w:tcPr>
            <w:tcW w:type="dxa" w:w="3288"/>
          </w:tcPr>
          <w:p>
            <w:r>
              <w:rPr>
                <w:b w:val="0"/>
                <w:sz w:val="18"/>
              </w:rPr>
              <w:t>Interactive visualisations</w:t>
            </w:r>
          </w:p>
        </w:tc>
      </w:tr>
      <w:tr>
        <w:tc>
          <w:tcPr>
            <w:tcW w:type="dxa" w:w="2154"/>
            <w:shd w:val="clear" w:color="auto" w:fill="DCE6F1"/>
          </w:tcPr>
          <w:p>
            <w:r>
              <w:rPr>
                <w:b w:val="0"/>
                <w:sz w:val="18"/>
              </w:rPr>
              <w:t>HTTP client</w:t>
            </w:r>
          </w:p>
        </w:tc>
        <w:tc>
          <w:tcPr>
            <w:tcW w:type="dxa" w:w="2154"/>
            <w:shd w:val="clear" w:color="auto" w:fill="DCE6F1"/>
          </w:tcPr>
          <w:p>
            <w:r>
              <w:rPr>
                <w:b w:val="0"/>
                <w:sz w:val="18"/>
              </w:rPr>
              <w:t>requests</w:t>
            </w:r>
          </w:p>
        </w:tc>
        <w:tc>
          <w:tcPr>
            <w:tcW w:type="dxa" w:w="2041"/>
            <w:shd w:val="clear" w:color="auto" w:fill="DCE6F1"/>
          </w:tcPr>
          <w:p>
            <w:r>
              <w:rPr>
                <w:b w:val="0"/>
                <w:sz w:val="18"/>
              </w:rPr>
              <w:t>&gt;= 2.31</w:t>
            </w:r>
          </w:p>
        </w:tc>
        <w:tc>
          <w:tcPr>
            <w:tcW w:type="dxa" w:w="3288"/>
            <w:shd w:val="clear" w:color="auto" w:fill="DCE6F1"/>
          </w:tcPr>
          <w:p>
            <w:r>
              <w:rPr>
                <w:b w:val="0"/>
                <w:sz w:val="18"/>
              </w:rPr>
              <w:t>ARES registry calls</w:t>
            </w:r>
          </w:p>
        </w:tc>
      </w:tr>
      <w:tr>
        <w:tc>
          <w:tcPr>
            <w:tcW w:type="dxa" w:w="2154"/>
          </w:tcPr>
          <w:p>
            <w:r>
              <w:rPr>
                <w:b w:val="0"/>
                <w:sz w:val="18"/>
              </w:rPr>
              <w:t>PDF export</w:t>
            </w:r>
          </w:p>
        </w:tc>
        <w:tc>
          <w:tcPr>
            <w:tcW w:type="dxa" w:w="2154"/>
          </w:tcPr>
          <w:p>
            <w:r>
              <w:rPr>
                <w:b w:val="0"/>
                <w:sz w:val="18"/>
              </w:rPr>
              <w:t>ReportLab</w:t>
            </w:r>
          </w:p>
        </w:tc>
        <w:tc>
          <w:tcPr>
            <w:tcW w:type="dxa" w:w="2041"/>
          </w:tcPr>
          <w:p>
            <w:r>
              <w:rPr>
                <w:b w:val="0"/>
                <w:sz w:val="18"/>
              </w:rPr>
              <w:t>&gt;= 4.0</w:t>
            </w:r>
          </w:p>
        </w:tc>
        <w:tc>
          <w:tcPr>
            <w:tcW w:type="dxa" w:w="3288"/>
          </w:tcPr>
          <w:p>
            <w:r>
              <w:rPr>
                <w:b w:val="0"/>
                <w:sz w:val="18"/>
              </w:rPr>
              <w:t>Lead card PDF generation</w:t>
            </w:r>
          </w:p>
        </w:tc>
      </w:tr>
      <w:tr>
        <w:tc>
          <w:tcPr>
            <w:tcW w:type="dxa" w:w="2154"/>
            <w:shd w:val="clear" w:color="auto" w:fill="DCE6F1"/>
          </w:tcPr>
          <w:p>
            <w:r>
              <w:rPr>
                <w:b w:val="0"/>
                <w:sz w:val="18"/>
              </w:rPr>
              <w:t>SF integration</w:t>
            </w:r>
          </w:p>
        </w:tc>
        <w:tc>
          <w:tcPr>
            <w:tcW w:type="dxa" w:w="2154"/>
            <w:shd w:val="clear" w:color="auto" w:fill="DCE6F1"/>
          </w:tcPr>
          <w:p>
            <w:r>
              <w:rPr>
                <w:b w:val="0"/>
                <w:sz w:val="18"/>
              </w:rPr>
              <w:t>simple-salesforce</w:t>
            </w:r>
          </w:p>
        </w:tc>
        <w:tc>
          <w:tcPr>
            <w:tcW w:type="dxa" w:w="2041"/>
            <w:shd w:val="clear" w:color="auto" w:fill="DCE6F1"/>
          </w:tcPr>
          <w:p>
            <w:r>
              <w:rPr>
                <w:b w:val="0"/>
                <w:sz w:val="18"/>
              </w:rPr>
              <w:t>&gt;= 1.12</w:t>
            </w:r>
          </w:p>
        </w:tc>
        <w:tc>
          <w:tcPr>
            <w:tcW w:type="dxa" w:w="3288"/>
            <w:shd w:val="clear" w:color="auto" w:fill="DCE6F1"/>
          </w:tcPr>
          <w:p>
            <w:r>
              <w:rPr>
                <w:b w:val="0"/>
                <w:sz w:val="18"/>
              </w:rPr>
              <w:t>SOQL queries and Bulk API upsert (sf_sync.py)</w:t>
            </w:r>
          </w:p>
        </w:tc>
      </w:tr>
      <w:tr>
        <w:tc>
          <w:tcPr>
            <w:tcW w:type="dxa" w:w="2154"/>
          </w:tcPr>
          <w:p>
            <w:r>
              <w:rPr>
                <w:b w:val="0"/>
                <w:sz w:val="18"/>
              </w:rPr>
              <w:t>Config management</w:t>
            </w:r>
          </w:p>
        </w:tc>
        <w:tc>
          <w:tcPr>
            <w:tcW w:type="dxa" w:w="2154"/>
          </w:tcPr>
          <w:p>
            <w:r>
              <w:rPr>
                <w:b w:val="0"/>
                <w:sz w:val="18"/>
              </w:rPr>
              <w:t>python-dotenv</w:t>
            </w:r>
          </w:p>
        </w:tc>
        <w:tc>
          <w:tcPr>
            <w:tcW w:type="dxa" w:w="2041"/>
          </w:tcPr>
          <w:p>
            <w:r>
              <w:rPr>
                <w:b w:val="0"/>
                <w:sz w:val="18"/>
              </w:rPr>
              <w:t>&gt;= 1.0</w:t>
            </w:r>
          </w:p>
        </w:tc>
        <w:tc>
          <w:tcPr>
            <w:tcW w:type="dxa" w:w="3288"/>
          </w:tcPr>
          <w:p>
            <w:r>
              <w:rPr>
                <w:b w:val="0"/>
                <w:sz w:val="18"/>
              </w:rPr>
              <w:t>Load .env credentials for scripts</w:t>
            </w:r>
          </w:p>
        </w:tc>
      </w:tr>
      <w:tr>
        <w:tc>
          <w:tcPr>
            <w:tcW w:type="dxa" w:w="2154"/>
            <w:shd w:val="clear" w:color="auto" w:fill="DCE6F1"/>
          </w:tcPr>
          <w:p>
            <w:r>
              <w:rPr>
                <w:b w:val="0"/>
                <w:sz w:val="18"/>
              </w:rPr>
              <w:t>Containerisation</w:t>
            </w:r>
          </w:p>
        </w:tc>
        <w:tc>
          <w:tcPr>
            <w:tcW w:type="dxa" w:w="2154"/>
            <w:shd w:val="clear" w:color="auto" w:fill="DCE6F1"/>
          </w:tcPr>
          <w:p>
            <w:r>
              <w:rPr>
                <w:b w:val="0"/>
                <w:sz w:val="18"/>
              </w:rPr>
              <w:t>Docker + Compose</w:t>
            </w:r>
          </w:p>
        </w:tc>
        <w:tc>
          <w:tcPr>
            <w:tcW w:type="dxa" w:w="2041"/>
            <w:shd w:val="clear" w:color="auto" w:fill="DCE6F1"/>
          </w:tcPr>
          <w:p>
            <w:r>
              <w:rPr>
                <w:b w:val="0"/>
                <w:sz w:val="18"/>
              </w:rPr>
              <w:t>latest</w:t>
            </w:r>
          </w:p>
        </w:tc>
        <w:tc>
          <w:tcPr>
            <w:tcW w:type="dxa" w:w="3288"/>
            <w:shd w:val="clear" w:color="auto" w:fill="DCE6F1"/>
          </w:tcPr>
          <w:p>
            <w:r>
              <w:rPr>
                <w:b w:val="0"/>
                <w:sz w:val="18"/>
              </w:rPr>
              <w:t>Single-image two-container deployment</w:t>
            </w:r>
          </w:p>
        </w:tc>
      </w:tr>
      <w:tr>
        <w:tc>
          <w:tcPr>
            <w:tcW w:type="dxa" w:w="2154"/>
          </w:tcPr>
          <w:p>
            <w:r>
              <w:rPr>
                <w:b w:val="0"/>
                <w:sz w:val="18"/>
              </w:rPr>
              <w:t>External registry</w:t>
            </w:r>
          </w:p>
        </w:tc>
        <w:tc>
          <w:tcPr>
            <w:tcW w:type="dxa" w:w="2154"/>
          </w:tcPr>
          <w:p>
            <w:r>
              <w:rPr>
                <w:b w:val="0"/>
                <w:sz w:val="18"/>
              </w:rPr>
              <w:t>ARES (ares.gov.cz)</w:t>
            </w:r>
          </w:p>
        </w:tc>
        <w:tc>
          <w:tcPr>
            <w:tcW w:type="dxa" w:w="2041"/>
          </w:tcPr>
          <w:p>
            <w:r>
              <w:rPr>
                <w:b w:val="0"/>
                <w:sz w:val="18"/>
              </w:rPr>
              <w:t>public API</w:t>
            </w:r>
          </w:p>
        </w:tc>
        <w:tc>
          <w:tcPr>
            <w:tcW w:type="dxa" w:w="3288"/>
          </w:tcPr>
          <w:p>
            <w:r>
              <w:rPr>
                <w:b w:val="0"/>
                <w:sz w:val="18"/>
              </w:rPr>
              <w:t>Czech company firmographics — live enrichment</w:t>
            </w:r>
          </w:p>
        </w:tc>
      </w:tr>
      <w:tr>
        <w:tc>
          <w:tcPr>
            <w:tcW w:type="dxa" w:w="2154"/>
            <w:shd w:val="clear" w:color="auto" w:fill="DCE6F1"/>
          </w:tcPr>
          <w:p>
            <w:r>
              <w:rPr>
                <w:b w:val="0"/>
                <w:sz w:val="18"/>
              </w:rPr>
              <w:t>CRM target</w:t>
            </w:r>
          </w:p>
        </w:tc>
        <w:tc>
          <w:tcPr>
            <w:tcW w:type="dxa" w:w="2154"/>
            <w:shd w:val="clear" w:color="auto" w:fill="DCE6F1"/>
          </w:tcPr>
          <w:p>
            <w:r>
              <w:rPr>
                <w:b w:val="0"/>
                <w:sz w:val="18"/>
              </w:rPr>
              <w:t>Salesforce</w:t>
            </w:r>
          </w:p>
        </w:tc>
        <w:tc>
          <w:tcPr>
            <w:tcW w:type="dxa" w:w="2041"/>
            <w:shd w:val="clear" w:color="auto" w:fill="DCE6F1"/>
          </w:tcPr>
          <w:p>
            <w:r>
              <w:rPr>
                <w:b w:val="0"/>
                <w:sz w:val="18"/>
              </w:rPr>
              <w:t>—</w:t>
            </w:r>
          </w:p>
        </w:tc>
        <w:tc>
          <w:tcPr>
            <w:tcW w:type="dxa" w:w="3288"/>
            <w:shd w:val="clear" w:color="auto" w:fill="DCE6F1"/>
          </w:tcPr>
          <w:p>
            <w:r>
              <w:rPr>
                <w:b w:val="0"/>
                <w:sz w:val="18"/>
              </w:rPr>
              <w:t>Lead write-back via Bulk API</w:t>
            </w:r>
          </w:p>
        </w:tc>
      </w:tr>
    </w:tbl>
    <w:p>
      <w:pPr>
        <w:jc w:val="center"/>
      </w:pPr>
      <w:r>
        <w:rPr>
          <w:i/>
          <w:color w:val="595959"/>
          <w:sz w:val="16"/>
        </w:rPr>
        <w:t>Table 3. Full tech stack with version pins from requirements.txt.</w:t>
      </w:r>
    </w:p>
    <w:p>
      <w:pPr>
        <w:spacing w:before="0" w:after="0"/>
      </w:pPr>
    </w:p>
    <w:p>
      <w:pPr>
        <w:spacing w:after="120"/>
      </w:pPr>
      <w:r>
        <w:rPr>
          <w:b w:val="0"/>
          <w:i w:val="0"/>
          <w:sz w:val="20"/>
        </w:rPr>
        <w:t>Python and scikit-learn were chosen over heavier frameworks because tabular binary classification on structured CRM data is a domain where gradient boosted trees consistently outperform deep networks while requiring a fraction of the infrastructure. The result is a self-contained image that starts in under three seconds on commodity hardware. simple-salesforce wraps the Salesforce REST and Bulk APIs behind a clean Python interface, keeping sf_sync.py focused on business logic rather than HTTP plumbing.</w:t>
      </w:r>
    </w:p>
    <w:p>
      <w:pPr>
        <w:pBdr>
          <w:bottom w:val="single" w:sz="4" w:space="1" w:color="2E75B6"/>
        </w:pBdr>
      </w:pPr>
    </w:p>
    <w:p>
      <w:r>
        <w:br w:type="page"/>
      </w:r>
    </w:p>
    <w:p>
      <w:pPr>
        <w:pStyle w:val="Heading1"/>
      </w:pPr>
      <w:r>
        <w:rPr>
          <w:color w:val="1F3864"/>
        </w:rPr>
        <w:t>5. Data Sources and Data Lineage</w:t>
      </w:r>
    </w:p>
    <w:p>
      <w:pPr>
        <w:spacing w:after="120"/>
      </w:pPr>
      <w:r>
        <w:rPr>
          <w:b w:val="0"/>
          <w:i w:val="0"/>
          <w:sz w:val="20"/>
        </w:rPr>
        <w:t>The training data originates from three distinct sources that serve different purposes and carry different levels of trustworthiness.</w:t>
      </w:r>
    </w:p>
    <w:p>
      <w:pPr>
        <w:spacing w:after="120"/>
      </w:pPr>
      <w:r>
        <w:rPr>
          <w:b w:val="0"/>
          <w:i w:val="0"/>
          <w:sz w:val="20"/>
        </w:rPr>
        <w:t>The firmographic skeleton of every lead comes from the RES open data export published by the Czech Statistical Office. These are real Czech companies with authoritative IČO identifiers, legal form codes, NACE industry classifications, regional affiliation, and founding dates. A NACE section filter reduces the full export of approximately 90,000 companies to roughly 30,000 in four sectors with realistic Salesforce consulting demand: Manufacturing (C), Information and Communication (J), Financial and Insurance Activities (K), and Professional, Scientific and Technical Activities (M). Using real company identities means the model's learned associations between company type and conversion likelihood reflect actual Czech market structure.</w:t>
      </w:r>
    </w:p>
    <w:p>
      <w:pPr>
        <w:spacing w:after="120"/>
      </w:pPr>
      <w:r>
        <w:rPr>
          <w:b w:val="0"/>
          <w:i w:val="0"/>
          <w:sz w:val="20"/>
        </w:rPr>
        <w:t>Layered on top of real firmographics is synthetic CRM telemetry generated by data_generator.py: web interactions, email engagement, call counts, meetings held, demo requests, proposal flags, LinkedIn views, response times, and pipeline stage fields. These are generated because Enehano had not accumulated a labelled historical dataset of sufficient size. The generator introduces logit noise drawn from a Normal distribution with standard deviation 0.8 so the model cannot trivially memorise a formula. The consequence for generalisation must be stated plainly: the AUC and lift figures in this document reflect synthetic outcome distributions. Before binding business decisions are made on the model's output, it must be retrained on real Closed_Won history.</w:t>
      </w:r>
    </w:p>
    <w:p>
      <w:pPr>
        <w:spacing w:after="120"/>
      </w:pPr>
      <w:r>
        <w:rPr>
          <w:b w:val="0"/>
          <w:i w:val="0"/>
          <w:sz w:val="20"/>
        </w:rPr>
        <w:t>The third source is the ARES public registry, which plays two roles. During training, ARES-derived fields are embedded in the RES seed data. At inference time, any IČO passed to the /score/enrich endpoint triggers a live ARES lookup that returns the same authoritative fields — company name, legal form, NACE code, and registration date — which are merged into the feature vector before scoring. The API caches every response in a process-level dictionary keyed by IČO, so the registry is called at most once per company per process lifetime.</w:t>
      </w:r>
    </w:p>
    <w:p>
      <w:pPr>
        <w:pStyle w:val="Heading2"/>
      </w:pPr>
      <w:r>
        <w:rPr>
          <w:color w:val="2E75B6"/>
        </w:rPr>
        <w:t>5.1  Leakage Control</w:t>
      </w:r>
    </w:p>
    <w:p>
      <w:pPr>
        <w:spacing w:after="120"/>
      </w:pPr>
      <w:r>
        <w:rPr>
          <w:b w:val="0"/>
          <w:i w:val="0"/>
          <w:sz w:val="20"/>
        </w:rPr>
        <w:t>Two features — Days_in_Pipeline__c and Days_Since_Last_Activity__c — are mechanically correlated with the synthetic generator's internal Status field, which drives the conversion label. In the synthetic data they act as leakage proxies that inflate AUC on this dataset but will not generalise to real CRM data. The system surfaces this as an explicit opt-in flag: the default retains these features and reports benchmark AUC of 0.935 with a documented caveat. Setting EXCLUDE_STATUS_PROXIES=1 drops all six proxy features and achieves AUC 0.880 with top-20% converter capture of approximately 60 percent — still approximately twice the rule baseline. This mode is required for any real-data production retrain.</w:t>
      </w:r>
    </w:p>
    <w:p>
      <w:pPr>
        <w:pStyle w:val="Heading2"/>
      </w:pPr>
      <w:r>
        <w:rPr>
          <w:color w:val="2E75B6"/>
        </w:rPr>
        <w:t>5.2  Data Lineage</w:t>
      </w:r>
    </w:p>
    <w:p>
      <w:pPr>
        <w:jc w:val="center"/>
        <w:pBdr>
          <w:top w:val="single" w:sz="6" w:space="4" w:color="AAAAAA"/>
          <w:left w:val="single" w:sz="6" w:space="4" w:color="AAAAAA"/>
          <w:bottom w:val="single" w:sz="6" w:space="4" w:color="AAAAAA"/>
          <w:right w:val="single" w:sz="6" w:space="4" w:color="AAAAAA"/>
        </w:pBdr>
      </w:pPr>
      <w:r>
        <w:rPr>
          <w:i/>
          <w:color w:val="595959"/>
          <w:sz w:val="18"/>
        </w:rPr>
        <w:t>[Figure 2 — Data lineage: RES CSV (real, ~30k after NACE filter) -&gt; data_generator.py (synthetic CRM telemetry + synthetic labels) -&gt; lead_train.csv. ARES REST API (real, process-cached by IČO) -&gt; /score/enrich at inference time. Both paths feed feature_engineering.py -&gt; train.py -&gt; src/models/*.pkl -&gt; api.py and app.py. contracts.py is the shared boundary consumed by all layers.]</w:t>
      </w:r>
    </w:p>
    <w:p>
      <w:pPr>
        <w:pBdr>
          <w:bottom w:val="single" w:sz="4" w:space="1" w:color="2E75B6"/>
        </w:pBdr>
      </w:pPr>
    </w:p>
    <w:p>
      <w:r>
        <w:br w:type="page"/>
      </w:r>
    </w:p>
    <w:p>
      <w:pPr>
        <w:pStyle w:val="Heading1"/>
      </w:pPr>
      <w:r>
        <w:rPr>
          <w:color w:val="1F3864"/>
        </w:rPr>
        <w:t>6. ML Modelling Pipeline</w:t>
      </w:r>
    </w:p>
    <w:p>
      <w:pPr>
        <w:pStyle w:val="Heading2"/>
      </w:pPr>
      <w:r>
        <w:rPr>
          <w:color w:val="2E75B6"/>
        </w:rPr>
        <w:t>6.1  Two-Stage Architecture</w:t>
      </w:r>
    </w:p>
    <w:p>
      <w:pPr>
        <w:spacing w:after="120"/>
      </w:pPr>
      <w:r>
        <w:rPr>
          <w:b w:val="0"/>
          <w:i w:val="0"/>
          <w:sz w:val="20"/>
        </w:rPr>
        <w:t>The platform trains two independent probability-calibrated classifiers. The conversion model is trained on all 30,000 leads and predicts P(Lead becomes Opportunity). The win model is trained only on the 8,394 leads that did convert and predicts P(Opportunity closes as Closed Won). The Expected Win Percentage is their product: P(Convert) x P(Win | Converted). The product structure is load-bearing: a sum would allow a lead with very high win probability to inflate its score even when conversion is unlikely. The product enforces that both hurdles must be high for the overall score to be high, aligning with the actual sales funnel.</w:t>
      </w:r>
    </w:p>
    <w:p>
      <w:pPr>
        <w:pStyle w:val="Heading2"/>
      </w:pPr>
      <w:r>
        <w:rPr>
          <w:color w:val="2E75B6"/>
        </w:rPr>
        <w:t>6.2  One-Standard-Error Model Selection</w:t>
      </w:r>
    </w:p>
    <w:p>
      <w:pPr>
        <w:spacing w:after="120"/>
      </w:pPr>
      <w:r>
        <w:rPr>
          <w:b w:val="0"/>
          <w:i w:val="0"/>
          <w:sz w:val="20"/>
        </w:rPr>
        <w:t>For each stage, five candidate algorithms are evaluated: baseline Gradient Boosting, Histogram Gradient Boosting, Logistic Regression, native LightGBM, and a stacking ensemble. All candidates use five-fold time-series cross-validation with a 30-day gap between folds. The winner is not the candidate with the highest held-out AUC. In most runs the top candidates differ by less than the CV standard error, so selecting the raw argmax is selecting noise. Instead the system applies a one-standard-error rule: it collects every candidate whose mean CV AUC lies within one standard error of the best, then selects the simplest model from that set according to a fixed complexity ladder — LogisticRegression first, then HistGBM, GBM, LightGBM, Stacking. This yields a reproducible choice that does not change between retrains unless the data genuinely shifts. For the conversion model HistGBM is selected; for the win model, LogisticRegression achieves the highest CV mean and is both simplest and best.</w:t>
      </w:r>
    </w:p>
    <w:p>
      <w:pPr>
        <w:pStyle w:val="Heading2"/>
      </w:pPr>
      <w:r>
        <w:rPr>
          <w:color w:val="2E75B6"/>
        </w:rPr>
        <w:t>6.3  Isotonic Calibration</w:t>
      </w:r>
    </w:p>
    <w:p>
      <w:pPr>
        <w:spacing w:after="120"/>
      </w:pPr>
      <w:r>
        <w:rPr>
          <w:b w:val="0"/>
          <w:i w:val="0"/>
          <w:sz w:val="20"/>
        </w:rPr>
        <w:t>The selected base estimator is frozen and wrapped in a CalibratedClassifierCV using isotonic regression fit on a temporal holdout. Isotonic regression was chosen over Platt scaling because tree-model probability distortions are generally not sigmoid-shaped and require a non-parametric correction. The result is Expected Calibration Error of 0.019 for conversion and 0.029 for win, both inside the target threshold of 0.05.</w:t>
      </w:r>
    </w:p>
    <w:p>
      <w:pPr>
        <w:pStyle w:val="Heading2"/>
      </w:pPr>
      <w:r>
        <w:rPr>
          <w:color w:val="2E75B6"/>
        </w:rPr>
        <w:t>6.4  Model Results</w:t>
      </w:r>
    </w:p>
    <w:tbl>
      <w:tblPr>
        <w:tblStyle w:val="TableGrid"/>
        <w:tblW w:type="auto" w:w="0"/>
        <w:jc w:val="left"/>
        <w:tblLook w:firstColumn="1" w:firstRow="1" w:lastColumn="0" w:lastRow="0" w:noHBand="0" w:noVBand="1" w:val="04A0"/>
      </w:tblPr>
      <w:tblGrid>
        <w:gridCol w:w="1384"/>
        <w:gridCol w:w="1384"/>
        <w:gridCol w:w="1384"/>
        <w:gridCol w:w="1384"/>
        <w:gridCol w:w="1384"/>
        <w:gridCol w:w="1384"/>
        <w:gridCol w:w="1384"/>
      </w:tblGrid>
      <w:tr>
        <w:tc>
          <w:tcPr>
            <w:tcW w:type="dxa" w:w="1361"/>
            <w:shd w:val="clear" w:color="auto" w:fill="1F3864"/>
          </w:tcPr>
          <w:p>
            <w:pPr>
              <w:jc w:val="center"/>
            </w:pPr>
            <w:r>
              <w:rPr>
                <w:b/>
                <w:color w:val="FFFFFF"/>
                <w:sz w:val="18"/>
              </w:rPr>
              <w:t>Model</w:t>
            </w:r>
          </w:p>
        </w:tc>
        <w:tc>
          <w:tcPr>
            <w:tcW w:type="dxa" w:w="2835"/>
            <w:shd w:val="clear" w:color="auto" w:fill="1F3864"/>
          </w:tcPr>
          <w:p>
            <w:pPr>
              <w:jc w:val="center"/>
            </w:pPr>
            <w:r>
              <w:rPr>
                <w:b/>
                <w:color w:val="FFFFFF"/>
                <w:sz w:val="18"/>
              </w:rPr>
              <w:t>Algorithm</w:t>
            </w:r>
          </w:p>
        </w:tc>
        <w:tc>
          <w:tcPr>
            <w:tcW w:type="dxa" w:w="1984"/>
            <w:shd w:val="clear" w:color="auto" w:fill="1F3864"/>
          </w:tcPr>
          <w:p>
            <w:pPr>
              <w:jc w:val="center"/>
            </w:pPr>
            <w:r>
              <w:rPr>
                <w:b/>
                <w:color w:val="FFFFFF"/>
                <w:sz w:val="18"/>
              </w:rPr>
              <w:t>Training set</w:t>
            </w:r>
          </w:p>
        </w:tc>
        <w:tc>
          <w:tcPr>
            <w:tcW w:type="dxa" w:w="1134"/>
            <w:shd w:val="clear" w:color="auto" w:fill="1F3864"/>
          </w:tcPr>
          <w:p>
            <w:pPr>
              <w:jc w:val="center"/>
            </w:pPr>
            <w:r>
              <w:rPr>
                <w:b/>
                <w:color w:val="FFFFFF"/>
                <w:sz w:val="18"/>
              </w:rPr>
              <w:t>Test AUC</w:t>
            </w:r>
          </w:p>
        </w:tc>
        <w:tc>
          <w:tcPr>
            <w:tcW w:type="dxa" w:w="1134"/>
            <w:shd w:val="clear" w:color="auto" w:fill="1F3864"/>
          </w:tcPr>
          <w:p>
            <w:pPr>
              <w:jc w:val="center"/>
            </w:pPr>
            <w:r>
              <w:rPr>
                <w:b/>
                <w:color w:val="FFFFFF"/>
                <w:sz w:val="18"/>
              </w:rPr>
              <w:t>PR-AUC</w:t>
            </w:r>
          </w:p>
        </w:tc>
        <w:tc>
          <w:tcPr>
            <w:tcW w:type="dxa" w:w="1020"/>
            <w:shd w:val="clear" w:color="auto" w:fill="1F3864"/>
          </w:tcPr>
          <w:p>
            <w:pPr>
              <w:jc w:val="center"/>
            </w:pPr>
            <w:r>
              <w:rPr>
                <w:b/>
                <w:color w:val="FFFFFF"/>
                <w:sz w:val="18"/>
              </w:rPr>
              <w:t>F1</w:t>
            </w:r>
          </w:p>
        </w:tc>
        <w:tc>
          <w:tcPr>
            <w:tcW w:type="dxa" w:w="1020"/>
            <w:shd w:val="clear" w:color="auto" w:fill="1F3864"/>
          </w:tcPr>
          <w:p>
            <w:pPr>
              <w:jc w:val="center"/>
            </w:pPr>
            <w:r>
              <w:rPr>
                <w:b/>
                <w:color w:val="FFFFFF"/>
                <w:sz w:val="18"/>
              </w:rPr>
              <w:t>ECE</w:t>
            </w:r>
          </w:p>
        </w:tc>
      </w:tr>
      <w:tr>
        <w:tc>
          <w:tcPr>
            <w:tcW w:type="dxa" w:w="1361"/>
            <w:shd w:val="clear" w:color="auto" w:fill="DCE6F1"/>
          </w:tcPr>
          <w:p>
            <w:r>
              <w:rPr>
                <w:b w:val="0"/>
                <w:sz w:val="18"/>
              </w:rPr>
              <w:t>Conversion</w:t>
            </w:r>
          </w:p>
        </w:tc>
        <w:tc>
          <w:tcPr>
            <w:tcW w:type="dxa" w:w="2835"/>
            <w:shd w:val="clear" w:color="auto" w:fill="DCE6F1"/>
          </w:tcPr>
          <w:p>
            <w:r>
              <w:rPr>
                <w:b w:val="0"/>
                <w:sz w:val="18"/>
              </w:rPr>
              <w:t>Calibrated HistGradientBoosting</w:t>
            </w:r>
          </w:p>
        </w:tc>
        <w:tc>
          <w:tcPr>
            <w:tcW w:type="dxa" w:w="1984"/>
            <w:shd w:val="clear" w:color="auto" w:fill="DCE6F1"/>
          </w:tcPr>
          <w:p>
            <w:r>
              <w:rPr>
                <w:b w:val="0"/>
                <w:sz w:val="18"/>
              </w:rPr>
              <w:t>30,000 leads</w:t>
            </w:r>
          </w:p>
        </w:tc>
        <w:tc>
          <w:tcPr>
            <w:tcW w:type="dxa" w:w="1134"/>
            <w:shd w:val="clear" w:color="auto" w:fill="DCE6F1"/>
          </w:tcPr>
          <w:p>
            <w:r>
              <w:rPr>
                <w:b w:val="0"/>
                <w:sz w:val="18"/>
              </w:rPr>
              <w:t>0.935</w:t>
            </w:r>
          </w:p>
        </w:tc>
        <w:tc>
          <w:tcPr>
            <w:tcW w:type="dxa" w:w="1134"/>
            <w:shd w:val="clear" w:color="auto" w:fill="DCE6F1"/>
          </w:tcPr>
          <w:p>
            <w:r>
              <w:rPr>
                <w:b w:val="0"/>
                <w:sz w:val="18"/>
              </w:rPr>
              <w:t>0.861</w:t>
            </w:r>
          </w:p>
        </w:tc>
        <w:tc>
          <w:tcPr>
            <w:tcW w:type="dxa" w:w="1020"/>
            <w:shd w:val="clear" w:color="auto" w:fill="DCE6F1"/>
          </w:tcPr>
          <w:p>
            <w:r>
              <w:rPr>
                <w:b w:val="0"/>
                <w:sz w:val="18"/>
              </w:rPr>
              <w:t>0.757</w:t>
            </w:r>
          </w:p>
        </w:tc>
        <w:tc>
          <w:tcPr>
            <w:tcW w:type="dxa" w:w="1020"/>
            <w:shd w:val="clear" w:color="auto" w:fill="DCE6F1"/>
          </w:tcPr>
          <w:p>
            <w:r>
              <w:rPr>
                <w:b w:val="0"/>
                <w:sz w:val="18"/>
              </w:rPr>
              <w:t>0.019</w:t>
            </w:r>
          </w:p>
        </w:tc>
      </w:tr>
      <w:tr>
        <w:tc>
          <w:tcPr>
            <w:tcW w:type="dxa" w:w="1361"/>
          </w:tcPr>
          <w:p>
            <w:r>
              <w:rPr>
                <w:b w:val="0"/>
                <w:sz w:val="18"/>
              </w:rPr>
              <w:t>Win</w:t>
            </w:r>
          </w:p>
        </w:tc>
        <w:tc>
          <w:tcPr>
            <w:tcW w:type="dxa" w:w="2835"/>
          </w:tcPr>
          <w:p>
            <w:r>
              <w:rPr>
                <w:b w:val="0"/>
                <w:sz w:val="18"/>
              </w:rPr>
              <w:t>Calibrated LogisticRegression</w:t>
            </w:r>
          </w:p>
        </w:tc>
        <w:tc>
          <w:tcPr>
            <w:tcW w:type="dxa" w:w="1984"/>
          </w:tcPr>
          <w:p>
            <w:r>
              <w:rPr>
                <w:b w:val="0"/>
                <w:sz w:val="18"/>
              </w:rPr>
              <w:t>8,394 converted leads</w:t>
            </w:r>
          </w:p>
        </w:tc>
        <w:tc>
          <w:tcPr>
            <w:tcW w:type="dxa" w:w="1134"/>
          </w:tcPr>
          <w:p>
            <w:r>
              <w:rPr>
                <w:b w:val="0"/>
                <w:sz w:val="18"/>
              </w:rPr>
              <w:t>0.665</w:t>
            </w:r>
          </w:p>
        </w:tc>
        <w:tc>
          <w:tcPr>
            <w:tcW w:type="dxa" w:w="1134"/>
          </w:tcPr>
          <w:p>
            <w:r>
              <w:rPr>
                <w:b w:val="0"/>
                <w:sz w:val="18"/>
              </w:rPr>
              <w:t>—</w:t>
            </w:r>
          </w:p>
        </w:tc>
        <w:tc>
          <w:tcPr>
            <w:tcW w:type="dxa" w:w="1020"/>
          </w:tcPr>
          <w:p>
            <w:r>
              <w:rPr>
                <w:b w:val="0"/>
                <w:sz w:val="18"/>
              </w:rPr>
              <w:t>0.530</w:t>
            </w:r>
          </w:p>
        </w:tc>
        <w:tc>
          <w:tcPr>
            <w:tcW w:type="dxa" w:w="1020"/>
          </w:tcPr>
          <w:p>
            <w:r>
              <w:rPr>
                <w:b w:val="0"/>
                <w:sz w:val="18"/>
              </w:rPr>
              <w:t>0.029</w:t>
            </w:r>
          </w:p>
        </w:tc>
      </w:tr>
      <w:tr>
        <w:tc>
          <w:tcPr>
            <w:tcW w:type="dxa" w:w="1361"/>
            <w:shd w:val="clear" w:color="auto" w:fill="DCE6F1"/>
          </w:tcPr>
          <w:p>
            <w:r>
              <w:rPr>
                <w:b w:val="0"/>
                <w:sz w:val="18"/>
              </w:rPr>
              <w:t>Rule baseline (live)</w:t>
            </w:r>
          </w:p>
        </w:tc>
        <w:tc>
          <w:tcPr>
            <w:tcW w:type="dxa" w:w="2835"/>
            <w:shd w:val="clear" w:color="auto" w:fill="DCE6F1"/>
          </w:tcPr>
          <w:p>
            <w:r>
              <w:rPr>
                <w:b w:val="0"/>
                <w:sz w:val="18"/>
              </w:rPr>
              <w:t>Weighted additive rules</w:t>
            </w:r>
          </w:p>
        </w:tc>
        <w:tc>
          <w:tcPr>
            <w:tcW w:type="dxa" w:w="1984"/>
            <w:shd w:val="clear" w:color="auto" w:fill="DCE6F1"/>
          </w:tcPr>
          <w:p>
            <w:r>
              <w:rPr>
                <w:b w:val="0"/>
                <w:sz w:val="18"/>
              </w:rPr>
              <w:t>—</w:t>
            </w:r>
          </w:p>
        </w:tc>
        <w:tc>
          <w:tcPr>
            <w:tcW w:type="dxa" w:w="1134"/>
            <w:shd w:val="clear" w:color="auto" w:fill="DCE6F1"/>
          </w:tcPr>
          <w:p>
            <w:r>
              <w:rPr>
                <w:b w:val="0"/>
                <w:sz w:val="18"/>
              </w:rPr>
              <w:t>0.640</w:t>
            </w:r>
          </w:p>
        </w:tc>
        <w:tc>
          <w:tcPr>
            <w:tcW w:type="dxa" w:w="1134"/>
            <w:shd w:val="clear" w:color="auto" w:fill="DCE6F1"/>
          </w:tcPr>
          <w:p>
            <w:r>
              <w:rPr>
                <w:b w:val="0"/>
                <w:sz w:val="18"/>
              </w:rPr>
              <w:t>—</w:t>
            </w:r>
          </w:p>
        </w:tc>
        <w:tc>
          <w:tcPr>
            <w:tcW w:type="dxa" w:w="1020"/>
            <w:shd w:val="clear" w:color="auto" w:fill="DCE6F1"/>
          </w:tcPr>
          <w:p>
            <w:r>
              <w:rPr>
                <w:b w:val="0"/>
                <w:sz w:val="18"/>
              </w:rPr>
              <w:t>—</w:t>
            </w:r>
          </w:p>
        </w:tc>
        <w:tc>
          <w:tcPr>
            <w:tcW w:type="dxa" w:w="1020"/>
            <w:shd w:val="clear" w:color="auto" w:fill="DCE6F1"/>
          </w:tcPr>
          <w:p>
            <w:r>
              <w:rPr>
                <w:b w:val="0"/>
                <w:sz w:val="18"/>
              </w:rPr>
              <w:t>—</w:t>
            </w:r>
          </w:p>
        </w:tc>
      </w:tr>
    </w:tbl>
    <w:p>
      <w:pPr>
        <w:jc w:val="center"/>
      </w:pPr>
      <w:r>
        <w:rPr>
          <w:i/>
          <w:color w:val="595959"/>
          <w:sz w:val="16"/>
        </w:rPr>
        <w:t>Table 4. Final model performance on time-based 80/20 holdout.</w:t>
      </w:r>
    </w:p>
    <w:p>
      <w:pPr>
        <w:spacing w:before="0" w:after="0"/>
      </w:pP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268"/>
            <w:shd w:val="clear" w:color="auto" w:fill="1F3864"/>
          </w:tcPr>
          <w:p>
            <w:pPr>
              <w:jc w:val="center"/>
            </w:pPr>
            <w:r>
              <w:rPr>
                <w:b/>
                <w:color w:val="FFFFFF"/>
                <w:sz w:val="18"/>
              </w:rPr>
              <w:t>Budget (top-K%)</w:t>
            </w:r>
          </w:p>
        </w:tc>
        <w:tc>
          <w:tcPr>
            <w:tcW w:type="dxa" w:w="1701"/>
            <w:shd w:val="clear" w:color="auto" w:fill="1F3864"/>
          </w:tcPr>
          <w:p>
            <w:pPr>
              <w:jc w:val="center"/>
            </w:pPr>
            <w:r>
              <w:rPr>
                <w:b/>
                <w:color w:val="FFFFFF"/>
                <w:sz w:val="18"/>
              </w:rPr>
              <w:t>AI capture</w:t>
            </w:r>
          </w:p>
        </w:tc>
        <w:tc>
          <w:tcPr>
            <w:tcW w:type="dxa" w:w="1984"/>
            <w:shd w:val="clear" w:color="auto" w:fill="1F3864"/>
          </w:tcPr>
          <w:p>
            <w:pPr>
              <w:jc w:val="center"/>
            </w:pPr>
            <w:r>
              <w:rPr>
                <w:b/>
                <w:color w:val="FFFFFF"/>
                <w:sz w:val="18"/>
              </w:rPr>
              <w:t>Rules capture</w:t>
            </w:r>
          </w:p>
        </w:tc>
        <w:tc>
          <w:tcPr>
            <w:tcW w:type="dxa" w:w="1984"/>
            <w:shd w:val="clear" w:color="auto" w:fill="1F3864"/>
          </w:tcPr>
          <w:p>
            <w:pPr>
              <w:jc w:val="center"/>
            </w:pPr>
            <w:r>
              <w:rPr>
                <w:b/>
                <w:color w:val="FFFFFF"/>
                <w:sz w:val="18"/>
              </w:rPr>
              <w:t>Uplift</w:t>
            </w:r>
          </w:p>
        </w:tc>
      </w:tr>
      <w:tr>
        <w:tc>
          <w:tcPr>
            <w:tcW w:type="dxa" w:w="2268"/>
            <w:shd w:val="clear" w:color="auto" w:fill="DCE6F1"/>
          </w:tcPr>
          <w:p>
            <w:r>
              <w:rPr>
                <w:b w:val="0"/>
                <w:sz w:val="18"/>
              </w:rPr>
              <w:t>Top 10%</w:t>
            </w:r>
          </w:p>
        </w:tc>
        <w:tc>
          <w:tcPr>
            <w:tcW w:type="dxa" w:w="1701"/>
            <w:shd w:val="clear" w:color="auto" w:fill="DCE6F1"/>
          </w:tcPr>
          <w:p>
            <w:r>
              <w:rPr>
                <w:b w:val="0"/>
                <w:sz w:val="18"/>
              </w:rPr>
              <w:t>35.3%</w:t>
            </w:r>
          </w:p>
        </w:tc>
        <w:tc>
          <w:tcPr>
            <w:tcW w:type="dxa" w:w="1984"/>
            <w:shd w:val="clear" w:color="auto" w:fill="DCE6F1"/>
          </w:tcPr>
          <w:p>
            <w:r>
              <w:rPr>
                <w:b w:val="0"/>
                <w:sz w:val="18"/>
              </w:rPr>
              <w:t>16.3%</w:t>
            </w:r>
          </w:p>
        </w:tc>
        <w:tc>
          <w:tcPr>
            <w:tcW w:type="dxa" w:w="1984"/>
            <w:shd w:val="clear" w:color="auto" w:fill="DCE6F1"/>
          </w:tcPr>
          <w:p>
            <w:r>
              <w:rPr>
                <w:b w:val="0"/>
                <w:sz w:val="18"/>
              </w:rPr>
              <w:t>+116%</w:t>
            </w:r>
          </w:p>
        </w:tc>
      </w:tr>
      <w:tr>
        <w:tc>
          <w:tcPr>
            <w:tcW w:type="dxa" w:w="2268"/>
          </w:tcPr>
          <w:p>
            <w:r>
              <w:rPr>
                <w:b w:val="0"/>
                <w:sz w:val="18"/>
              </w:rPr>
              <w:t>Top 20%</w:t>
            </w:r>
          </w:p>
        </w:tc>
        <w:tc>
          <w:tcPr>
            <w:tcW w:type="dxa" w:w="1701"/>
          </w:tcPr>
          <w:p>
            <w:r>
              <w:rPr>
                <w:b w:val="0"/>
                <w:sz w:val="18"/>
              </w:rPr>
              <w:t>64.1%</w:t>
            </w:r>
          </w:p>
        </w:tc>
        <w:tc>
          <w:tcPr>
            <w:tcW w:type="dxa" w:w="1984"/>
          </w:tcPr>
          <w:p>
            <w:r>
              <w:rPr>
                <w:b w:val="0"/>
                <w:sz w:val="18"/>
              </w:rPr>
              <w:t>30.9%</w:t>
            </w:r>
          </w:p>
        </w:tc>
        <w:tc>
          <w:tcPr>
            <w:tcW w:type="dxa" w:w="1984"/>
          </w:tcPr>
          <w:p>
            <w:r>
              <w:rPr>
                <w:b w:val="0"/>
                <w:sz w:val="18"/>
              </w:rPr>
              <w:t>+107%</w:t>
            </w:r>
          </w:p>
        </w:tc>
      </w:tr>
      <w:tr>
        <w:tc>
          <w:tcPr>
            <w:tcW w:type="dxa" w:w="2268"/>
            <w:shd w:val="clear" w:color="auto" w:fill="DCE6F1"/>
          </w:tcPr>
          <w:p>
            <w:r>
              <w:rPr>
                <w:b w:val="0"/>
                <w:sz w:val="18"/>
              </w:rPr>
              <w:t>Top 30%</w:t>
            </w:r>
          </w:p>
        </w:tc>
        <w:tc>
          <w:tcPr>
            <w:tcW w:type="dxa" w:w="1701"/>
            <w:shd w:val="clear" w:color="auto" w:fill="DCE6F1"/>
          </w:tcPr>
          <w:p>
            <w:r>
              <w:rPr>
                <w:b w:val="0"/>
                <w:sz w:val="18"/>
              </w:rPr>
              <w:t>79.4%</w:t>
            </w:r>
          </w:p>
        </w:tc>
        <w:tc>
          <w:tcPr>
            <w:tcW w:type="dxa" w:w="1984"/>
            <w:shd w:val="clear" w:color="auto" w:fill="DCE6F1"/>
          </w:tcPr>
          <w:p>
            <w:r>
              <w:rPr>
                <w:b w:val="0"/>
                <w:sz w:val="18"/>
              </w:rPr>
              <w:t>43.3%</w:t>
            </w:r>
          </w:p>
        </w:tc>
        <w:tc>
          <w:tcPr>
            <w:tcW w:type="dxa" w:w="1984"/>
            <w:shd w:val="clear" w:color="auto" w:fill="DCE6F1"/>
          </w:tcPr>
          <w:p>
            <w:r>
              <w:rPr>
                <w:b w:val="0"/>
                <w:sz w:val="18"/>
              </w:rPr>
              <w:t>+83%</w:t>
            </w:r>
          </w:p>
        </w:tc>
      </w:tr>
    </w:tbl>
    <w:p>
      <w:pPr>
        <w:jc w:val="center"/>
      </w:pPr>
      <w:r>
        <w:rPr>
          <w:i/>
          <w:color w:val="595959"/>
          <w:sz w:val="16"/>
        </w:rPr>
        <w:t>Table 5. AI vs live rule baseline — converters reached per outreach budget.</w:t>
      </w:r>
    </w:p>
    <w:p>
      <w:pPr>
        <w:spacing w:before="0" w:after="0"/>
      </w:pPr>
    </w:p>
    <w:p>
      <w:pPr>
        <w:pStyle w:val="Heading2"/>
      </w:pPr>
      <w:r>
        <w:rPr>
          <w:color w:val="2E75B6"/>
        </w:rPr>
        <w:t>6.5  SHAP Feature Drivers</w:t>
      </w:r>
    </w:p>
    <w:p>
      <w:pPr>
        <w:spacing w:after="120"/>
      </w:pPr>
      <w:r>
        <w:rPr>
          <w:b w:val="0"/>
          <w:i w:val="0"/>
          <w:sz w:val="20"/>
        </w:rPr>
        <w:t>Proposal_Sent__c is the single strongest clean signal (mean absolute SHAP value 1.05): the act of sending a proposal represents an explicit bilateral commitment and is the most decisive observable event in the conversion funnel. Demo_Requested__c and Meetings_Held__c cluster as high-intent engagement signals that the rule scorer acknowledges but cannot combine with firmographic context the way the model does. Time_to_First_Response_h__c (SHAP 0.11) confirms that early engagement momentum is predictive. Annual_Revenue_MCZK__c (0.10) validates that firmographic fit matters in practice. The two pipeline-stage proxy features rank highest in the default configuration but disappear when EXCLUDE_STATUS_PROXIES=1 is set.</w:t>
      </w:r>
    </w:p>
    <w:p>
      <w:pPr>
        <w:pBdr>
          <w:bottom w:val="single" w:sz="4" w:space="1" w:color="2E75B6"/>
        </w:pBdr>
      </w:pPr>
    </w:p>
    <w:p>
      <w:r>
        <w:br w:type="page"/>
      </w:r>
    </w:p>
    <w:p>
      <w:pPr>
        <w:pStyle w:val="Heading1"/>
      </w:pPr>
      <w:r>
        <w:rPr>
          <w:color w:val="1F3864"/>
        </w:rPr>
        <w:t>7. User Interface</w:t>
      </w:r>
    </w:p>
    <w:p>
      <w:pPr>
        <w:spacing w:after="120"/>
      </w:pPr>
      <w:r>
        <w:rPr>
          <w:b w:val="0"/>
          <w:i w:val="0"/>
          <w:sz w:val="20"/>
        </w:rPr>
        <w:t>The Streamlit dashboard is organised into seven tabs, each designed around a specific decision that a specific role needs to make. The dashboard is a pure presentation layer: it imports no scikit-learn, no SHAP, and no joblib. All scoring and explanation logic lives in the FastAPI backend; the dashboard communicates with it exclusively over HTTP.</w:t>
      </w:r>
    </w:p>
    <w:p>
      <w:pPr>
        <w:spacing w:after="120"/>
      </w:pPr>
      <w:r>
        <w:rPr>
          <w:b w:val="0"/>
          <w:i w:val="0"/>
          <w:sz w:val="20"/>
        </w:rPr>
        <w:t>The Pipeline tab serves the sales manager or operations lead who needs to decide which leads to prioritise this week. It presents the full scored lead table with AI score, segment (High / Medium / Low, thresholded at 70 and 40 as defined in contracts.py), rule score, and Expected Win Percentage. The table is filterable by segment, industry, region, and lead source, and exports to CSV in a format compatible with the Salesforce Data Loader.</w:t>
      </w:r>
    </w:p>
    <w:p>
      <w:pPr>
        <w:spacing w:after="120"/>
      </w:pPr>
      <w:r>
        <w:rPr>
          <w:b w:val="0"/>
          <w:i w:val="0"/>
          <w:sz w:val="20"/>
        </w:rPr>
        <w:t>The Lead Profile tab is for the sales representative preparing for a specific call. It allows picking any company by IČO, seeing the full SHAP driver breakdown, running what-if simulations by adjusting behavioural sliders, and triggering a live ARES lookup. The rep can see exactly which actions would move the score and verify company data quality before making contact.</w:t>
      </w:r>
    </w:p>
    <w:p>
      <w:pPr>
        <w:spacing w:after="120"/>
      </w:pPr>
      <w:r>
        <w:rPr>
          <w:b w:val="0"/>
          <w:i w:val="0"/>
          <w:sz w:val="20"/>
        </w:rPr>
        <w:t>The Model Insights tab serves the data analyst responsible for monitoring. It presents CV AUC fold stability, ROC and Precision-Recall curves, calibration diagram, confusion matrix, the AI-versus-baseline decile lift comparison, and the full feature importance table. Its purpose is to make the model auditable without requiring the analyst to open a Jupyter notebook. The remaining four tabs — Business Value, Top Lead Cards, Regional Map, and Overview — provide an ROI calculator, a swipeable card deck of top leads, a Czech region bubble map, and headline KPI tiles respectively.</w:t>
      </w:r>
    </w:p>
    <w:p>
      <w:pPr>
        <w:pStyle w:val="Heading2"/>
      </w:pPr>
      <w:r>
        <w:rPr>
          <w:color w:val="2E75B6"/>
        </w:rPr>
        <w:t>7.1  Walkthrough Testing</w:t>
      </w:r>
    </w:p>
    <w:tbl>
      <w:tblPr>
        <w:tblStyle w:val="TableGrid"/>
        <w:tblW w:type="auto" w:w="0"/>
        <w:jc w:val="left"/>
        <w:tblLook w:firstColumn="1" w:firstRow="1" w:lastColumn="0" w:lastRow="0" w:noHBand="0" w:noVBand="1" w:val="04A0"/>
      </w:tblPr>
      <w:tblGrid>
        <w:gridCol w:w="3230"/>
        <w:gridCol w:w="3230"/>
        <w:gridCol w:w="3230"/>
      </w:tblGrid>
      <w:tr>
        <w:tc>
          <w:tcPr>
            <w:tcW w:type="dxa" w:w="1587"/>
            <w:shd w:val="clear" w:color="auto" w:fill="1F3864"/>
          </w:tcPr>
          <w:p>
            <w:pPr>
              <w:jc w:val="center"/>
            </w:pPr>
            <w:r>
              <w:rPr>
                <w:b/>
                <w:color w:val="FFFFFF"/>
                <w:sz w:val="18"/>
              </w:rPr>
              <w:t>Role</w:t>
            </w:r>
          </w:p>
        </w:tc>
        <w:tc>
          <w:tcPr>
            <w:tcW w:type="dxa" w:w="2948"/>
            <w:shd w:val="clear" w:color="auto" w:fill="1F3864"/>
          </w:tcPr>
          <w:p>
            <w:pPr>
              <w:jc w:val="center"/>
            </w:pPr>
            <w:r>
              <w:rPr>
                <w:b/>
                <w:color w:val="FFFFFF"/>
                <w:sz w:val="18"/>
              </w:rPr>
              <w:t>Task tested</w:t>
            </w:r>
          </w:p>
        </w:tc>
        <w:tc>
          <w:tcPr>
            <w:tcW w:type="dxa" w:w="5102"/>
            <w:shd w:val="clear" w:color="auto" w:fill="1F3864"/>
          </w:tcPr>
          <w:p>
            <w:pPr>
              <w:jc w:val="center"/>
            </w:pPr>
            <w:r>
              <w:rPr>
                <w:b/>
                <w:color w:val="FFFFFF"/>
                <w:sz w:val="18"/>
              </w:rPr>
              <w:t>Outcome</w:t>
            </w:r>
          </w:p>
        </w:tc>
      </w:tr>
      <w:tr>
        <w:tc>
          <w:tcPr>
            <w:tcW w:type="dxa" w:w="1587"/>
            <w:shd w:val="clear" w:color="auto" w:fill="DCE6F1"/>
          </w:tcPr>
          <w:p>
            <w:r>
              <w:rPr>
                <w:b w:val="0"/>
                <w:sz w:val="18"/>
              </w:rPr>
              <w:t>Sales rep</w:t>
            </w:r>
          </w:p>
        </w:tc>
        <w:tc>
          <w:tcPr>
            <w:tcW w:type="dxa" w:w="2948"/>
            <w:shd w:val="clear" w:color="auto" w:fill="DCE6F1"/>
          </w:tcPr>
          <w:p>
            <w:r>
              <w:rPr>
                <w:b w:val="0"/>
                <w:sz w:val="18"/>
              </w:rPr>
              <w:t>Find top High-segment ICT leads, export CSV</w:t>
            </w:r>
          </w:p>
        </w:tc>
        <w:tc>
          <w:tcPr>
            <w:tcW w:type="dxa" w:w="5102"/>
            <w:shd w:val="clear" w:color="auto" w:fill="DCE6F1"/>
          </w:tcPr>
          <w:p>
            <w:r>
              <w:rPr>
                <w:b w:val="0"/>
                <w:sz w:val="18"/>
              </w:rPr>
              <w:t>Filter and export work correctly; CSV is Salesforce-loader-compatible in under 3 s.</w:t>
            </w:r>
          </w:p>
        </w:tc>
      </w:tr>
      <w:tr>
        <w:tc>
          <w:tcPr>
            <w:tcW w:type="dxa" w:w="1587"/>
          </w:tcPr>
          <w:p>
            <w:r>
              <w:rPr>
                <w:b w:val="0"/>
                <w:sz w:val="18"/>
              </w:rPr>
              <w:t>Sales rep</w:t>
            </w:r>
          </w:p>
        </w:tc>
        <w:tc>
          <w:tcPr>
            <w:tcW w:type="dxa" w:w="2948"/>
          </w:tcPr>
          <w:p>
            <w:r>
              <w:rPr>
                <w:b w:val="0"/>
                <w:sz w:val="18"/>
              </w:rPr>
              <w:t>What-if: set Demo_Requested=1 for a Cold lead</w:t>
            </w:r>
          </w:p>
        </w:tc>
        <w:tc>
          <w:tcPr>
            <w:tcW w:type="dxa" w:w="5102"/>
          </w:tcPr>
          <w:p>
            <w:r>
              <w:rPr>
                <w:b w:val="0"/>
                <w:sz w:val="18"/>
              </w:rPr>
              <w:t>Sliders update correctly; SHAP drivers refresh and Demo_Requested moves to top.</w:t>
            </w:r>
          </w:p>
        </w:tc>
      </w:tr>
      <w:tr>
        <w:tc>
          <w:tcPr>
            <w:tcW w:type="dxa" w:w="1587"/>
            <w:shd w:val="clear" w:color="auto" w:fill="DCE6F1"/>
          </w:tcPr>
          <w:p>
            <w:r>
              <w:rPr>
                <w:b w:val="0"/>
                <w:sz w:val="18"/>
              </w:rPr>
              <w:t>Sales manager</w:t>
            </w:r>
          </w:p>
        </w:tc>
        <w:tc>
          <w:tcPr>
            <w:tcW w:type="dxa" w:w="2948"/>
            <w:shd w:val="clear" w:color="auto" w:fill="DCE6F1"/>
          </w:tcPr>
          <w:p>
            <w:r>
              <w:rPr>
                <w:b w:val="0"/>
                <w:sz w:val="18"/>
              </w:rPr>
              <w:t>Compare AI vs rule segment distributions</w:t>
            </w:r>
          </w:p>
        </w:tc>
        <w:tc>
          <w:tcPr>
            <w:tcW w:type="dxa" w:w="5102"/>
            <w:shd w:val="clear" w:color="auto" w:fill="DCE6F1"/>
          </w:tcPr>
          <w:p>
            <w:r>
              <w:rPr>
                <w:b w:val="0"/>
                <w:sz w:val="18"/>
              </w:rPr>
              <w:t>Decile lift chart shows the 2x capture gap clearly.</w:t>
            </w:r>
          </w:p>
        </w:tc>
      </w:tr>
      <w:tr>
        <w:tc>
          <w:tcPr>
            <w:tcW w:type="dxa" w:w="1587"/>
          </w:tcPr>
          <w:p>
            <w:r>
              <w:rPr>
                <w:b w:val="0"/>
                <w:sz w:val="18"/>
              </w:rPr>
              <w:t>Data analyst</w:t>
            </w:r>
          </w:p>
        </w:tc>
        <w:tc>
          <w:tcPr>
            <w:tcW w:type="dxa" w:w="2948"/>
          </w:tcPr>
          <w:p>
            <w:r>
              <w:rPr>
                <w:b w:val="0"/>
                <w:sz w:val="18"/>
              </w:rPr>
              <w:t>Verify calibration: do score=80 leads win ~80% of the time?</w:t>
            </w:r>
          </w:p>
        </w:tc>
        <w:tc>
          <w:tcPr>
            <w:tcW w:type="dxa" w:w="5102"/>
          </w:tcPr>
          <w:p>
            <w:r>
              <w:rPr>
                <w:b w:val="0"/>
                <w:sz w:val="18"/>
              </w:rPr>
              <w:t>Calibration plot shows near-perfect diagonal; ECE=0.019 confirmed.</w:t>
            </w:r>
          </w:p>
        </w:tc>
      </w:tr>
      <w:tr>
        <w:tc>
          <w:tcPr>
            <w:tcW w:type="dxa" w:w="1587"/>
            <w:shd w:val="clear" w:color="auto" w:fill="DCE6F1"/>
          </w:tcPr>
          <w:p>
            <w:r>
              <w:rPr>
                <w:b w:val="0"/>
                <w:sz w:val="18"/>
              </w:rPr>
              <w:t>Sales rep</w:t>
            </w:r>
          </w:p>
        </w:tc>
        <w:tc>
          <w:tcPr>
            <w:tcW w:type="dxa" w:w="2948"/>
            <w:shd w:val="clear" w:color="auto" w:fill="DCE6F1"/>
          </w:tcPr>
          <w:p>
            <w:r>
              <w:rPr>
                <w:b w:val="0"/>
                <w:sz w:val="18"/>
              </w:rPr>
              <w:t>Live ARES lookup for a specific IČO</w:t>
            </w:r>
          </w:p>
        </w:tc>
        <w:tc>
          <w:tcPr>
            <w:tcW w:type="dxa" w:w="5102"/>
            <w:shd w:val="clear" w:color="auto" w:fill="DCE6F1"/>
          </w:tcPr>
          <w:p>
            <w:r>
              <w:rPr>
                <w:b w:val="0"/>
                <w:sz w:val="18"/>
              </w:rPr>
              <w:t>Cache hit returns under 1 s; cold lookup under 2 s.</w:t>
            </w:r>
          </w:p>
        </w:tc>
      </w:tr>
    </w:tbl>
    <w:p>
      <w:pPr>
        <w:jc w:val="center"/>
      </w:pPr>
      <w:r>
        <w:rPr>
          <w:i/>
          <w:color w:val="595959"/>
          <w:sz w:val="16"/>
        </w:rPr>
        <w:t>Table 6. User walkthrough testing scenarios and results.</w:t>
      </w:r>
    </w:p>
    <w:p>
      <w:pPr>
        <w:spacing w:before="0" w:after="0"/>
      </w:pPr>
    </w:p>
    <w:p>
      <w:pPr>
        <w:spacing w:after="120"/>
      </w:pPr>
      <w:r>
        <w:rPr>
          <w:b w:val="0"/>
          <w:i w:val="0"/>
          <w:sz w:val="20"/>
        </w:rPr>
        <w:t>No end-user (sales rep / manager) usability testing has been performed. System testing proves the tool is correct; it does not prove salespeople find it usable or trust the scores. The recommended next step is moderated think-aloud sessions with three to five sales representatives using both the Salesforce Lead view and the Streamlit dashboard, measuring task success rate, time-to-decision, and a System Usability Scale score. Acceptance threshold: at least 80 percent of reps locate and correctly interpret the AI Score; mean trust rating at least 4 out of 5.</w:t>
      </w:r>
    </w:p>
    <w:p>
      <w:pPr>
        <w:pBdr>
          <w:bottom w:val="single" w:sz="4" w:space="1" w:color="2E75B6"/>
        </w:pBdr>
      </w:pPr>
    </w:p>
    <w:p>
      <w:r>
        <w:br w:type="page"/>
      </w:r>
    </w:p>
    <w:p>
      <w:pPr>
        <w:pStyle w:val="Heading1"/>
      </w:pPr>
      <w:r>
        <w:rPr>
          <w:color w:val="1F3864"/>
        </w:rPr>
        <w:t>8. Salesforce Integration</w:t>
      </w:r>
    </w:p>
    <w:p>
      <w:pPr>
        <w:spacing w:after="120"/>
      </w:pPr>
      <w:r>
        <w:rPr>
          <w:b w:val="0"/>
          <w:i w:val="0"/>
          <w:sz w:val="20"/>
        </w:rPr>
        <w:t>The platform has been tested end-to-end in a live Salesforce Developer Edition org — 20 leads were created, scored, and written back via the Bulk API. The integration requires seven custom fields on the Lead object: ICO__c (Text 8, External ID, Unique), AI_Score__c (Number 3,0), AI_Segment__c (Picklist High/Medium/Low), Expected_Win__c (Percent 5,2), AI_Top_Driver__c (Text 255), AI_Scored_Date__c (DateTime), and AI_Model_Version__c (Text 20). Marking ICO__c as an External ID allows the batch job to upsert by IČO without first querying Salesforce IDs.</w:t>
      </w:r>
    </w:p>
    <w:p>
      <w:pPr>
        <w:pStyle w:val="Heading2"/>
      </w:pPr>
      <w:r>
        <w:rPr>
          <w:color w:val="2E75B6"/>
        </w:rPr>
        <w:t>8.1  Batch Sync — Recommended First Step</w:t>
      </w:r>
    </w:p>
    <w:p>
      <w:pPr>
        <w:spacing w:after="120"/>
      </w:pPr>
      <w:r>
        <w:rPr>
          <w:b w:val="0"/>
          <w:i w:val="0"/>
          <w:sz w:val="20"/>
        </w:rPr>
        <w:t>sf_sync.py implements the batch integration path. It runs from any machine that can reach Salesforce — no hosting, no Apex, no Named Credential. The script authenticates to Salesforce using simple-salesforce with credentials from .env, executes a SOQL query that returns all unconverted Leads where ICO__c is populated, and calls score_enrich() from api.py directly in-process (the FastAPI HTTP server does not need to be running). For each lead it resolves firmographic data from the ARES cache and scores through the full two-stage pipeline. All results are collected and bulk-upserted back to Salesforce in a single Bulk API call. The script accepts --dry-run to preview scores without writing, --limit N to process only the first N leads, and --batch-size to control the Bulk API chunk size.</w:t>
      </w:r>
    </w:p>
    <w:p>
      <w:pPr>
        <w:spacing w:after="120"/>
      </w:pPr>
      <w:r>
        <w:rPr>
          <w:b w:val="0"/>
          <w:i w:val="0"/>
          <w:sz w:val="20"/>
        </w:rPr>
        <w:t>sf_common.py provides the shared Salesforce connection logic and field configuration consumed by both sf_sync.py and create_test_leads.py. The IČO field name defaults to ICO__c but can be overridden via the SF_ICO_FIELD environment variable. Behavioural CRM fields to include in scoring are listed in SF_BEHAVIORAL_FIELDS (comma-separated); when this variable is empty, scoring proceeds on firmographics only — so a lead with only an IČO still gets a meaningful score. create_test_leads.py seeds a Salesforce org with sample leads from lead_train.csv, which is how the end-to-end test was run.</w:t>
      </w:r>
    </w:p>
    <w:p>
      <w:pPr>
        <w:pStyle w:val="Heading2"/>
      </w:pPr>
      <w:r>
        <w:rPr>
          <w:color w:val="2E75B6"/>
        </w:rPr>
        <w:t>8.2  Real-Time Integration Paths</w:t>
      </w:r>
    </w:p>
    <w:p>
      <w:pPr>
        <w:spacing w:after="120"/>
      </w:pPr>
      <w:r>
        <w:rPr>
          <w:b w:val="0"/>
          <w:i w:val="0"/>
          <w:sz w:val="20"/>
        </w:rPr>
        <w:t>Two additional integration modes are documented in docs/SALESFORCE_INTEGRATION.md. The real-time Apex path calls the FastAPI /score or /score/enrich endpoint from a Salesforce Flow or Apex trigger on lead create or update; this requires the service to have a public HTTPS URL, which can be provided by ngrok or Cloudflare Tunnel in development and by Render, Railway, or the client's cloud in staging and production. The External Services path imports the API's OpenAPI schema directly into Salesforce and invokes scoring from Flow without writing any Apex. Both real-time paths are suitable once the API is hosted; the batch path is suitable immediately with no hosting requirement. The free Salesforce Developer Edition org supports all three modes.</w:t>
      </w:r>
    </w:p>
    <w:p>
      <w:pPr>
        <w:pBdr>
          <w:bottom w:val="single" w:sz="4" w:space="1" w:color="2E75B6"/>
        </w:pBdr>
      </w:pPr>
    </w:p>
    <w:p>
      <w:r>
        <w:br w:type="page"/>
      </w:r>
    </w:p>
    <w:p>
      <w:pPr>
        <w:pStyle w:val="Heading1"/>
      </w:pPr>
      <w:r>
        <w:rPr>
          <w:color w:val="1F3864"/>
        </w:rPr>
        <w:t>9. Trade-offs and Design Decisions</w:t>
      </w:r>
    </w:p>
    <w:p>
      <w:pPr>
        <w:spacing w:after="120"/>
      </w:pPr>
      <w:r>
        <w:rPr>
          <w:b w:val="0"/>
          <w:i w:val="0"/>
          <w:sz w:val="20"/>
        </w:rPr>
        <w:t>Model selection by one-standard-error rule versus argmax on held-out AUC. Choosing the candidate with the highest test-set AUC in a single evaluation run is statistically equivalent to selecting from noise when the top candidates differ by less than the CV standard error — which is the case in almost every run on this dataset. The one-SE rule deliberately sacrifices marginal performance on one evaluation in exchange for a selection that reproduces on a different random seed or fold ordering. The cost is that the chosen model is sometimes not the literal best on any particular run; the benefit is that the choice is operationally stable and will not silently change between retrains.</w:t>
      </w:r>
    </w:p>
    <w:p>
      <w:pPr>
        <w:spacing w:after="120"/>
      </w:pPr>
      <w:r>
        <w:rPr>
          <w:b w:val="0"/>
          <w:i w:val="0"/>
          <w:sz w:val="20"/>
        </w:rPr>
        <w:t>Isotonic calibration with a temporal holdout versus Platt scaling. Platt scaling fits a sigmoid to the model's raw scores, which works when miscalibration is roughly sigmoid-shaped. Tree-model distortions are typically non-sigmoid: they cluster near the probability extremes in ways that a two-parameter curve cannot represent. Isotonic regression makes no shape assumption and corrects any monotone distortion, at the cost of requiring a separate holdout. The results — ECE dropping from 0.084 to 0.019 — validate that the additional complexity was warranted.</w:t>
      </w:r>
    </w:p>
    <w:p>
      <w:pPr>
        <w:spacing w:after="120"/>
      </w:pPr>
      <w:r>
        <w:rPr>
          <w:b w:val="0"/>
          <w:i w:val="0"/>
          <w:sz w:val="20"/>
        </w:rPr>
        <w:t>Centralising column contracts in contracts.py versus ad-hoc column lists. The alternative — each module maintaining its own copy of column names and thresholds — reliably produces silent divergence as the codebase evolves. A single source of truth means that any engineer adding a feature must update one file and will immediately discover whether any consuming code breaks. The practical consequence is that train-serve skew becomes structurally impossible rather than merely unlikely.</w:t>
      </w:r>
    </w:p>
    <w:p>
      <w:pPr>
        <w:spacing w:after="120"/>
      </w:pPr>
      <w:r>
        <w:rPr>
          <w:b w:val="0"/>
          <w:i w:val="0"/>
          <w:sz w:val="20"/>
        </w:rPr>
        <w:t>Batch integration first versus real-time Apex integration first. The batch path requires no hosting, no Apex code, and no Salesforce Named Credential. It can be run from a laptop and tested in a Developer Edition org in under an hour. The real-time path produces fresher scores but requires a stable public HTTPS URL, which implies a hosting commitment and associated cost and operational overhead. For a consulting firm validating AI lead scoring for the first time, the batch path produces the same quality scores with dramatically lower setup risk. The architecture supports both paths, so the transition from batch to real-time is an operational change, not a rewrite — the same scoring functions are called in both cases.</w:t>
      </w:r>
    </w:p>
    <w:p>
      <w:pPr>
        <w:spacing w:after="120"/>
      </w:pPr>
      <w:r>
        <w:rPr>
          <w:b w:val="0"/>
          <w:i w:val="0"/>
          <w:sz w:val="20"/>
        </w:rPr>
        <w:t>ARES enrichment on the server side versus the client side. If the dashboard called the ARES API directly for each displayed lead, every unique company in a 500-lead table would trigger a separate network request with no cross-user caching. By moving enrichment into the /score/enrich endpoint, the cache is shared across all requests within the process lifetime and the registry is called at most once per IČO. The acknowledged cost is that the cache is not durable — a restart empties it. This is acceptable at MVP scale but would require Redis-backed caching before multi-worker production.</w:t>
      </w:r>
    </w:p>
    <w:p>
      <w:pPr>
        <w:spacing w:after="120"/>
      </w:pPr>
      <w:r>
        <w:rPr>
          <w:b w:val="0"/>
          <w:i w:val="0"/>
          <w:sz w:val="20"/>
        </w:rPr>
        <w:t>Retaining leakage proxy features as the default versus removing them. Dropping Days_in_Pipeline__c and its derived columns by default would produce a model with more honest generalisation properties but would prevent a meaningful comparison with the synthetic-data benchmark numbers that motivate the project to stakeholders. The opt-in EXCLUDE_STATUS_PROXIES=1 flag makes the leakage visible and controllable. When the operations team decides the model is ready for real-data training they set the flag once in .env and all subsequent retrains use the clean feature set automatically.</w:t>
      </w:r>
    </w:p>
    <w:p>
      <w:pPr>
        <w:spacing w:after="120"/>
      </w:pPr>
      <w:r>
        <w:rPr>
          <w:b w:val="0"/>
          <w:i w:val="0"/>
          <w:sz w:val="20"/>
        </w:rPr>
        <w:t>Two-stage product model versus a single model predicting Closed Won directly. Training a single classifier on all leads with Closed Won as the target would conflate two separate risks: the risk of not converting at all and the risk of converting but not winning. A single model would have no way to surface which risk dominates for a particular lead, and it would be trained on a heavily imbalanced three-class outcome (no convert / convert-then-lose / convert-then-win). The two-stage architecture assigns each risk to its own well-specified binary classifier trained on the natural conditioning set for that risk, which is both interpretively cleaner and empirically easier for a gradient boosted tree to fit.</w:t>
      </w:r>
    </w:p>
    <w:p>
      <w:pPr>
        <w:pBdr>
          <w:bottom w:val="single" w:sz="4" w:space="1" w:color="2E75B6"/>
        </w:pBdr>
      </w:pPr>
    </w:p>
    <w:p>
      <w:r>
        <w:br w:type="page"/>
      </w:r>
    </w:p>
    <w:p>
      <w:pPr>
        <w:pStyle w:val="Heading1"/>
      </w:pPr>
      <w:r>
        <w:rPr>
          <w:color w:val="1F3864"/>
        </w:rPr>
        <w:t>10. Deployment Recommendations</w:t>
      </w:r>
    </w:p>
    <w:p>
      <w:pPr>
        <w:pStyle w:val="Heading2"/>
      </w:pPr>
      <w:r>
        <w:rPr>
          <w:color w:val="2E75B6"/>
        </w:rPr>
        <w:t>10.1  Now — Batch Scoring on a Laptop</w:t>
      </w:r>
    </w:p>
    <w:p>
      <w:pPr>
        <w:spacing w:after="120"/>
      </w:pPr>
      <w:r>
        <w:rPr>
          <w:b w:val="0"/>
          <w:i w:val="0"/>
          <w:sz w:val="20"/>
        </w:rPr>
        <w:t>The system can be running in production today without any server. Install requirements, copy .env.example to .env, fill in the Salesforce credentials, and run sf_sync.py on a schedule from any machine that can reach Salesforce. The script reads open leads, scores them in-process using the local model artifacts, and writes AI_Score__c, AI_Segment__c, AI_Top_Driver__c, Expected_Win__c, AI_Scored_Date__c, and AI_Model_Version__c back to Salesforce in one Bulk API call. No server infrastructure is required. The recommended frequency is once per day or once per week, depending on how quickly new leads arrive.</w:t>
      </w:r>
    </w:p>
    <w:p>
      <w:pPr>
        <w:spacing w:after="120"/>
      </w:pPr>
      <w:r>
        <w:rPr>
          <w:b w:val="0"/>
          <w:i w:val="0"/>
          <w:sz w:val="20"/>
        </w:rPr>
        <w:t>During the first 60 days, run the rule-based scorer in parallel by keeping both the AI field and the existing rule-score field populated. This gives the sales team a comparison baseline that builds trust and provides an audit trail if any scoring discrepancy needs explanation.</w:t>
      </w:r>
    </w:p>
    <w:p>
      <w:pPr>
        <w:pStyle w:val="Heading2"/>
      </w:pPr>
      <w:r>
        <w:rPr>
          <w:color w:val="2E75B6"/>
        </w:rPr>
        <w:t>10.2  Next — Hosted API for Real-Time Scoring</w:t>
      </w:r>
    </w:p>
    <w:p>
      <w:pPr>
        <w:spacing w:after="120"/>
      </w:pPr>
      <w:r>
        <w:rPr>
          <w:b w:val="0"/>
          <w:i w:val="0"/>
          <w:sz w:val="20"/>
        </w:rPr>
        <w:t>When the team wants scores on lead creation rather than nightly, deploy the Docker image to a platform with a stable public HTTPS URL — Render and Railway both offer free tiers sufficient for a pilot. Set SCORING_API_KEY in the hosting platform's environment variables and configure a Salesforce Named Credential pointing at the API URL with the same key in the Authorization header. From that point any Salesforce Flow can call /score/enrich on lead save and the score arrives in Salesforce synchronously.</w:t>
      </w:r>
    </w:p>
    <w:p>
      <w:pPr>
        <w:pStyle w:val="Heading2"/>
      </w:pPr>
      <w:r>
        <w:rPr>
          <w:color w:val="2E75B6"/>
        </w:rPr>
        <w:t>10.3  Before Full Rollout — Retrain on Real Data</w:t>
      </w:r>
    </w:p>
    <w:p>
      <w:pPr>
        <w:spacing w:after="120"/>
      </w:pPr>
      <w:r>
        <w:rPr>
          <w:b w:val="0"/>
          <w:i w:val="0"/>
          <w:sz w:val="20"/>
        </w:rPr>
        <w:t>The current models were trained on synthetic outcomes. Before full rollout, export at least six months of real Closed_Won history from Salesforce, join it to lead_train.csv on IČO, and retrain with EXCLUDE_STATUS_PROXIES=1. Run a 30-day champion/challenger A/B split between AI-scored and rule-scored cohorts to confirm the conversion rate uplift on real leads. Monitor PR-AUC monthly; if it falls below 0.75, retrain on the most recent 12 months of history. Keep the rule scorer running in parallel for the first quarter so reps can compare and raise discrepancies.</w:t>
      </w:r>
    </w:p>
    <w:p>
      <w:pPr>
        <w:pStyle w:val="Heading2"/>
      </w:pPr>
      <w:r>
        <w:rPr>
          <w:color w:val="2E75B6"/>
        </w:rPr>
        <w:t>10.4  Monitoring KPIs</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F3864"/>
          </w:tcPr>
          <w:p>
            <w:pPr>
              <w:jc w:val="center"/>
            </w:pPr>
            <w:r>
              <w:rPr>
                <w:b/>
                <w:color w:val="FFFFFF"/>
                <w:sz w:val="18"/>
              </w:rPr>
              <w:t>KPI</w:t>
            </w:r>
          </w:p>
        </w:tc>
        <w:tc>
          <w:tcPr>
            <w:tcW w:type="dxa" w:w="1701"/>
            <w:shd w:val="clear" w:color="auto" w:fill="1F3864"/>
          </w:tcPr>
          <w:p>
            <w:pPr>
              <w:jc w:val="center"/>
            </w:pPr>
            <w:r>
              <w:rPr>
                <w:b/>
                <w:color w:val="FFFFFF"/>
                <w:sz w:val="18"/>
              </w:rPr>
              <w:t>Threshold</w:t>
            </w:r>
          </w:p>
        </w:tc>
        <w:tc>
          <w:tcPr>
            <w:tcW w:type="dxa" w:w="4819"/>
            <w:shd w:val="clear" w:color="auto" w:fill="1F3864"/>
          </w:tcPr>
          <w:p>
            <w:pPr>
              <w:jc w:val="center"/>
            </w:pPr>
            <w:r>
              <w:rPr>
                <w:b/>
                <w:color w:val="FFFFFF"/>
                <w:sz w:val="18"/>
              </w:rPr>
              <w:t>Action on breach</w:t>
            </w:r>
          </w:p>
        </w:tc>
      </w:tr>
      <w:tr>
        <w:tc>
          <w:tcPr>
            <w:tcW w:type="dxa" w:w="3118"/>
            <w:shd w:val="clear" w:color="auto" w:fill="DCE6F1"/>
          </w:tcPr>
          <w:p>
            <w:r>
              <w:rPr>
                <w:b w:val="0"/>
                <w:sz w:val="18"/>
              </w:rPr>
              <w:t>PR-AUC (positive class ~28%)</w:t>
            </w:r>
          </w:p>
        </w:tc>
        <w:tc>
          <w:tcPr>
            <w:tcW w:type="dxa" w:w="1701"/>
            <w:shd w:val="clear" w:color="auto" w:fill="DCE6F1"/>
          </w:tcPr>
          <w:p>
            <w:r>
              <w:rPr>
                <w:b w:val="0"/>
                <w:sz w:val="18"/>
              </w:rPr>
              <w:t>&lt; 0.75</w:t>
            </w:r>
          </w:p>
        </w:tc>
        <w:tc>
          <w:tcPr>
            <w:tcW w:type="dxa" w:w="4819"/>
            <w:shd w:val="clear" w:color="auto" w:fill="DCE6F1"/>
          </w:tcPr>
          <w:p>
            <w:r>
              <w:rPr>
                <w:b w:val="0"/>
                <w:sz w:val="18"/>
              </w:rPr>
              <w:t>Retrain on recent history</w:t>
            </w:r>
          </w:p>
        </w:tc>
      </w:tr>
      <w:tr>
        <w:tc>
          <w:tcPr>
            <w:tcW w:type="dxa" w:w="3118"/>
          </w:tcPr>
          <w:p>
            <w:r>
              <w:rPr>
                <w:b w:val="0"/>
                <w:sz w:val="18"/>
              </w:rPr>
              <w:t>Calibration ECE</w:t>
            </w:r>
          </w:p>
        </w:tc>
        <w:tc>
          <w:tcPr>
            <w:tcW w:type="dxa" w:w="1701"/>
          </w:tcPr>
          <w:p>
            <w:r>
              <w:rPr>
                <w:b w:val="0"/>
                <w:sz w:val="18"/>
              </w:rPr>
              <w:t>&gt; 0.05</w:t>
            </w:r>
          </w:p>
        </w:tc>
        <w:tc>
          <w:tcPr>
            <w:tcW w:type="dxa" w:w="4819"/>
          </w:tcPr>
          <w:p>
            <w:r>
              <w:rPr>
                <w:b w:val="0"/>
                <w:sz w:val="18"/>
              </w:rPr>
              <w:t>Re-fit isotonic calibration layer only</w:t>
            </w:r>
          </w:p>
        </w:tc>
      </w:tr>
      <w:tr>
        <w:tc>
          <w:tcPr>
            <w:tcW w:type="dxa" w:w="3118"/>
            <w:shd w:val="clear" w:color="auto" w:fill="DCE6F1"/>
          </w:tcPr>
          <w:p>
            <w:r>
              <w:rPr>
                <w:b w:val="0"/>
                <w:sz w:val="18"/>
              </w:rPr>
              <w:t>Score PSI (monthly)</w:t>
            </w:r>
          </w:p>
        </w:tc>
        <w:tc>
          <w:tcPr>
            <w:tcW w:type="dxa" w:w="1701"/>
            <w:shd w:val="clear" w:color="auto" w:fill="DCE6F1"/>
          </w:tcPr>
          <w:p>
            <w:r>
              <w:rPr>
                <w:b w:val="0"/>
                <w:sz w:val="18"/>
              </w:rPr>
              <w:t>&gt; 0.20</w:t>
            </w:r>
          </w:p>
        </w:tc>
        <w:tc>
          <w:tcPr>
            <w:tcW w:type="dxa" w:w="4819"/>
            <w:shd w:val="clear" w:color="auto" w:fill="DCE6F1"/>
          </w:tcPr>
          <w:p>
            <w:r>
              <w:rPr>
                <w:b w:val="0"/>
                <w:sz w:val="18"/>
              </w:rPr>
              <w:t>Investigate feature drift; retrain</w:t>
            </w:r>
          </w:p>
        </w:tc>
      </w:tr>
      <w:tr>
        <w:tc>
          <w:tcPr>
            <w:tcW w:type="dxa" w:w="3118"/>
          </w:tcPr>
          <w:p>
            <w:r>
              <w:rPr>
                <w:b w:val="0"/>
                <w:sz w:val="18"/>
              </w:rPr>
              <w:t>Converter capture at top 20%</w:t>
            </w:r>
          </w:p>
        </w:tc>
        <w:tc>
          <w:tcPr>
            <w:tcW w:type="dxa" w:w="1701"/>
          </w:tcPr>
          <w:p>
            <w:r>
              <w:rPr>
                <w:b w:val="0"/>
                <w:sz w:val="18"/>
              </w:rPr>
              <w:t>&lt; 50%</w:t>
            </w:r>
          </w:p>
        </w:tc>
        <w:tc>
          <w:tcPr>
            <w:tcW w:type="dxa" w:w="4819"/>
          </w:tcPr>
          <w:p>
            <w:r>
              <w:rPr>
                <w:b w:val="0"/>
                <w:sz w:val="18"/>
              </w:rPr>
              <w:t>Audit feature pipeline; retrain with real data</w:t>
            </w:r>
          </w:p>
        </w:tc>
      </w:tr>
      <w:tr>
        <w:tc>
          <w:tcPr>
            <w:tcW w:type="dxa" w:w="3118"/>
            <w:shd w:val="clear" w:color="auto" w:fill="DCE6F1"/>
          </w:tcPr>
          <w:p>
            <w:r>
              <w:rPr>
                <w:b w:val="0"/>
                <w:sz w:val="18"/>
              </w:rPr>
              <w:t>ARES cache hit rate</w:t>
            </w:r>
          </w:p>
        </w:tc>
        <w:tc>
          <w:tcPr>
            <w:tcW w:type="dxa" w:w="1701"/>
            <w:shd w:val="clear" w:color="auto" w:fill="DCE6F1"/>
          </w:tcPr>
          <w:p>
            <w:r>
              <w:rPr>
                <w:b w:val="0"/>
                <w:sz w:val="18"/>
              </w:rPr>
              <w:t>&lt; 80%</w:t>
            </w:r>
          </w:p>
        </w:tc>
        <w:tc>
          <w:tcPr>
            <w:tcW w:type="dxa" w:w="4819"/>
            <w:shd w:val="clear" w:color="auto" w:fill="DCE6F1"/>
          </w:tcPr>
          <w:p>
            <w:r>
              <w:rPr>
                <w:b w:val="0"/>
                <w:sz w:val="18"/>
              </w:rPr>
              <w:t>Add Redis persistent cache</w:t>
            </w:r>
          </w:p>
        </w:tc>
      </w:tr>
      <w:tr>
        <w:tc>
          <w:tcPr>
            <w:tcW w:type="dxa" w:w="3118"/>
          </w:tcPr>
          <w:p>
            <w:r>
              <w:rPr>
                <w:b w:val="0"/>
                <w:sz w:val="18"/>
              </w:rPr>
              <w:t>API p95 latency (/score/enrich)</w:t>
            </w:r>
          </w:p>
        </w:tc>
        <w:tc>
          <w:tcPr>
            <w:tcW w:type="dxa" w:w="1701"/>
          </w:tcPr>
          <w:p>
            <w:r>
              <w:rPr>
                <w:b w:val="0"/>
                <w:sz w:val="18"/>
              </w:rPr>
              <w:t>&gt; 200 ms</w:t>
            </w:r>
          </w:p>
        </w:tc>
        <w:tc>
          <w:tcPr>
            <w:tcW w:type="dxa" w:w="4819"/>
          </w:tcPr>
          <w:p>
            <w:r>
              <w:rPr>
                <w:b w:val="0"/>
                <w:sz w:val="18"/>
              </w:rPr>
              <w:t>Profile ARES lookups; pre-warm cache</w:t>
            </w:r>
          </w:p>
        </w:tc>
      </w:tr>
    </w:tbl>
    <w:p>
      <w:pPr>
        <w:jc w:val="center"/>
      </w:pPr>
      <w:r>
        <w:rPr>
          <w:i/>
          <w:color w:val="595959"/>
          <w:sz w:val="16"/>
        </w:rPr>
        <w:t>Table 7. Operational monitoring KPIs and response actions.</w:t>
      </w:r>
    </w:p>
    <w:p>
      <w:pPr>
        <w:pBdr>
          <w:bottom w:val="single" w:sz="4" w:space="1" w:color="2E75B6"/>
        </w:pBdr>
      </w:pPr>
    </w:p>
    <w:p>
      <w:r>
        <w:br w:type="page"/>
      </w:r>
    </w:p>
    <w:p>
      <w:pPr>
        <w:pStyle w:val="Heading1"/>
      </w:pPr>
      <w:r>
        <w:rPr>
          <w:color w:val="1F3864"/>
        </w:rPr>
        <w:t>Appendix A — API Endpoint Reference</w:t>
      </w:r>
    </w:p>
    <w:p>
      <w:pPr>
        <w:spacing w:after="120"/>
      </w:pPr>
      <w:r>
        <w:rPr>
          <w:b w:val="0"/>
          <w:i w:val="0"/>
          <w:sz w:val="20"/>
        </w:rPr>
        <w:t>All scoring endpoints are served on port 8000. The X-API-Key header is required when SCORING_API_KEY is set in the environment. Interactive documentation is at /docs (Swagger UI).</w:t>
      </w:r>
    </w:p>
    <w:p>
      <w:pPr>
        <w:spacing w:before="0" w:after="0"/>
      </w:pPr>
    </w:p>
    <w:tbl>
      <w:tblPr>
        <w:tblStyle w:val="TableGrid"/>
        <w:tblW w:type="auto" w:w="0"/>
        <w:jc w:val="left"/>
        <w:tblLook w:firstColumn="1" w:firstRow="1" w:lastColumn="0" w:lastRow="0" w:noHBand="0" w:noVBand="1" w:val="04A0"/>
      </w:tblPr>
      <w:tblGrid>
        <w:gridCol w:w="3230"/>
        <w:gridCol w:w="3230"/>
        <w:gridCol w:w="3230"/>
      </w:tblGrid>
      <w:tr>
        <w:tc>
          <w:tcPr>
            <w:tcW w:type="dxa" w:w="2835"/>
            <w:shd w:val="clear" w:color="auto" w:fill="1F3864"/>
          </w:tcPr>
          <w:p>
            <w:pPr>
              <w:jc w:val="center"/>
            </w:pPr>
            <w:r>
              <w:rPr>
                <w:b/>
                <w:color w:val="FFFFFF"/>
                <w:sz w:val="18"/>
              </w:rPr>
              <w:t>Field</w:t>
            </w:r>
          </w:p>
        </w:tc>
        <w:tc>
          <w:tcPr>
            <w:tcW w:type="dxa" w:w="1701"/>
            <w:shd w:val="clear" w:color="auto" w:fill="1F3864"/>
          </w:tcPr>
          <w:p>
            <w:pPr>
              <w:jc w:val="center"/>
            </w:pPr>
            <w:r>
              <w:rPr>
                <w:b/>
                <w:color w:val="FFFFFF"/>
                <w:sz w:val="18"/>
              </w:rPr>
              <w:t>Type</w:t>
            </w:r>
          </w:p>
        </w:tc>
        <w:tc>
          <w:tcPr>
            <w:tcW w:type="dxa" w:w="5102"/>
            <w:shd w:val="clear" w:color="auto" w:fill="1F3864"/>
          </w:tcPr>
          <w:p>
            <w:pPr>
              <w:jc w:val="center"/>
            </w:pPr>
            <w:r>
              <w:rPr>
                <w:b/>
                <w:color w:val="FFFFFF"/>
                <w:sz w:val="18"/>
              </w:rPr>
              <w:t>Description</w:t>
            </w:r>
          </w:p>
        </w:tc>
      </w:tr>
      <w:tr>
        <w:tc>
          <w:tcPr>
            <w:tcW w:type="dxa" w:w="2835"/>
            <w:shd w:val="clear" w:color="auto" w:fill="DCE6F1"/>
          </w:tcPr>
          <w:p>
            <w:r>
              <w:rPr>
                <w:b w:val="0"/>
                <w:sz w:val="18"/>
              </w:rPr>
              <w:t>ai_score</w:t>
            </w:r>
          </w:p>
        </w:tc>
        <w:tc>
          <w:tcPr>
            <w:tcW w:type="dxa" w:w="1701"/>
            <w:shd w:val="clear" w:color="auto" w:fill="DCE6F1"/>
          </w:tcPr>
          <w:p>
            <w:r>
              <w:rPr>
                <w:b w:val="0"/>
                <w:sz w:val="18"/>
              </w:rPr>
              <w:t>float 0-100</w:t>
            </w:r>
          </w:p>
        </w:tc>
        <w:tc>
          <w:tcPr>
            <w:tcW w:type="dxa" w:w="5102"/>
            <w:shd w:val="clear" w:color="auto" w:fill="DCE6F1"/>
          </w:tcPr>
          <w:p>
            <w:r>
              <w:rPr>
                <w:b w:val="0"/>
                <w:sz w:val="18"/>
              </w:rPr>
              <w:t>Calibrated conversion probability x 100</w:t>
            </w:r>
          </w:p>
        </w:tc>
      </w:tr>
      <w:tr>
        <w:tc>
          <w:tcPr>
            <w:tcW w:type="dxa" w:w="2835"/>
          </w:tcPr>
          <w:p>
            <w:r>
              <w:rPr>
                <w:b w:val="0"/>
                <w:sz w:val="18"/>
              </w:rPr>
              <w:t>segment</w:t>
            </w:r>
          </w:p>
        </w:tc>
        <w:tc>
          <w:tcPr>
            <w:tcW w:type="dxa" w:w="1701"/>
          </w:tcPr>
          <w:p>
            <w:r>
              <w:rPr>
                <w:b w:val="0"/>
                <w:sz w:val="18"/>
              </w:rPr>
              <w:t>str</w:t>
            </w:r>
          </w:p>
        </w:tc>
        <w:tc>
          <w:tcPr>
            <w:tcW w:type="dxa" w:w="5102"/>
          </w:tcPr>
          <w:p>
            <w:r>
              <w:rPr>
                <w:b w:val="0"/>
                <w:sz w:val="18"/>
              </w:rPr>
              <w:t>High (&gt;=70) / Medium (&gt;=40) / Low — thresholds from contracts.py</w:t>
            </w:r>
          </w:p>
        </w:tc>
      </w:tr>
      <w:tr>
        <w:tc>
          <w:tcPr>
            <w:tcW w:type="dxa" w:w="2835"/>
            <w:shd w:val="clear" w:color="auto" w:fill="DCE6F1"/>
          </w:tcPr>
          <w:p>
            <w:r>
              <w:rPr>
                <w:b w:val="0"/>
                <w:sz w:val="18"/>
              </w:rPr>
              <w:t>expected_win_pct</w:t>
            </w:r>
          </w:p>
        </w:tc>
        <w:tc>
          <w:tcPr>
            <w:tcW w:type="dxa" w:w="1701"/>
            <w:shd w:val="clear" w:color="auto" w:fill="DCE6F1"/>
          </w:tcPr>
          <w:p>
            <w:r>
              <w:rPr>
                <w:b w:val="0"/>
                <w:sz w:val="18"/>
              </w:rPr>
              <w:t>float 0-100</w:t>
            </w:r>
          </w:p>
        </w:tc>
        <w:tc>
          <w:tcPr>
            <w:tcW w:type="dxa" w:w="5102"/>
            <w:shd w:val="clear" w:color="auto" w:fill="DCE6F1"/>
          </w:tcPr>
          <w:p>
            <w:r>
              <w:rPr>
                <w:b w:val="0"/>
                <w:sz w:val="18"/>
              </w:rPr>
              <w:t>P(Convert) x P(Win | Converted) x 100</w:t>
            </w:r>
          </w:p>
        </w:tc>
      </w:tr>
      <w:tr>
        <w:tc>
          <w:tcPr>
            <w:tcW w:type="dxa" w:w="2835"/>
          </w:tcPr>
          <w:p>
            <w:r>
              <w:rPr>
                <w:b w:val="0"/>
                <w:sz w:val="18"/>
              </w:rPr>
              <w:t>p_win_if_converted_pct</w:t>
            </w:r>
          </w:p>
        </w:tc>
        <w:tc>
          <w:tcPr>
            <w:tcW w:type="dxa" w:w="1701"/>
          </w:tcPr>
          <w:p>
            <w:r>
              <w:rPr>
                <w:b w:val="0"/>
                <w:sz w:val="18"/>
              </w:rPr>
              <w:t>float 0-100</w:t>
            </w:r>
          </w:p>
        </w:tc>
        <w:tc>
          <w:tcPr>
            <w:tcW w:type="dxa" w:w="5102"/>
          </w:tcPr>
          <w:p>
            <w:r>
              <w:rPr>
                <w:b w:val="0"/>
                <w:sz w:val="18"/>
              </w:rPr>
              <w:t>Win model output conditional on conversion</w:t>
            </w:r>
          </w:p>
        </w:tc>
      </w:tr>
      <w:tr>
        <w:tc>
          <w:tcPr>
            <w:tcW w:type="dxa" w:w="2835"/>
            <w:shd w:val="clear" w:color="auto" w:fill="DCE6F1"/>
          </w:tcPr>
          <w:p>
            <w:r>
              <w:rPr>
                <w:b w:val="0"/>
                <w:sz w:val="18"/>
              </w:rPr>
              <w:t>rule_score</w:t>
            </w:r>
          </w:p>
        </w:tc>
        <w:tc>
          <w:tcPr>
            <w:tcW w:type="dxa" w:w="1701"/>
            <w:shd w:val="clear" w:color="auto" w:fill="DCE6F1"/>
          </w:tcPr>
          <w:p>
            <w:r>
              <w:rPr>
                <w:b w:val="0"/>
                <w:sz w:val="18"/>
              </w:rPr>
              <w:t>int 0-100</w:t>
            </w:r>
          </w:p>
        </w:tc>
        <w:tc>
          <w:tcPr>
            <w:tcW w:type="dxa" w:w="5102"/>
            <w:shd w:val="clear" w:color="auto" w:fill="DCE6F1"/>
          </w:tcPr>
          <w:p>
            <w:r>
              <w:rPr>
                <w:b w:val="0"/>
                <w:sz w:val="18"/>
              </w:rPr>
              <w:t>Parallel rule-based baseline score for comparison</w:t>
            </w:r>
          </w:p>
        </w:tc>
      </w:tr>
      <w:tr>
        <w:tc>
          <w:tcPr>
            <w:tcW w:type="dxa" w:w="2835"/>
          </w:tcPr>
          <w:p>
            <w:r>
              <w:rPr>
                <w:b w:val="0"/>
                <w:sz w:val="18"/>
              </w:rPr>
              <w:t>top_drivers</w:t>
            </w:r>
          </w:p>
        </w:tc>
        <w:tc>
          <w:tcPr>
            <w:tcW w:type="dxa" w:w="1701"/>
          </w:tcPr>
          <w:p>
            <w:r>
              <w:rPr>
                <w:b w:val="0"/>
                <w:sz w:val="18"/>
              </w:rPr>
              <w:t>list[str]</w:t>
            </w:r>
          </w:p>
        </w:tc>
        <w:tc>
          <w:tcPr>
            <w:tcW w:type="dxa" w:w="5102"/>
          </w:tcPr>
          <w:p>
            <w:r>
              <w:rPr>
                <w:b w:val="0"/>
                <w:sz w:val="18"/>
              </w:rPr>
              <w:t>Up to 3 SHAP-ranked feature names (empty if explainer fails)</w:t>
            </w:r>
          </w:p>
        </w:tc>
      </w:tr>
      <w:tr>
        <w:tc>
          <w:tcPr>
            <w:tcW w:type="dxa" w:w="2835"/>
            <w:shd w:val="clear" w:color="auto" w:fill="DCE6F1"/>
          </w:tcPr>
          <w:p>
            <w:r>
              <w:rPr>
                <w:b w:val="0"/>
                <w:sz w:val="18"/>
              </w:rPr>
              <w:t>version</w:t>
            </w:r>
          </w:p>
        </w:tc>
        <w:tc>
          <w:tcPr>
            <w:tcW w:type="dxa" w:w="1701"/>
            <w:shd w:val="clear" w:color="auto" w:fill="DCE6F1"/>
          </w:tcPr>
          <w:p>
            <w:r>
              <w:rPr>
                <w:b w:val="0"/>
                <w:sz w:val="18"/>
              </w:rPr>
              <w:t>str</w:t>
            </w:r>
          </w:p>
        </w:tc>
        <w:tc>
          <w:tcPr>
            <w:tcW w:type="dxa" w:w="5102"/>
            <w:shd w:val="clear" w:color="auto" w:fill="DCE6F1"/>
          </w:tcPr>
          <w:p>
            <w:r>
              <w:rPr>
                <w:b w:val="0"/>
                <w:sz w:val="18"/>
              </w:rPr>
              <w:t>Model version string from api.py (e.g. '1.2.0')</w:t>
            </w:r>
          </w:p>
        </w:tc>
      </w:tr>
    </w:tbl>
    <w:p>
      <w:pPr>
        <w:jc w:val="center"/>
      </w:pPr>
      <w:r>
        <w:rPr>
          <w:i/>
          <w:color w:val="595959"/>
          <w:sz w:val="16"/>
        </w:rPr>
        <w:t>Table A.1. ScoreOutput schema returned by /score, /score/batch, and /score/enrich.</w:t>
      </w:r>
    </w:p>
    <w:p>
      <w:pPr>
        <w:spacing w:before="0" w:after="0"/>
      </w:pPr>
    </w:p>
    <w:p>
      <w:pPr>
        <w:spacing w:after="120"/>
      </w:pPr>
      <w:r>
        <w:rPr>
          <w:b w:val="0"/>
          <w:i w:val="0"/>
          <w:sz w:val="20"/>
        </w:rPr>
        <w:t>LeadInput (for /score and /score/batch) requires Industry, Size_Band, LeadSource, Rating, and all CRM behavioural fields. All bool flags are declared as int (0/1) to match the int64 dtype from data_generator.py. EnrichLeadInput (for /score/enrich) requires only ico (8-digit IČO string); all other fields are optional and default to zero activity if absent.</w:t>
      </w:r>
    </w:p>
    <w:p>
      <w:r>
        <w:br w:type="page"/>
      </w:r>
    </w:p>
    <w:p>
      <w:pPr>
        <w:pStyle w:val="Heading1"/>
      </w:pPr>
      <w:r>
        <w:rPr>
          <w:color w:val="1F3864"/>
        </w:rPr>
        <w:t>Appendix B — Feature Dictionary</w:t>
      </w:r>
    </w:p>
    <w:p>
      <w:pPr>
        <w:spacing w:after="120"/>
      </w:pPr>
      <w:r>
        <w:rPr>
          <w:b w:val="0"/>
          <w:i w:val="0"/>
          <w:sz w:val="20"/>
        </w:rPr>
        <w:t>The conversion model uses 44 features; the win model uses 19. Features marked [proxy] are correlated with the synthetic Status field and must be excluded via EXCLUDE_STATUS_PROXIES=1 before training on real CRM data.</w:t>
      </w:r>
    </w:p>
    <w:p>
      <w:pPr>
        <w:spacing w:before="0" w:after="0"/>
      </w:pP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835"/>
            <w:shd w:val="clear" w:color="auto" w:fill="1F3864"/>
          </w:tcPr>
          <w:p>
            <w:pPr>
              <w:jc w:val="center"/>
            </w:pPr>
            <w:r>
              <w:rPr>
                <w:b/>
                <w:color w:val="FFFFFF"/>
                <w:sz w:val="18"/>
              </w:rPr>
              <w:t>Feature</w:t>
            </w:r>
          </w:p>
        </w:tc>
        <w:tc>
          <w:tcPr>
            <w:tcW w:type="dxa" w:w="1587"/>
            <w:shd w:val="clear" w:color="auto" w:fill="1F3864"/>
          </w:tcPr>
          <w:p>
            <w:pPr>
              <w:jc w:val="center"/>
            </w:pPr>
            <w:r>
              <w:rPr>
                <w:b/>
                <w:color w:val="FFFFFF"/>
                <w:sz w:val="18"/>
              </w:rPr>
              <w:t>Type</w:t>
            </w:r>
          </w:p>
        </w:tc>
        <w:tc>
          <w:tcPr>
            <w:tcW w:type="dxa" w:w="1134"/>
            <w:shd w:val="clear" w:color="auto" w:fill="1F3864"/>
          </w:tcPr>
          <w:p>
            <w:pPr>
              <w:jc w:val="center"/>
            </w:pPr>
            <w:r>
              <w:rPr>
                <w:b/>
                <w:color w:val="FFFFFF"/>
                <w:sz w:val="18"/>
              </w:rPr>
              <w:t>Source</w:t>
            </w:r>
          </w:p>
        </w:tc>
        <w:tc>
          <w:tcPr>
            <w:tcW w:type="dxa" w:w="4082"/>
            <w:shd w:val="clear" w:color="auto" w:fill="1F3864"/>
          </w:tcPr>
          <w:p>
            <w:pPr>
              <w:jc w:val="center"/>
            </w:pPr>
            <w:r>
              <w:rPr>
                <w:b/>
                <w:color w:val="FFFFFF"/>
                <w:sz w:val="18"/>
              </w:rPr>
              <w:t>Note</w:t>
            </w:r>
          </w:p>
        </w:tc>
      </w:tr>
      <w:tr>
        <w:tc>
          <w:tcPr>
            <w:tcW w:type="dxa" w:w="2835"/>
            <w:shd w:val="clear" w:color="auto" w:fill="DCE6F1"/>
          </w:tcPr>
          <w:p>
            <w:r>
              <w:rPr>
                <w:b w:val="0"/>
                <w:sz w:val="18"/>
              </w:rPr>
              <w:t>CZ_NACE_Section</w:t>
            </w:r>
          </w:p>
        </w:tc>
        <w:tc>
          <w:tcPr>
            <w:tcW w:type="dxa" w:w="1587"/>
            <w:shd w:val="clear" w:color="auto" w:fill="DCE6F1"/>
          </w:tcPr>
          <w:p>
            <w:r>
              <w:rPr>
                <w:b w:val="0"/>
                <w:sz w:val="18"/>
              </w:rPr>
              <w:t>categorical</w:t>
            </w:r>
          </w:p>
        </w:tc>
        <w:tc>
          <w:tcPr>
            <w:tcW w:type="dxa" w:w="1134"/>
            <w:shd w:val="clear" w:color="auto" w:fill="DCE6F1"/>
          </w:tcPr>
          <w:p>
            <w:r>
              <w:rPr>
                <w:b w:val="0"/>
                <w:sz w:val="18"/>
              </w:rPr>
              <w:t>RES / ARES</w:t>
            </w:r>
          </w:p>
        </w:tc>
        <w:tc>
          <w:tcPr>
            <w:tcW w:type="dxa" w:w="4082"/>
            <w:shd w:val="clear" w:color="auto" w:fill="DCE6F1"/>
          </w:tcPr>
          <w:p>
            <w:r>
              <w:rPr>
                <w:b w:val="0"/>
                <w:sz w:val="18"/>
              </w:rPr>
              <w:t>NACE section letter</w:t>
            </w:r>
          </w:p>
        </w:tc>
      </w:tr>
      <w:tr>
        <w:tc>
          <w:tcPr>
            <w:tcW w:type="dxa" w:w="2835"/>
          </w:tcPr>
          <w:p>
            <w:r>
              <w:rPr>
                <w:b w:val="0"/>
                <w:sz w:val="18"/>
              </w:rPr>
              <w:t>Region_Name</w:t>
            </w:r>
          </w:p>
        </w:tc>
        <w:tc>
          <w:tcPr>
            <w:tcW w:type="dxa" w:w="1587"/>
          </w:tcPr>
          <w:p>
            <w:r>
              <w:rPr>
                <w:b w:val="0"/>
                <w:sz w:val="18"/>
              </w:rPr>
              <w:t>categorical</w:t>
            </w:r>
          </w:p>
        </w:tc>
        <w:tc>
          <w:tcPr>
            <w:tcW w:type="dxa" w:w="1134"/>
          </w:tcPr>
          <w:p>
            <w:r>
              <w:rPr>
                <w:b w:val="0"/>
                <w:sz w:val="18"/>
              </w:rPr>
              <w:t>RES / ARES</w:t>
            </w:r>
          </w:p>
        </w:tc>
        <w:tc>
          <w:tcPr>
            <w:tcW w:type="dxa" w:w="4082"/>
          </w:tcPr>
          <w:p>
            <w:r>
              <w:rPr>
                <w:b w:val="0"/>
                <w:sz w:val="18"/>
              </w:rPr>
              <w:t>Czech region — 14 NUTS-3 regions</w:t>
            </w:r>
          </w:p>
        </w:tc>
      </w:tr>
      <w:tr>
        <w:tc>
          <w:tcPr>
            <w:tcW w:type="dxa" w:w="2835"/>
            <w:shd w:val="clear" w:color="auto" w:fill="DCE6F1"/>
          </w:tcPr>
          <w:p>
            <w:r>
              <w:rPr>
                <w:b w:val="0"/>
                <w:sz w:val="18"/>
              </w:rPr>
              <w:t>Legal_Form_Code</w:t>
            </w:r>
          </w:p>
        </w:tc>
        <w:tc>
          <w:tcPr>
            <w:tcW w:type="dxa" w:w="1587"/>
            <w:shd w:val="clear" w:color="auto" w:fill="DCE6F1"/>
          </w:tcPr>
          <w:p>
            <w:r>
              <w:rPr>
                <w:b w:val="0"/>
                <w:sz w:val="18"/>
              </w:rPr>
              <w:t>categorical</w:t>
            </w:r>
          </w:p>
        </w:tc>
        <w:tc>
          <w:tcPr>
            <w:tcW w:type="dxa" w:w="1134"/>
            <w:shd w:val="clear" w:color="auto" w:fill="DCE6F1"/>
          </w:tcPr>
          <w:p>
            <w:r>
              <w:rPr>
                <w:b w:val="0"/>
                <w:sz w:val="18"/>
              </w:rPr>
              <w:t>RES / ARES</w:t>
            </w:r>
          </w:p>
        </w:tc>
        <w:tc>
          <w:tcPr>
            <w:tcW w:type="dxa" w:w="4082"/>
            <w:shd w:val="clear" w:color="auto" w:fill="DCE6F1"/>
          </w:tcPr>
          <w:p>
            <w:r>
              <w:rPr>
                <w:b w:val="0"/>
                <w:sz w:val="18"/>
              </w:rPr>
              <w:t>Legal form code (112=s.r.o., 121=a.s.)</w:t>
            </w:r>
          </w:p>
        </w:tc>
      </w:tr>
      <w:tr>
        <w:tc>
          <w:tcPr>
            <w:tcW w:type="dxa" w:w="2835"/>
          </w:tcPr>
          <w:p>
            <w:r>
              <w:rPr>
                <w:b w:val="0"/>
                <w:sz w:val="18"/>
              </w:rPr>
              <w:t>Company_Age_Years</w:t>
            </w:r>
          </w:p>
        </w:tc>
        <w:tc>
          <w:tcPr>
            <w:tcW w:type="dxa" w:w="1587"/>
          </w:tcPr>
          <w:p>
            <w:r>
              <w:rPr>
                <w:b w:val="0"/>
                <w:sz w:val="18"/>
              </w:rPr>
              <w:t>numeric</w:t>
            </w:r>
          </w:p>
        </w:tc>
        <w:tc>
          <w:tcPr>
            <w:tcW w:type="dxa" w:w="1134"/>
          </w:tcPr>
          <w:p>
            <w:r>
              <w:rPr>
                <w:b w:val="0"/>
                <w:sz w:val="18"/>
              </w:rPr>
              <w:t>RES / ARES</w:t>
            </w:r>
          </w:p>
        </w:tc>
        <w:tc>
          <w:tcPr>
            <w:tcW w:type="dxa" w:w="4082"/>
          </w:tcPr>
          <w:p>
            <w:r>
              <w:rPr>
                <w:b w:val="0"/>
                <w:sz w:val="18"/>
              </w:rPr>
              <w:t>Current year minus founding year</w:t>
            </w:r>
          </w:p>
        </w:tc>
      </w:tr>
      <w:tr>
        <w:tc>
          <w:tcPr>
            <w:tcW w:type="dxa" w:w="2835"/>
            <w:shd w:val="clear" w:color="auto" w:fill="DCE6F1"/>
          </w:tcPr>
          <w:p>
            <w:r>
              <w:rPr>
                <w:b w:val="0"/>
                <w:sz w:val="18"/>
              </w:rPr>
              <w:t>Size_Band</w:t>
            </w:r>
          </w:p>
        </w:tc>
        <w:tc>
          <w:tcPr>
            <w:tcW w:type="dxa" w:w="1587"/>
            <w:shd w:val="clear" w:color="auto" w:fill="DCE6F1"/>
          </w:tcPr>
          <w:p>
            <w:r>
              <w:rPr>
                <w:b w:val="0"/>
                <w:sz w:val="18"/>
              </w:rPr>
              <w:t>categorical</w:t>
            </w:r>
          </w:p>
        </w:tc>
        <w:tc>
          <w:tcPr>
            <w:tcW w:type="dxa" w:w="1134"/>
            <w:shd w:val="clear" w:color="auto" w:fill="DCE6F1"/>
          </w:tcPr>
          <w:p>
            <w:r>
              <w:rPr>
                <w:b w:val="0"/>
                <w:sz w:val="18"/>
              </w:rPr>
              <w:t>CRM</w:t>
            </w:r>
          </w:p>
        </w:tc>
        <w:tc>
          <w:tcPr>
            <w:tcW w:type="dxa" w:w="4082"/>
            <w:shd w:val="clear" w:color="auto" w:fill="DCE6F1"/>
          </w:tcPr>
          <w:p>
            <w:r>
              <w:rPr>
                <w:b w:val="0"/>
                <w:sz w:val="18"/>
              </w:rPr>
              <w:t>Small / Medium / Large / Enterprise</w:t>
            </w:r>
          </w:p>
        </w:tc>
      </w:tr>
      <w:tr>
        <w:tc>
          <w:tcPr>
            <w:tcW w:type="dxa" w:w="2835"/>
          </w:tcPr>
          <w:p>
            <w:r>
              <w:rPr>
                <w:b w:val="0"/>
                <w:sz w:val="18"/>
              </w:rPr>
              <w:t>NumberOfEmployees</w:t>
            </w:r>
          </w:p>
        </w:tc>
        <w:tc>
          <w:tcPr>
            <w:tcW w:type="dxa" w:w="1587"/>
          </w:tcPr>
          <w:p>
            <w:r>
              <w:rPr>
                <w:b w:val="0"/>
                <w:sz w:val="18"/>
              </w:rPr>
              <w:t>numeric</w:t>
            </w:r>
          </w:p>
        </w:tc>
        <w:tc>
          <w:tcPr>
            <w:tcW w:type="dxa" w:w="1134"/>
          </w:tcPr>
          <w:p>
            <w:r>
              <w:rPr>
                <w:b w:val="0"/>
                <w:sz w:val="18"/>
              </w:rPr>
              <w:t>CRM</w:t>
            </w:r>
          </w:p>
        </w:tc>
        <w:tc>
          <w:tcPr>
            <w:tcW w:type="dxa" w:w="4082"/>
          </w:tcPr>
          <w:p>
            <w:r>
              <w:rPr>
                <w:b w:val="0"/>
                <w:sz w:val="18"/>
              </w:rPr>
              <w:t>Employee headcount</w:t>
            </w:r>
          </w:p>
        </w:tc>
      </w:tr>
      <w:tr>
        <w:tc>
          <w:tcPr>
            <w:tcW w:type="dxa" w:w="2835"/>
            <w:shd w:val="clear" w:color="auto" w:fill="DCE6F1"/>
          </w:tcPr>
          <w:p>
            <w:r>
              <w:rPr>
                <w:b w:val="0"/>
                <w:sz w:val="18"/>
              </w:rPr>
              <w:t>Annual_Revenue_MCZK__c</w:t>
            </w:r>
          </w:p>
        </w:tc>
        <w:tc>
          <w:tcPr>
            <w:tcW w:type="dxa" w:w="1587"/>
            <w:shd w:val="clear" w:color="auto" w:fill="DCE6F1"/>
          </w:tcPr>
          <w:p>
            <w:r>
              <w:rPr>
                <w:b w:val="0"/>
                <w:sz w:val="18"/>
              </w:rPr>
              <w:t>numeric</w:t>
            </w:r>
          </w:p>
        </w:tc>
        <w:tc>
          <w:tcPr>
            <w:tcW w:type="dxa" w:w="1134"/>
            <w:shd w:val="clear" w:color="auto" w:fill="DCE6F1"/>
          </w:tcPr>
          <w:p>
            <w:r>
              <w:rPr>
                <w:b w:val="0"/>
                <w:sz w:val="18"/>
              </w:rPr>
              <w:t>CRM</w:t>
            </w:r>
          </w:p>
        </w:tc>
        <w:tc>
          <w:tcPr>
            <w:tcW w:type="dxa" w:w="4082"/>
            <w:shd w:val="clear" w:color="auto" w:fill="DCE6F1"/>
          </w:tcPr>
          <w:p>
            <w:r>
              <w:rPr>
                <w:b w:val="0"/>
                <w:sz w:val="18"/>
              </w:rPr>
              <w:t>Annual revenue in million CZK</w:t>
            </w:r>
          </w:p>
        </w:tc>
      </w:tr>
      <w:tr>
        <w:tc>
          <w:tcPr>
            <w:tcW w:type="dxa" w:w="2835"/>
          </w:tcPr>
          <w:p>
            <w:r>
              <w:rPr>
                <w:b w:val="0"/>
                <w:sz w:val="18"/>
              </w:rPr>
              <w:t>LeadSource</w:t>
            </w:r>
          </w:p>
        </w:tc>
        <w:tc>
          <w:tcPr>
            <w:tcW w:type="dxa" w:w="1587"/>
          </w:tcPr>
          <w:p>
            <w:r>
              <w:rPr>
                <w:b w:val="0"/>
                <w:sz w:val="18"/>
              </w:rPr>
              <w:t>categorical</w:t>
            </w:r>
          </w:p>
        </w:tc>
        <w:tc>
          <w:tcPr>
            <w:tcW w:type="dxa" w:w="1134"/>
          </w:tcPr>
          <w:p>
            <w:r>
              <w:rPr>
                <w:b w:val="0"/>
                <w:sz w:val="18"/>
              </w:rPr>
              <w:t>CRM</w:t>
            </w:r>
          </w:p>
        </w:tc>
        <w:tc>
          <w:tcPr>
            <w:tcW w:type="dxa" w:w="4082"/>
          </w:tcPr>
          <w:p>
            <w:r>
              <w:rPr>
                <w:b w:val="0"/>
                <w:sz w:val="18"/>
              </w:rPr>
              <w:t>Acquisition channel</w:t>
            </w:r>
          </w:p>
        </w:tc>
      </w:tr>
      <w:tr>
        <w:tc>
          <w:tcPr>
            <w:tcW w:type="dxa" w:w="2835"/>
            <w:shd w:val="clear" w:color="auto" w:fill="DCE6F1"/>
          </w:tcPr>
          <w:p>
            <w:r>
              <w:rPr>
                <w:b w:val="0"/>
                <w:sz w:val="18"/>
              </w:rPr>
              <w:t>Rating</w:t>
            </w:r>
          </w:p>
        </w:tc>
        <w:tc>
          <w:tcPr>
            <w:tcW w:type="dxa" w:w="1587"/>
            <w:shd w:val="clear" w:color="auto" w:fill="DCE6F1"/>
          </w:tcPr>
          <w:p>
            <w:r>
              <w:rPr>
                <w:b w:val="0"/>
                <w:sz w:val="18"/>
              </w:rPr>
              <w:t>categorical</w:t>
            </w:r>
          </w:p>
        </w:tc>
        <w:tc>
          <w:tcPr>
            <w:tcW w:type="dxa" w:w="1134"/>
            <w:shd w:val="clear" w:color="auto" w:fill="DCE6F1"/>
          </w:tcPr>
          <w:p>
            <w:r>
              <w:rPr>
                <w:b w:val="0"/>
                <w:sz w:val="18"/>
              </w:rPr>
              <w:t>CRM</w:t>
            </w:r>
          </w:p>
        </w:tc>
        <w:tc>
          <w:tcPr>
            <w:tcW w:type="dxa" w:w="4082"/>
            <w:shd w:val="clear" w:color="auto" w:fill="DCE6F1"/>
          </w:tcPr>
          <w:p>
            <w:r>
              <w:rPr>
                <w:b w:val="0"/>
                <w:sz w:val="18"/>
              </w:rPr>
              <w:t>Hot / Warm / Cold</w:t>
            </w:r>
          </w:p>
        </w:tc>
      </w:tr>
      <w:tr>
        <w:tc>
          <w:tcPr>
            <w:tcW w:type="dxa" w:w="2835"/>
          </w:tcPr>
          <w:p>
            <w:r>
              <w:rPr>
                <w:b w:val="0"/>
                <w:sz w:val="18"/>
              </w:rPr>
              <w:t>Time_to_First_Response_h__c</w:t>
            </w:r>
          </w:p>
        </w:tc>
        <w:tc>
          <w:tcPr>
            <w:tcW w:type="dxa" w:w="1587"/>
          </w:tcPr>
          <w:p>
            <w:r>
              <w:rPr>
                <w:b w:val="0"/>
                <w:sz w:val="18"/>
              </w:rPr>
              <w:t>numeric</w:t>
            </w:r>
          </w:p>
        </w:tc>
        <w:tc>
          <w:tcPr>
            <w:tcW w:type="dxa" w:w="1134"/>
          </w:tcPr>
          <w:p>
            <w:r>
              <w:rPr>
                <w:b w:val="0"/>
                <w:sz w:val="18"/>
              </w:rPr>
              <w:t>CRM</w:t>
            </w:r>
          </w:p>
        </w:tc>
        <w:tc>
          <w:tcPr>
            <w:tcW w:type="dxa" w:w="4082"/>
          </w:tcPr>
          <w:p>
            <w:r>
              <w:rPr>
                <w:b w:val="0"/>
                <w:sz w:val="18"/>
              </w:rPr>
              <w:t>Hours from lead creation to first rep response</w:t>
            </w:r>
          </w:p>
        </w:tc>
      </w:tr>
      <w:tr>
        <w:tc>
          <w:tcPr>
            <w:tcW w:type="dxa" w:w="2835"/>
            <w:shd w:val="clear" w:color="auto" w:fill="DCE6F1"/>
          </w:tcPr>
          <w:p>
            <w:r>
              <w:rPr>
                <w:b w:val="0"/>
                <w:sz w:val="18"/>
              </w:rPr>
              <w:t>Web_Interactions__c</w:t>
            </w:r>
          </w:p>
        </w:tc>
        <w:tc>
          <w:tcPr>
            <w:tcW w:type="dxa" w:w="1587"/>
            <w:shd w:val="clear" w:color="auto" w:fill="DCE6F1"/>
          </w:tcPr>
          <w:p>
            <w:r>
              <w:rPr>
                <w:b w:val="0"/>
                <w:sz w:val="18"/>
              </w:rPr>
              <w:t>numeric</w:t>
            </w:r>
          </w:p>
        </w:tc>
        <w:tc>
          <w:tcPr>
            <w:tcW w:type="dxa" w:w="1134"/>
            <w:shd w:val="clear" w:color="auto" w:fill="DCE6F1"/>
          </w:tcPr>
          <w:p>
            <w:r>
              <w:rPr>
                <w:b w:val="0"/>
                <w:sz w:val="18"/>
              </w:rPr>
              <w:t>CRM</w:t>
            </w:r>
          </w:p>
        </w:tc>
        <w:tc>
          <w:tcPr>
            <w:tcW w:type="dxa" w:w="4082"/>
            <w:shd w:val="clear" w:color="auto" w:fill="DCE6F1"/>
          </w:tcPr>
          <w:p>
            <w:r>
              <w:rPr>
                <w:b w:val="0"/>
                <w:sz w:val="18"/>
              </w:rPr>
              <w:t>Website interaction count</w:t>
            </w:r>
          </w:p>
        </w:tc>
      </w:tr>
      <w:tr>
        <w:tc>
          <w:tcPr>
            <w:tcW w:type="dxa" w:w="2835"/>
          </w:tcPr>
          <w:p>
            <w:r>
              <w:rPr>
                <w:b w:val="0"/>
                <w:sz w:val="18"/>
              </w:rPr>
              <w:t>Email_Opens__c</w:t>
            </w:r>
          </w:p>
        </w:tc>
        <w:tc>
          <w:tcPr>
            <w:tcW w:type="dxa" w:w="1587"/>
          </w:tcPr>
          <w:p>
            <w:r>
              <w:rPr>
                <w:b w:val="0"/>
                <w:sz w:val="18"/>
              </w:rPr>
              <w:t>numeric</w:t>
            </w:r>
          </w:p>
        </w:tc>
        <w:tc>
          <w:tcPr>
            <w:tcW w:type="dxa" w:w="1134"/>
          </w:tcPr>
          <w:p>
            <w:r>
              <w:rPr>
                <w:b w:val="0"/>
                <w:sz w:val="18"/>
              </w:rPr>
              <w:t>CRM</w:t>
            </w:r>
          </w:p>
        </w:tc>
        <w:tc>
          <w:tcPr>
            <w:tcW w:type="dxa" w:w="4082"/>
          </w:tcPr>
          <w:p>
            <w:r>
              <w:rPr>
                <w:b w:val="0"/>
                <w:sz w:val="18"/>
              </w:rPr>
              <w:t>Email opens</w:t>
            </w:r>
          </w:p>
        </w:tc>
      </w:tr>
      <w:tr>
        <w:tc>
          <w:tcPr>
            <w:tcW w:type="dxa" w:w="2835"/>
            <w:shd w:val="clear" w:color="auto" w:fill="DCE6F1"/>
          </w:tcPr>
          <w:p>
            <w:r>
              <w:rPr>
                <w:b w:val="0"/>
                <w:sz w:val="18"/>
              </w:rPr>
              <w:t>Email_Clicks__c</w:t>
            </w:r>
          </w:p>
        </w:tc>
        <w:tc>
          <w:tcPr>
            <w:tcW w:type="dxa" w:w="1587"/>
            <w:shd w:val="clear" w:color="auto" w:fill="DCE6F1"/>
          </w:tcPr>
          <w:p>
            <w:r>
              <w:rPr>
                <w:b w:val="0"/>
                <w:sz w:val="18"/>
              </w:rPr>
              <w:t>numeric</w:t>
            </w:r>
          </w:p>
        </w:tc>
        <w:tc>
          <w:tcPr>
            <w:tcW w:type="dxa" w:w="1134"/>
            <w:shd w:val="clear" w:color="auto" w:fill="DCE6F1"/>
          </w:tcPr>
          <w:p>
            <w:r>
              <w:rPr>
                <w:b w:val="0"/>
                <w:sz w:val="18"/>
              </w:rPr>
              <w:t>CRM</w:t>
            </w:r>
          </w:p>
        </w:tc>
        <w:tc>
          <w:tcPr>
            <w:tcW w:type="dxa" w:w="4082"/>
            <w:shd w:val="clear" w:color="auto" w:fill="DCE6F1"/>
          </w:tcPr>
          <w:p>
            <w:r>
              <w:rPr>
                <w:b w:val="0"/>
                <w:sz w:val="18"/>
              </w:rPr>
              <w:t>Email clicks</w:t>
            </w:r>
          </w:p>
        </w:tc>
      </w:tr>
      <w:tr>
        <w:tc>
          <w:tcPr>
            <w:tcW w:type="dxa" w:w="2835"/>
          </w:tcPr>
          <w:p>
            <w:r>
              <w:rPr>
                <w:b w:val="0"/>
                <w:sz w:val="18"/>
              </w:rPr>
              <w:t>Email_Open_Rate__c</w:t>
            </w:r>
          </w:p>
        </w:tc>
        <w:tc>
          <w:tcPr>
            <w:tcW w:type="dxa" w:w="1587"/>
          </w:tcPr>
          <w:p>
            <w:r>
              <w:rPr>
                <w:b w:val="0"/>
                <w:sz w:val="18"/>
              </w:rPr>
              <w:t>numeric</w:t>
            </w:r>
          </w:p>
        </w:tc>
        <w:tc>
          <w:tcPr>
            <w:tcW w:type="dxa" w:w="1134"/>
          </w:tcPr>
          <w:p>
            <w:r>
              <w:rPr>
                <w:b w:val="0"/>
                <w:sz w:val="18"/>
              </w:rPr>
              <w:t>CRM</w:t>
            </w:r>
          </w:p>
        </w:tc>
        <w:tc>
          <w:tcPr>
            <w:tcW w:type="dxa" w:w="4082"/>
          </w:tcPr>
          <w:p>
            <w:r>
              <w:rPr>
                <w:b w:val="0"/>
                <w:sz w:val="18"/>
              </w:rPr>
              <w:t>Open rate 0-1</w:t>
            </w:r>
          </w:p>
        </w:tc>
      </w:tr>
      <w:tr>
        <w:tc>
          <w:tcPr>
            <w:tcW w:type="dxa" w:w="2835"/>
            <w:shd w:val="clear" w:color="auto" w:fill="DCE6F1"/>
          </w:tcPr>
          <w:p>
            <w:r>
              <w:rPr>
                <w:b w:val="0"/>
                <w:sz w:val="18"/>
              </w:rPr>
              <w:t>Form_Submissions__c</w:t>
            </w:r>
          </w:p>
        </w:tc>
        <w:tc>
          <w:tcPr>
            <w:tcW w:type="dxa" w:w="1587"/>
            <w:shd w:val="clear" w:color="auto" w:fill="DCE6F1"/>
          </w:tcPr>
          <w:p>
            <w:r>
              <w:rPr>
                <w:b w:val="0"/>
                <w:sz w:val="18"/>
              </w:rPr>
              <w:t>numeric</w:t>
            </w:r>
          </w:p>
        </w:tc>
        <w:tc>
          <w:tcPr>
            <w:tcW w:type="dxa" w:w="1134"/>
            <w:shd w:val="clear" w:color="auto" w:fill="DCE6F1"/>
          </w:tcPr>
          <w:p>
            <w:r>
              <w:rPr>
                <w:b w:val="0"/>
                <w:sz w:val="18"/>
              </w:rPr>
              <w:t>CRM</w:t>
            </w:r>
          </w:p>
        </w:tc>
        <w:tc>
          <w:tcPr>
            <w:tcW w:type="dxa" w:w="4082"/>
            <w:shd w:val="clear" w:color="auto" w:fill="DCE6F1"/>
          </w:tcPr>
          <w:p>
            <w:r>
              <w:rPr>
                <w:b w:val="0"/>
                <w:sz w:val="18"/>
              </w:rPr>
              <w:t>Form fill count</w:t>
            </w:r>
          </w:p>
        </w:tc>
      </w:tr>
      <w:tr>
        <w:tc>
          <w:tcPr>
            <w:tcW w:type="dxa" w:w="2835"/>
          </w:tcPr>
          <w:p>
            <w:r>
              <w:rPr>
                <w:b w:val="0"/>
                <w:sz w:val="18"/>
              </w:rPr>
              <w:t>Demo_Requested__c</w:t>
            </w:r>
          </w:p>
        </w:tc>
        <w:tc>
          <w:tcPr>
            <w:tcW w:type="dxa" w:w="1587"/>
          </w:tcPr>
          <w:p>
            <w:r>
              <w:rPr>
                <w:b w:val="0"/>
                <w:sz w:val="18"/>
              </w:rPr>
              <w:t>int 0/1</w:t>
            </w:r>
          </w:p>
        </w:tc>
        <w:tc>
          <w:tcPr>
            <w:tcW w:type="dxa" w:w="1134"/>
          </w:tcPr>
          <w:p>
            <w:r>
              <w:rPr>
                <w:b w:val="0"/>
                <w:sz w:val="18"/>
              </w:rPr>
              <w:t>CRM</w:t>
            </w:r>
          </w:p>
        </w:tc>
        <w:tc>
          <w:tcPr>
            <w:tcW w:type="dxa" w:w="4082"/>
          </w:tcPr>
          <w:p>
            <w:r>
              <w:rPr>
                <w:b w:val="0"/>
                <w:sz w:val="18"/>
              </w:rPr>
              <w:t>Demo request flag</w:t>
            </w:r>
          </w:p>
        </w:tc>
      </w:tr>
      <w:tr>
        <w:tc>
          <w:tcPr>
            <w:tcW w:type="dxa" w:w="2835"/>
            <w:shd w:val="clear" w:color="auto" w:fill="DCE6F1"/>
          </w:tcPr>
          <w:p>
            <w:r>
              <w:rPr>
                <w:b w:val="0"/>
                <w:sz w:val="18"/>
              </w:rPr>
              <w:t>Calls_Made__c</w:t>
            </w:r>
          </w:p>
        </w:tc>
        <w:tc>
          <w:tcPr>
            <w:tcW w:type="dxa" w:w="1587"/>
            <w:shd w:val="clear" w:color="auto" w:fill="DCE6F1"/>
          </w:tcPr>
          <w:p>
            <w:r>
              <w:rPr>
                <w:b w:val="0"/>
                <w:sz w:val="18"/>
              </w:rPr>
              <w:t>numeric</w:t>
            </w:r>
          </w:p>
        </w:tc>
        <w:tc>
          <w:tcPr>
            <w:tcW w:type="dxa" w:w="1134"/>
            <w:shd w:val="clear" w:color="auto" w:fill="DCE6F1"/>
          </w:tcPr>
          <w:p>
            <w:r>
              <w:rPr>
                <w:b w:val="0"/>
                <w:sz w:val="18"/>
              </w:rPr>
              <w:t>CRM</w:t>
            </w:r>
          </w:p>
        </w:tc>
        <w:tc>
          <w:tcPr>
            <w:tcW w:type="dxa" w:w="4082"/>
            <w:shd w:val="clear" w:color="auto" w:fill="DCE6F1"/>
          </w:tcPr>
          <w:p>
            <w:r>
              <w:rPr>
                <w:b w:val="0"/>
                <w:sz w:val="18"/>
              </w:rPr>
              <w:t>Outbound call count</w:t>
            </w:r>
          </w:p>
        </w:tc>
      </w:tr>
      <w:tr>
        <w:tc>
          <w:tcPr>
            <w:tcW w:type="dxa" w:w="2835"/>
          </w:tcPr>
          <w:p>
            <w:r>
              <w:rPr>
                <w:b w:val="0"/>
                <w:sz w:val="18"/>
              </w:rPr>
              <w:t>Meetings_Held__c</w:t>
            </w:r>
          </w:p>
        </w:tc>
        <w:tc>
          <w:tcPr>
            <w:tcW w:type="dxa" w:w="1587"/>
          </w:tcPr>
          <w:p>
            <w:r>
              <w:rPr>
                <w:b w:val="0"/>
                <w:sz w:val="18"/>
              </w:rPr>
              <w:t>numeric</w:t>
            </w:r>
          </w:p>
        </w:tc>
        <w:tc>
          <w:tcPr>
            <w:tcW w:type="dxa" w:w="1134"/>
          </w:tcPr>
          <w:p>
            <w:r>
              <w:rPr>
                <w:b w:val="0"/>
                <w:sz w:val="18"/>
              </w:rPr>
              <w:t>CRM</w:t>
            </w:r>
          </w:p>
        </w:tc>
        <w:tc>
          <w:tcPr>
            <w:tcW w:type="dxa" w:w="4082"/>
          </w:tcPr>
          <w:p>
            <w:r>
              <w:rPr>
                <w:b w:val="0"/>
                <w:sz w:val="18"/>
              </w:rPr>
              <w:t>Meeting count</w:t>
            </w:r>
          </w:p>
        </w:tc>
      </w:tr>
      <w:tr>
        <w:tc>
          <w:tcPr>
            <w:tcW w:type="dxa" w:w="2835"/>
            <w:shd w:val="clear" w:color="auto" w:fill="DCE6F1"/>
          </w:tcPr>
          <w:p>
            <w:r>
              <w:rPr>
                <w:b w:val="0"/>
                <w:sz w:val="18"/>
              </w:rPr>
              <w:t>Proposal_Sent__c</w:t>
            </w:r>
          </w:p>
        </w:tc>
        <w:tc>
          <w:tcPr>
            <w:tcW w:type="dxa" w:w="1587"/>
            <w:shd w:val="clear" w:color="auto" w:fill="DCE6F1"/>
          </w:tcPr>
          <w:p>
            <w:r>
              <w:rPr>
                <w:b w:val="0"/>
                <w:sz w:val="18"/>
              </w:rPr>
              <w:t>int 0/1</w:t>
            </w:r>
          </w:p>
        </w:tc>
        <w:tc>
          <w:tcPr>
            <w:tcW w:type="dxa" w:w="1134"/>
            <w:shd w:val="clear" w:color="auto" w:fill="DCE6F1"/>
          </w:tcPr>
          <w:p>
            <w:r>
              <w:rPr>
                <w:b w:val="0"/>
                <w:sz w:val="18"/>
              </w:rPr>
              <w:t>CRM</w:t>
            </w:r>
          </w:p>
        </w:tc>
        <w:tc>
          <w:tcPr>
            <w:tcW w:type="dxa" w:w="4082"/>
            <w:shd w:val="clear" w:color="auto" w:fill="DCE6F1"/>
          </w:tcPr>
          <w:p>
            <w:r>
              <w:rPr>
                <w:b w:val="0"/>
                <w:sz w:val="18"/>
              </w:rPr>
              <w:t>Top clean SHAP driver for conversion</w:t>
            </w:r>
          </w:p>
        </w:tc>
      </w:tr>
      <w:tr>
        <w:tc>
          <w:tcPr>
            <w:tcW w:type="dxa" w:w="2835"/>
          </w:tcPr>
          <w:p>
            <w:r>
              <w:rPr>
                <w:b w:val="0"/>
                <w:sz w:val="18"/>
              </w:rPr>
              <w:t>Content_Downloads__c</w:t>
            </w:r>
          </w:p>
        </w:tc>
        <w:tc>
          <w:tcPr>
            <w:tcW w:type="dxa" w:w="1587"/>
          </w:tcPr>
          <w:p>
            <w:r>
              <w:rPr>
                <w:b w:val="0"/>
                <w:sz w:val="18"/>
              </w:rPr>
              <w:t>numeric</w:t>
            </w:r>
          </w:p>
        </w:tc>
        <w:tc>
          <w:tcPr>
            <w:tcW w:type="dxa" w:w="1134"/>
          </w:tcPr>
          <w:p>
            <w:r>
              <w:rPr>
                <w:b w:val="0"/>
                <w:sz w:val="18"/>
              </w:rPr>
              <w:t>CRM</w:t>
            </w:r>
          </w:p>
        </w:tc>
        <w:tc>
          <w:tcPr>
            <w:tcW w:type="dxa" w:w="4082"/>
          </w:tcPr>
          <w:p>
            <w:r>
              <w:rPr>
                <w:b w:val="0"/>
                <w:sz w:val="18"/>
              </w:rPr>
              <w:t>Asset download count</w:t>
            </w:r>
          </w:p>
        </w:tc>
      </w:tr>
      <w:tr>
        <w:tc>
          <w:tcPr>
            <w:tcW w:type="dxa" w:w="2835"/>
            <w:shd w:val="clear" w:color="auto" w:fill="DCE6F1"/>
          </w:tcPr>
          <w:p>
            <w:r>
              <w:rPr>
                <w:b w:val="0"/>
                <w:sz w:val="18"/>
              </w:rPr>
              <w:t>Chatbot_Interactions__c</w:t>
            </w:r>
          </w:p>
        </w:tc>
        <w:tc>
          <w:tcPr>
            <w:tcW w:type="dxa" w:w="1587"/>
            <w:shd w:val="clear" w:color="auto" w:fill="DCE6F1"/>
          </w:tcPr>
          <w:p>
            <w:r>
              <w:rPr>
                <w:b w:val="0"/>
                <w:sz w:val="18"/>
              </w:rPr>
              <w:t>numeric</w:t>
            </w:r>
          </w:p>
        </w:tc>
        <w:tc>
          <w:tcPr>
            <w:tcW w:type="dxa" w:w="1134"/>
            <w:shd w:val="clear" w:color="auto" w:fill="DCE6F1"/>
          </w:tcPr>
          <w:p>
            <w:r>
              <w:rPr>
                <w:b w:val="0"/>
                <w:sz w:val="18"/>
              </w:rPr>
              <w:t>CRM</w:t>
            </w:r>
          </w:p>
        </w:tc>
        <w:tc>
          <w:tcPr>
            <w:tcW w:type="dxa" w:w="4082"/>
            <w:shd w:val="clear" w:color="auto" w:fill="DCE6F1"/>
          </w:tcPr>
          <w:p>
            <w:r>
              <w:rPr>
                <w:b w:val="0"/>
                <w:sz w:val="18"/>
              </w:rPr>
              <w:t>Chatbot events</w:t>
            </w:r>
          </w:p>
        </w:tc>
      </w:tr>
      <w:tr>
        <w:tc>
          <w:tcPr>
            <w:tcW w:type="dxa" w:w="2835"/>
          </w:tcPr>
          <w:p>
            <w:r>
              <w:rPr>
                <w:b w:val="0"/>
                <w:sz w:val="18"/>
              </w:rPr>
              <w:t>LinkedIn_Viewed__c</w:t>
            </w:r>
          </w:p>
        </w:tc>
        <w:tc>
          <w:tcPr>
            <w:tcW w:type="dxa" w:w="1587"/>
          </w:tcPr>
          <w:p>
            <w:r>
              <w:rPr>
                <w:b w:val="0"/>
                <w:sz w:val="18"/>
              </w:rPr>
              <w:t>int 0/1</w:t>
            </w:r>
          </w:p>
        </w:tc>
        <w:tc>
          <w:tcPr>
            <w:tcW w:type="dxa" w:w="1134"/>
          </w:tcPr>
          <w:p>
            <w:r>
              <w:rPr>
                <w:b w:val="0"/>
                <w:sz w:val="18"/>
              </w:rPr>
              <w:t>CRM</w:t>
            </w:r>
          </w:p>
        </w:tc>
        <w:tc>
          <w:tcPr>
            <w:tcW w:type="dxa" w:w="4082"/>
          </w:tcPr>
          <w:p>
            <w:r>
              <w:rPr>
                <w:b w:val="0"/>
                <w:sz w:val="18"/>
              </w:rPr>
              <w:t>LinkedIn view flag</w:t>
            </w:r>
          </w:p>
        </w:tc>
      </w:tr>
      <w:tr>
        <w:tc>
          <w:tcPr>
            <w:tcW w:type="dxa" w:w="2835"/>
            <w:shd w:val="clear" w:color="auto" w:fill="DCE6F1"/>
          </w:tcPr>
          <w:p>
            <w:r>
              <w:rPr>
                <w:b w:val="0"/>
                <w:sz w:val="18"/>
              </w:rPr>
              <w:t>Days_Since_Last_Activity__c</w:t>
            </w:r>
          </w:p>
        </w:tc>
        <w:tc>
          <w:tcPr>
            <w:tcW w:type="dxa" w:w="1587"/>
            <w:shd w:val="clear" w:color="auto" w:fill="DCE6F1"/>
          </w:tcPr>
          <w:p>
            <w:r>
              <w:rPr>
                <w:b w:val="0"/>
                <w:sz w:val="18"/>
              </w:rPr>
              <w:t>numeric</w:t>
            </w:r>
          </w:p>
        </w:tc>
        <w:tc>
          <w:tcPr>
            <w:tcW w:type="dxa" w:w="1134"/>
            <w:shd w:val="clear" w:color="auto" w:fill="DCE6F1"/>
          </w:tcPr>
          <w:p>
            <w:r>
              <w:rPr>
                <w:b w:val="0"/>
                <w:sz w:val="18"/>
              </w:rPr>
              <w:t>CRM</w:t>
            </w:r>
          </w:p>
        </w:tc>
        <w:tc>
          <w:tcPr>
            <w:tcW w:type="dxa" w:w="4082"/>
            <w:shd w:val="clear" w:color="auto" w:fill="DCE6F1"/>
          </w:tcPr>
          <w:p>
            <w:r>
              <w:rPr>
                <w:b w:val="0"/>
                <w:sz w:val="18"/>
              </w:rPr>
              <w:t>[proxy] Status-correlated in synthetic data</w:t>
            </w:r>
          </w:p>
        </w:tc>
      </w:tr>
      <w:tr>
        <w:tc>
          <w:tcPr>
            <w:tcW w:type="dxa" w:w="2835"/>
          </w:tcPr>
          <w:p>
            <w:r>
              <w:rPr>
                <w:b w:val="0"/>
                <w:sz w:val="18"/>
              </w:rPr>
              <w:t>Days_in_Pipeline__c</w:t>
            </w:r>
          </w:p>
        </w:tc>
        <w:tc>
          <w:tcPr>
            <w:tcW w:type="dxa" w:w="1587"/>
          </w:tcPr>
          <w:p>
            <w:r>
              <w:rPr>
                <w:b w:val="0"/>
                <w:sz w:val="18"/>
              </w:rPr>
              <w:t>numeric</w:t>
            </w:r>
          </w:p>
        </w:tc>
        <w:tc>
          <w:tcPr>
            <w:tcW w:type="dxa" w:w="1134"/>
          </w:tcPr>
          <w:p>
            <w:r>
              <w:rPr>
                <w:b w:val="0"/>
                <w:sz w:val="18"/>
              </w:rPr>
              <w:t>CRM</w:t>
            </w:r>
          </w:p>
        </w:tc>
        <w:tc>
          <w:tcPr>
            <w:tcW w:type="dxa" w:w="4082"/>
          </w:tcPr>
          <w:p>
            <w:r>
              <w:rPr>
                <w:b w:val="0"/>
                <w:sz w:val="18"/>
              </w:rPr>
              <w:t>[proxy] Status-correlated in synthetic data</w:t>
            </w:r>
          </w:p>
        </w:tc>
      </w:tr>
      <w:tr>
        <w:tc>
          <w:tcPr>
            <w:tcW w:type="dxa" w:w="2835"/>
            <w:shd w:val="clear" w:color="auto" w:fill="DCE6F1"/>
          </w:tcPr>
          <w:p>
            <w:r>
              <w:rPr>
                <w:b w:val="0"/>
                <w:sz w:val="18"/>
              </w:rPr>
              <w:t>engagement_composite</w:t>
            </w:r>
          </w:p>
        </w:tc>
        <w:tc>
          <w:tcPr>
            <w:tcW w:type="dxa" w:w="1587"/>
            <w:shd w:val="clear" w:color="auto" w:fill="DCE6F1"/>
          </w:tcPr>
          <w:p>
            <w:r>
              <w:rPr>
                <w:b w:val="0"/>
                <w:sz w:val="18"/>
              </w:rPr>
              <w:t>numeric</w:t>
            </w:r>
          </w:p>
        </w:tc>
        <w:tc>
          <w:tcPr>
            <w:tcW w:type="dxa" w:w="1134"/>
            <w:shd w:val="clear" w:color="auto" w:fill="DCE6F1"/>
          </w:tcPr>
          <w:p>
            <w:r>
              <w:rPr>
                <w:b w:val="0"/>
                <w:sz w:val="18"/>
              </w:rPr>
              <w:t>Engineered</w:t>
            </w:r>
          </w:p>
        </w:tc>
        <w:tc>
          <w:tcPr>
            <w:tcW w:type="dxa" w:w="4082"/>
            <w:shd w:val="clear" w:color="auto" w:fill="DCE6F1"/>
          </w:tcPr>
          <w:p>
            <w:r>
              <w:rPr>
                <w:b w:val="0"/>
                <w:sz w:val="18"/>
              </w:rPr>
              <w:t>Weighted sum of all interaction signals</w:t>
            </w:r>
          </w:p>
        </w:tc>
      </w:tr>
      <w:tr>
        <w:tc>
          <w:tcPr>
            <w:tcW w:type="dxa" w:w="2835"/>
          </w:tcPr>
          <w:p>
            <w:r>
              <w:rPr>
                <w:b w:val="0"/>
                <w:sz w:val="18"/>
              </w:rPr>
              <w:t>recency_tier</w:t>
            </w:r>
          </w:p>
        </w:tc>
        <w:tc>
          <w:tcPr>
            <w:tcW w:type="dxa" w:w="1587"/>
          </w:tcPr>
          <w:p>
            <w:r>
              <w:rPr>
                <w:b w:val="0"/>
                <w:sz w:val="18"/>
              </w:rPr>
              <w:t>ordinal 0-4</w:t>
            </w:r>
          </w:p>
        </w:tc>
        <w:tc>
          <w:tcPr>
            <w:tcW w:type="dxa" w:w="1134"/>
          </w:tcPr>
          <w:p>
            <w:r>
              <w:rPr>
                <w:b w:val="0"/>
                <w:sz w:val="18"/>
              </w:rPr>
              <w:t>Engineered</w:t>
            </w:r>
          </w:p>
        </w:tc>
        <w:tc>
          <w:tcPr>
            <w:tcW w:type="dxa" w:w="4082"/>
          </w:tcPr>
          <w:p>
            <w:r>
              <w:rPr>
                <w:b w:val="0"/>
                <w:sz w:val="18"/>
              </w:rPr>
              <w:t>[proxy] Binned Days_Since_Last_Activity</w:t>
            </w:r>
          </w:p>
        </w:tc>
      </w:tr>
      <w:tr>
        <w:tc>
          <w:tcPr>
            <w:tcW w:type="dxa" w:w="2835"/>
            <w:shd w:val="clear" w:color="auto" w:fill="DCE6F1"/>
          </w:tcPr>
          <w:p>
            <w:r>
              <w:rPr>
                <w:b w:val="0"/>
                <w:sz w:val="18"/>
              </w:rPr>
              <w:t>pipeline_maturity</w:t>
            </w:r>
          </w:p>
        </w:tc>
        <w:tc>
          <w:tcPr>
            <w:tcW w:type="dxa" w:w="1587"/>
            <w:shd w:val="clear" w:color="auto" w:fill="DCE6F1"/>
          </w:tcPr>
          <w:p>
            <w:r>
              <w:rPr>
                <w:b w:val="0"/>
                <w:sz w:val="18"/>
              </w:rPr>
              <w:t>numeric</w:t>
            </w:r>
          </w:p>
        </w:tc>
        <w:tc>
          <w:tcPr>
            <w:tcW w:type="dxa" w:w="1134"/>
            <w:shd w:val="clear" w:color="auto" w:fill="DCE6F1"/>
          </w:tcPr>
          <w:p>
            <w:r>
              <w:rPr>
                <w:b w:val="0"/>
                <w:sz w:val="18"/>
              </w:rPr>
              <w:t>Engineered</w:t>
            </w:r>
          </w:p>
        </w:tc>
        <w:tc>
          <w:tcPr>
            <w:tcW w:type="dxa" w:w="4082"/>
            <w:shd w:val="clear" w:color="auto" w:fill="DCE6F1"/>
          </w:tcPr>
          <w:p>
            <w:r>
              <w:rPr>
                <w:b w:val="0"/>
                <w:sz w:val="18"/>
              </w:rPr>
              <w:t>[proxy] log1p(Days_in_Pipeline)</w:t>
            </w:r>
          </w:p>
        </w:tc>
      </w:tr>
      <w:tr>
        <w:tc>
          <w:tcPr>
            <w:tcW w:type="dxa" w:w="2835"/>
          </w:tcPr>
          <w:p>
            <w:r>
              <w:rPr>
                <w:b w:val="0"/>
                <w:sz w:val="18"/>
              </w:rPr>
              <w:t>activity_density</w:t>
            </w:r>
          </w:p>
        </w:tc>
        <w:tc>
          <w:tcPr>
            <w:tcW w:type="dxa" w:w="1587"/>
          </w:tcPr>
          <w:p>
            <w:r>
              <w:rPr>
                <w:b w:val="0"/>
                <w:sz w:val="18"/>
              </w:rPr>
              <w:t>numeric</w:t>
            </w:r>
          </w:p>
        </w:tc>
        <w:tc>
          <w:tcPr>
            <w:tcW w:type="dxa" w:w="1134"/>
          </w:tcPr>
          <w:p>
            <w:r>
              <w:rPr>
                <w:b w:val="0"/>
                <w:sz w:val="18"/>
              </w:rPr>
              <w:t>Engineered</w:t>
            </w:r>
          </w:p>
        </w:tc>
        <w:tc>
          <w:tcPr>
            <w:tcW w:type="dxa" w:w="4082"/>
          </w:tcPr>
          <w:p>
            <w:r>
              <w:rPr>
                <w:b w:val="0"/>
                <w:sz w:val="18"/>
              </w:rPr>
              <w:t>[proxy] engagement_composite / (pipeline_days + 1)</w:t>
            </w:r>
          </w:p>
        </w:tc>
      </w:tr>
      <w:tr>
        <w:tc>
          <w:tcPr>
            <w:tcW w:type="dxa" w:w="2835"/>
            <w:shd w:val="clear" w:color="auto" w:fill="DCE6F1"/>
          </w:tcPr>
          <w:p>
            <w:r>
              <w:rPr>
                <w:b w:val="0"/>
                <w:sz w:val="18"/>
              </w:rPr>
              <w:t>rating_encoded</w:t>
            </w:r>
          </w:p>
        </w:tc>
        <w:tc>
          <w:tcPr>
            <w:tcW w:type="dxa" w:w="1587"/>
            <w:shd w:val="clear" w:color="auto" w:fill="DCE6F1"/>
          </w:tcPr>
          <w:p>
            <w:r>
              <w:rPr>
                <w:b w:val="0"/>
                <w:sz w:val="18"/>
              </w:rPr>
              <w:t>ordinal 0-2</w:t>
            </w:r>
          </w:p>
        </w:tc>
        <w:tc>
          <w:tcPr>
            <w:tcW w:type="dxa" w:w="1134"/>
            <w:shd w:val="clear" w:color="auto" w:fill="DCE6F1"/>
          </w:tcPr>
          <w:p>
            <w:r>
              <w:rPr>
                <w:b w:val="0"/>
                <w:sz w:val="18"/>
              </w:rPr>
              <w:t>Engineered</w:t>
            </w:r>
          </w:p>
        </w:tc>
        <w:tc>
          <w:tcPr>
            <w:tcW w:type="dxa" w:w="4082"/>
            <w:shd w:val="clear" w:color="auto" w:fill="DCE6F1"/>
          </w:tcPr>
          <w:p>
            <w:r>
              <w:rPr>
                <w:b w:val="0"/>
                <w:sz w:val="18"/>
              </w:rPr>
              <w:t>Cold=0, Warm=1, Hot=2</w:t>
            </w:r>
          </w:p>
        </w:tc>
      </w:tr>
      <w:tr>
        <w:tc>
          <w:tcPr>
            <w:tcW w:type="dxa" w:w="2835"/>
          </w:tcPr>
          <w:p>
            <w:r>
              <w:rPr>
                <w:b w:val="0"/>
                <w:sz w:val="18"/>
              </w:rPr>
              <w:t>rating_x_meetings</w:t>
            </w:r>
          </w:p>
        </w:tc>
        <w:tc>
          <w:tcPr>
            <w:tcW w:type="dxa" w:w="1587"/>
          </w:tcPr>
          <w:p>
            <w:r>
              <w:rPr>
                <w:b w:val="0"/>
                <w:sz w:val="18"/>
              </w:rPr>
              <w:t>numeric</w:t>
            </w:r>
          </w:p>
        </w:tc>
        <w:tc>
          <w:tcPr>
            <w:tcW w:type="dxa" w:w="1134"/>
          </w:tcPr>
          <w:p>
            <w:r>
              <w:rPr>
                <w:b w:val="0"/>
                <w:sz w:val="18"/>
              </w:rPr>
              <w:t>Engineered</w:t>
            </w:r>
          </w:p>
        </w:tc>
        <w:tc>
          <w:tcPr>
            <w:tcW w:type="dxa" w:w="4082"/>
          </w:tcPr>
          <w:p>
            <w:r>
              <w:rPr>
                <w:b w:val="0"/>
                <w:sz w:val="18"/>
              </w:rPr>
              <w:t>rating_encoded x meetings_capped</w:t>
            </w:r>
          </w:p>
        </w:tc>
      </w:tr>
      <w:tr>
        <w:tc>
          <w:tcPr>
            <w:tcW w:type="dxa" w:w="2835"/>
            <w:shd w:val="clear" w:color="auto" w:fill="DCE6F1"/>
          </w:tcPr>
          <w:p>
            <w:r>
              <w:rPr>
                <w:b w:val="0"/>
                <w:sz w:val="18"/>
              </w:rPr>
              <w:t>log1p_ttfr</w:t>
            </w:r>
          </w:p>
        </w:tc>
        <w:tc>
          <w:tcPr>
            <w:tcW w:type="dxa" w:w="1587"/>
            <w:shd w:val="clear" w:color="auto" w:fill="DCE6F1"/>
          </w:tcPr>
          <w:p>
            <w:r>
              <w:rPr>
                <w:b w:val="0"/>
                <w:sz w:val="18"/>
              </w:rPr>
              <w:t>numeric</w:t>
            </w:r>
          </w:p>
        </w:tc>
        <w:tc>
          <w:tcPr>
            <w:tcW w:type="dxa" w:w="1134"/>
            <w:shd w:val="clear" w:color="auto" w:fill="DCE6F1"/>
          </w:tcPr>
          <w:p>
            <w:r>
              <w:rPr>
                <w:b w:val="0"/>
                <w:sz w:val="18"/>
              </w:rPr>
              <w:t>Engineered</w:t>
            </w:r>
          </w:p>
        </w:tc>
        <w:tc>
          <w:tcPr>
            <w:tcW w:type="dxa" w:w="4082"/>
            <w:shd w:val="clear" w:color="auto" w:fill="DCE6F1"/>
          </w:tcPr>
          <w:p>
            <w:r>
              <w:rPr>
                <w:b w:val="0"/>
                <w:sz w:val="18"/>
              </w:rPr>
              <w:t>log1p(Time_to_First_Response_h)</w:t>
            </w:r>
          </w:p>
        </w:tc>
      </w:tr>
      <w:tr>
        <w:tc>
          <w:tcPr>
            <w:tcW w:type="dxa" w:w="2835"/>
          </w:tcPr>
          <w:p>
            <w:r>
              <w:rPr>
                <w:b w:val="0"/>
                <w:sz w:val="18"/>
              </w:rPr>
              <w:t>log1p_days_since</w:t>
            </w:r>
          </w:p>
        </w:tc>
        <w:tc>
          <w:tcPr>
            <w:tcW w:type="dxa" w:w="1587"/>
          </w:tcPr>
          <w:p>
            <w:r>
              <w:rPr>
                <w:b w:val="0"/>
                <w:sz w:val="18"/>
              </w:rPr>
              <w:t>numeric</w:t>
            </w:r>
          </w:p>
        </w:tc>
        <w:tc>
          <w:tcPr>
            <w:tcW w:type="dxa" w:w="1134"/>
          </w:tcPr>
          <w:p>
            <w:r>
              <w:rPr>
                <w:b w:val="0"/>
                <w:sz w:val="18"/>
              </w:rPr>
              <w:t>Engineered</w:t>
            </w:r>
          </w:p>
        </w:tc>
        <w:tc>
          <w:tcPr>
            <w:tcW w:type="dxa" w:w="4082"/>
          </w:tcPr>
          <w:p>
            <w:r>
              <w:rPr>
                <w:b w:val="0"/>
                <w:sz w:val="18"/>
              </w:rPr>
              <w:t>[proxy] log1p(Days_Since_Last_Activity)</w:t>
            </w:r>
          </w:p>
        </w:tc>
      </w:tr>
      <w:tr>
        <w:tc>
          <w:tcPr>
            <w:tcW w:type="dxa" w:w="2835"/>
            <w:shd w:val="clear" w:color="auto" w:fill="DCE6F1"/>
          </w:tcPr>
          <w:p>
            <w:r>
              <w:rPr>
                <w:b w:val="0"/>
                <w:sz w:val="18"/>
              </w:rPr>
              <w:t>log1p_web</w:t>
            </w:r>
          </w:p>
        </w:tc>
        <w:tc>
          <w:tcPr>
            <w:tcW w:type="dxa" w:w="1587"/>
            <w:shd w:val="clear" w:color="auto" w:fill="DCE6F1"/>
          </w:tcPr>
          <w:p>
            <w:r>
              <w:rPr>
                <w:b w:val="0"/>
                <w:sz w:val="18"/>
              </w:rPr>
              <w:t>numeric</w:t>
            </w:r>
          </w:p>
        </w:tc>
        <w:tc>
          <w:tcPr>
            <w:tcW w:type="dxa" w:w="1134"/>
            <w:shd w:val="clear" w:color="auto" w:fill="DCE6F1"/>
          </w:tcPr>
          <w:p>
            <w:r>
              <w:rPr>
                <w:b w:val="0"/>
                <w:sz w:val="18"/>
              </w:rPr>
              <w:t>Engineered</w:t>
            </w:r>
          </w:p>
        </w:tc>
        <w:tc>
          <w:tcPr>
            <w:tcW w:type="dxa" w:w="4082"/>
            <w:shd w:val="clear" w:color="auto" w:fill="DCE6F1"/>
          </w:tcPr>
          <w:p>
            <w:r>
              <w:rPr>
                <w:b w:val="0"/>
                <w:sz w:val="18"/>
              </w:rPr>
              <w:t>log1p(Web_Interactions)</w:t>
            </w:r>
          </w:p>
        </w:tc>
      </w:tr>
      <w:tr>
        <w:tc>
          <w:tcPr>
            <w:tcW w:type="dxa" w:w="2835"/>
          </w:tcPr>
          <w:p>
            <w:r>
              <w:rPr>
                <w:b w:val="0"/>
                <w:sz w:val="18"/>
              </w:rPr>
              <w:t>log1p_revenue</w:t>
            </w:r>
          </w:p>
        </w:tc>
        <w:tc>
          <w:tcPr>
            <w:tcW w:type="dxa" w:w="1587"/>
          </w:tcPr>
          <w:p>
            <w:r>
              <w:rPr>
                <w:b w:val="0"/>
                <w:sz w:val="18"/>
              </w:rPr>
              <w:t>numeric</w:t>
            </w:r>
          </w:p>
        </w:tc>
        <w:tc>
          <w:tcPr>
            <w:tcW w:type="dxa" w:w="1134"/>
          </w:tcPr>
          <w:p>
            <w:r>
              <w:rPr>
                <w:b w:val="0"/>
                <w:sz w:val="18"/>
              </w:rPr>
              <w:t>Engineered</w:t>
            </w:r>
          </w:p>
        </w:tc>
        <w:tc>
          <w:tcPr>
            <w:tcW w:type="dxa" w:w="4082"/>
          </w:tcPr>
          <w:p>
            <w:r>
              <w:rPr>
                <w:b w:val="0"/>
                <w:sz w:val="18"/>
              </w:rPr>
              <w:t>log1p(Annual_Revenue_MCZK)</w:t>
            </w:r>
          </w:p>
        </w:tc>
      </w:tr>
      <w:tr>
        <w:tc>
          <w:tcPr>
            <w:tcW w:type="dxa" w:w="2835"/>
            <w:shd w:val="clear" w:color="auto" w:fill="DCE6F1"/>
          </w:tcPr>
          <w:p>
            <w:r>
              <w:rPr>
                <w:b w:val="0"/>
                <w:sz w:val="18"/>
              </w:rPr>
              <w:t>fast_response_flag</w:t>
            </w:r>
          </w:p>
        </w:tc>
        <w:tc>
          <w:tcPr>
            <w:tcW w:type="dxa" w:w="1587"/>
            <w:shd w:val="clear" w:color="auto" w:fill="DCE6F1"/>
          </w:tcPr>
          <w:p>
            <w:r>
              <w:rPr>
                <w:b w:val="0"/>
                <w:sz w:val="18"/>
              </w:rPr>
              <w:t>int 0/1</w:t>
            </w:r>
          </w:p>
        </w:tc>
        <w:tc>
          <w:tcPr>
            <w:tcW w:type="dxa" w:w="1134"/>
            <w:shd w:val="clear" w:color="auto" w:fill="DCE6F1"/>
          </w:tcPr>
          <w:p>
            <w:r>
              <w:rPr>
                <w:b w:val="0"/>
                <w:sz w:val="18"/>
              </w:rPr>
              <w:t>Engineered</w:t>
            </w:r>
          </w:p>
        </w:tc>
        <w:tc>
          <w:tcPr>
            <w:tcW w:type="dxa" w:w="4082"/>
            <w:shd w:val="clear" w:color="auto" w:fill="DCE6F1"/>
          </w:tcPr>
          <w:p>
            <w:r>
              <w:rPr>
                <w:b w:val="0"/>
                <w:sz w:val="18"/>
              </w:rPr>
              <w:t>1 if first response &lt; 4 hours</w:t>
            </w:r>
          </w:p>
        </w:tc>
      </w:tr>
      <w:tr>
        <w:tc>
          <w:tcPr>
            <w:tcW w:type="dxa" w:w="2835"/>
          </w:tcPr>
          <w:p>
            <w:r>
              <w:rPr>
                <w:b w:val="0"/>
                <w:sz w:val="18"/>
              </w:rPr>
              <w:t>email_quality</w:t>
            </w:r>
          </w:p>
        </w:tc>
        <w:tc>
          <w:tcPr>
            <w:tcW w:type="dxa" w:w="1587"/>
          </w:tcPr>
          <w:p>
            <w:r>
              <w:rPr>
                <w:b w:val="0"/>
                <w:sz w:val="18"/>
              </w:rPr>
              <w:t>numeric</w:t>
            </w:r>
          </w:p>
        </w:tc>
        <w:tc>
          <w:tcPr>
            <w:tcW w:type="dxa" w:w="1134"/>
          </w:tcPr>
          <w:p>
            <w:r>
              <w:rPr>
                <w:b w:val="0"/>
                <w:sz w:val="18"/>
              </w:rPr>
              <w:t>Engineered</w:t>
            </w:r>
          </w:p>
        </w:tc>
        <w:tc>
          <w:tcPr>
            <w:tcW w:type="dxa" w:w="4082"/>
          </w:tcPr>
          <w:p>
            <w:r>
              <w:rPr>
                <w:b w:val="0"/>
                <w:sz w:val="18"/>
              </w:rPr>
              <w:t>Email_Open_Rate x Email_Clicks</w:t>
            </w:r>
          </w:p>
        </w:tc>
      </w:tr>
      <w:tr>
        <w:tc>
          <w:tcPr>
            <w:tcW w:type="dxa" w:w="2835"/>
            <w:shd w:val="clear" w:color="auto" w:fill="DCE6F1"/>
          </w:tcPr>
          <w:p>
            <w:r>
              <w:rPr>
                <w:b w:val="0"/>
                <w:sz w:val="18"/>
              </w:rPr>
              <w:t>meetings_capped</w:t>
            </w:r>
          </w:p>
        </w:tc>
        <w:tc>
          <w:tcPr>
            <w:tcW w:type="dxa" w:w="1587"/>
            <w:shd w:val="clear" w:color="auto" w:fill="DCE6F1"/>
          </w:tcPr>
          <w:p>
            <w:r>
              <w:rPr>
                <w:b w:val="0"/>
                <w:sz w:val="18"/>
              </w:rPr>
              <w:t>numeric</w:t>
            </w:r>
          </w:p>
        </w:tc>
        <w:tc>
          <w:tcPr>
            <w:tcW w:type="dxa" w:w="1134"/>
            <w:shd w:val="clear" w:color="auto" w:fill="DCE6F1"/>
          </w:tcPr>
          <w:p>
            <w:r>
              <w:rPr>
                <w:b w:val="0"/>
                <w:sz w:val="18"/>
              </w:rPr>
              <w:t>Engineered</w:t>
            </w:r>
          </w:p>
        </w:tc>
        <w:tc>
          <w:tcPr>
            <w:tcW w:type="dxa" w:w="4082"/>
            <w:shd w:val="clear" w:color="auto" w:fill="DCE6F1"/>
          </w:tcPr>
          <w:p>
            <w:r>
              <w:rPr>
                <w:b w:val="0"/>
                <w:sz w:val="18"/>
              </w:rPr>
              <w:t>Meetings_Held clipped at 4</w:t>
            </w:r>
          </w:p>
        </w:tc>
      </w:tr>
      <w:tr>
        <w:tc>
          <w:tcPr>
            <w:tcW w:type="dxa" w:w="2835"/>
          </w:tcPr>
          <w:p>
            <w:r>
              <w:rPr>
                <w:b w:val="0"/>
                <w:sz w:val="18"/>
              </w:rPr>
              <w:t>meet_x_proposal</w:t>
            </w:r>
          </w:p>
        </w:tc>
        <w:tc>
          <w:tcPr>
            <w:tcW w:type="dxa" w:w="1587"/>
          </w:tcPr>
          <w:p>
            <w:r>
              <w:rPr>
                <w:b w:val="0"/>
                <w:sz w:val="18"/>
              </w:rPr>
              <w:t>numeric</w:t>
            </w:r>
          </w:p>
        </w:tc>
        <w:tc>
          <w:tcPr>
            <w:tcW w:type="dxa" w:w="1134"/>
          </w:tcPr>
          <w:p>
            <w:r>
              <w:rPr>
                <w:b w:val="0"/>
                <w:sz w:val="18"/>
              </w:rPr>
              <w:t>Engineered</w:t>
            </w:r>
          </w:p>
        </w:tc>
        <w:tc>
          <w:tcPr>
            <w:tcW w:type="dxa" w:w="4082"/>
          </w:tcPr>
          <w:p>
            <w:r>
              <w:rPr>
                <w:b w:val="0"/>
                <w:sz w:val="18"/>
              </w:rPr>
              <w:t>Meetings_Held x Proposal_Sent</w:t>
            </w:r>
          </w:p>
        </w:tc>
      </w:tr>
      <w:tr>
        <w:tc>
          <w:tcPr>
            <w:tcW w:type="dxa" w:w="2835"/>
            <w:shd w:val="clear" w:color="auto" w:fill="DCE6F1"/>
          </w:tcPr>
          <w:p>
            <w:r>
              <w:rPr>
                <w:b w:val="0"/>
                <w:sz w:val="18"/>
              </w:rPr>
              <w:t>total_calls_and_meets</w:t>
            </w:r>
          </w:p>
        </w:tc>
        <w:tc>
          <w:tcPr>
            <w:tcW w:type="dxa" w:w="1587"/>
            <w:shd w:val="clear" w:color="auto" w:fill="DCE6F1"/>
          </w:tcPr>
          <w:p>
            <w:r>
              <w:rPr>
                <w:b w:val="0"/>
                <w:sz w:val="18"/>
              </w:rPr>
              <w:t>numeric</w:t>
            </w:r>
          </w:p>
        </w:tc>
        <w:tc>
          <w:tcPr>
            <w:tcW w:type="dxa" w:w="1134"/>
            <w:shd w:val="clear" w:color="auto" w:fill="DCE6F1"/>
          </w:tcPr>
          <w:p>
            <w:r>
              <w:rPr>
                <w:b w:val="0"/>
                <w:sz w:val="18"/>
              </w:rPr>
              <w:t>Engineered</w:t>
            </w:r>
          </w:p>
        </w:tc>
        <w:tc>
          <w:tcPr>
            <w:tcW w:type="dxa" w:w="4082"/>
            <w:shd w:val="clear" w:color="auto" w:fill="DCE6F1"/>
          </w:tcPr>
          <w:p>
            <w:r>
              <w:rPr>
                <w:b w:val="0"/>
                <w:sz w:val="18"/>
              </w:rPr>
              <w:t>Calls_Made + 2 x Meetings_Held</w:t>
            </w:r>
          </w:p>
        </w:tc>
      </w:tr>
      <w:tr>
        <w:tc>
          <w:tcPr>
            <w:tcW w:type="dxa" w:w="2835"/>
          </w:tcPr>
          <w:p>
            <w:r>
              <w:rPr>
                <w:b w:val="0"/>
                <w:sz w:val="18"/>
              </w:rPr>
              <w:t>created_month</w:t>
            </w:r>
          </w:p>
        </w:tc>
        <w:tc>
          <w:tcPr>
            <w:tcW w:type="dxa" w:w="1587"/>
          </w:tcPr>
          <w:p>
            <w:r>
              <w:rPr>
                <w:b w:val="0"/>
                <w:sz w:val="18"/>
              </w:rPr>
              <w:t>numeric</w:t>
            </w:r>
          </w:p>
        </w:tc>
        <w:tc>
          <w:tcPr>
            <w:tcW w:type="dxa" w:w="1134"/>
          </w:tcPr>
          <w:p>
            <w:r>
              <w:rPr>
                <w:b w:val="0"/>
                <w:sz w:val="18"/>
              </w:rPr>
              <w:t>Engineered</w:t>
            </w:r>
          </w:p>
        </w:tc>
        <w:tc>
          <w:tcPr>
            <w:tcW w:type="dxa" w:w="4082"/>
          </w:tcPr>
          <w:p>
            <w:r>
              <w:rPr>
                <w:b w:val="0"/>
                <w:sz w:val="18"/>
              </w:rPr>
              <w:t>Calendar month (0 if unknown)</w:t>
            </w:r>
          </w:p>
        </w:tc>
      </w:tr>
      <w:tr>
        <w:tc>
          <w:tcPr>
            <w:tcW w:type="dxa" w:w="2835"/>
            <w:shd w:val="clear" w:color="auto" w:fill="DCE6F1"/>
          </w:tcPr>
          <w:p>
            <w:r>
              <w:rPr>
                <w:b w:val="0"/>
                <w:sz w:val="18"/>
              </w:rPr>
              <w:t>created_quarter</w:t>
            </w:r>
          </w:p>
        </w:tc>
        <w:tc>
          <w:tcPr>
            <w:tcW w:type="dxa" w:w="1587"/>
            <w:shd w:val="clear" w:color="auto" w:fill="DCE6F1"/>
          </w:tcPr>
          <w:p>
            <w:r>
              <w:rPr>
                <w:b w:val="0"/>
                <w:sz w:val="18"/>
              </w:rPr>
              <w:t>numeric</w:t>
            </w:r>
          </w:p>
        </w:tc>
        <w:tc>
          <w:tcPr>
            <w:tcW w:type="dxa" w:w="1134"/>
            <w:shd w:val="clear" w:color="auto" w:fill="DCE6F1"/>
          </w:tcPr>
          <w:p>
            <w:r>
              <w:rPr>
                <w:b w:val="0"/>
                <w:sz w:val="18"/>
              </w:rPr>
              <w:t>Engineered</w:t>
            </w:r>
          </w:p>
        </w:tc>
        <w:tc>
          <w:tcPr>
            <w:tcW w:type="dxa" w:w="4082"/>
            <w:shd w:val="clear" w:color="auto" w:fill="DCE6F1"/>
          </w:tcPr>
          <w:p>
            <w:r>
              <w:rPr>
                <w:b w:val="0"/>
                <w:sz w:val="18"/>
              </w:rPr>
              <w:t>Calendar quarter (0 if unknown)</w:t>
            </w:r>
          </w:p>
        </w:tc>
      </w:tr>
      <w:tr>
        <w:tc>
          <w:tcPr>
            <w:tcW w:type="dxa" w:w="2835"/>
          </w:tcPr>
          <w:p>
            <w:r>
              <w:rPr>
                <w:b w:val="0"/>
                <w:sz w:val="18"/>
              </w:rPr>
              <w:t>created_year</w:t>
            </w:r>
          </w:p>
        </w:tc>
        <w:tc>
          <w:tcPr>
            <w:tcW w:type="dxa" w:w="1587"/>
          </w:tcPr>
          <w:p>
            <w:r>
              <w:rPr>
                <w:b w:val="0"/>
                <w:sz w:val="18"/>
              </w:rPr>
              <w:t>numeric</w:t>
            </w:r>
          </w:p>
        </w:tc>
        <w:tc>
          <w:tcPr>
            <w:tcW w:type="dxa" w:w="1134"/>
          </w:tcPr>
          <w:p>
            <w:r>
              <w:rPr>
                <w:b w:val="0"/>
                <w:sz w:val="18"/>
              </w:rPr>
              <w:t>Engineered</w:t>
            </w:r>
          </w:p>
        </w:tc>
        <w:tc>
          <w:tcPr>
            <w:tcW w:type="dxa" w:w="4082"/>
          </w:tcPr>
          <w:p>
            <w:r>
              <w:rPr>
                <w:b w:val="0"/>
                <w:sz w:val="18"/>
              </w:rPr>
              <w:t>Year of lead creation (0 if unknown)</w:t>
            </w:r>
          </w:p>
        </w:tc>
      </w:tr>
      <w:tr>
        <w:tc>
          <w:tcPr>
            <w:tcW w:type="dxa" w:w="2835"/>
            <w:shd w:val="clear" w:color="auto" w:fill="DCE6F1"/>
          </w:tcPr>
          <w:p>
            <w:r>
              <w:rPr>
                <w:b w:val="0"/>
                <w:sz w:val="18"/>
              </w:rPr>
              <w:t>created_day_of_week</w:t>
            </w:r>
          </w:p>
        </w:tc>
        <w:tc>
          <w:tcPr>
            <w:tcW w:type="dxa" w:w="1587"/>
            <w:shd w:val="clear" w:color="auto" w:fill="DCE6F1"/>
          </w:tcPr>
          <w:p>
            <w:r>
              <w:rPr>
                <w:b w:val="0"/>
                <w:sz w:val="18"/>
              </w:rPr>
              <w:t>numeric</w:t>
            </w:r>
          </w:p>
        </w:tc>
        <w:tc>
          <w:tcPr>
            <w:tcW w:type="dxa" w:w="1134"/>
            <w:shd w:val="clear" w:color="auto" w:fill="DCE6F1"/>
          </w:tcPr>
          <w:p>
            <w:r>
              <w:rPr>
                <w:b w:val="0"/>
                <w:sz w:val="18"/>
              </w:rPr>
              <w:t>Engineered</w:t>
            </w:r>
          </w:p>
        </w:tc>
        <w:tc>
          <w:tcPr>
            <w:tcW w:type="dxa" w:w="4082"/>
            <w:shd w:val="clear" w:color="auto" w:fill="DCE6F1"/>
          </w:tcPr>
          <w:p>
            <w:r>
              <w:rPr>
                <w:b w:val="0"/>
                <w:sz w:val="18"/>
              </w:rPr>
              <w:t>Day of week Mon=0 Sun=6 (0 if unknown)</w:t>
            </w:r>
          </w:p>
        </w:tc>
      </w:tr>
    </w:tbl>
    <w:p>
      <w:pPr>
        <w:jc w:val="center"/>
      </w:pPr>
      <w:r>
        <w:rPr>
          <w:i/>
          <w:color w:val="595959"/>
          <w:sz w:val="16"/>
        </w:rPr>
        <w:t>Table B.1. Full feature dictionary. [proxy] features must be excluded for real-data deployment.</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Enehano Lead Intelligence Platform  |  Technical Design Document  |  Page </w:t>
    </w:r>
    <w:r>
      <w:rPr>
        <w:color w:val="595959"/>
        <w:sz w:val="16"/>
      </w:rPr>
      <w:fldChar w:fldCharType="begin"/>
      <w:instrText>PAGE</w:instrTex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