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10B981"/>
          <w:sz w:val="64"/>
        </w:rPr>
        <w:t>ATMOS INSIGHT</w:t>
      </w:r>
    </w:p>
    <w:p>
      <w:pPr>
        <w:spacing w:after="600"/>
        <w:jc w:val="center"/>
      </w:pPr>
      <w:r>
        <w:rPr>
          <w:rFonts w:ascii="Arial" w:hAnsi="Arial"/>
          <w:color w:val="0F172A"/>
          <w:sz w:val="28"/>
        </w:rPr>
        <w:t>A High-Precision Machine Learning &amp; Explainable AI (XAI) System for Real-Time Air Quality Monitoring, 24-Hour Recursive Forecasting, and 7-Day Trend Prediction</w:t>
      </w:r>
    </w:p>
    <w:p>
      <w:pPr>
        <w:spacing w:before="2000" w:line="312" w:lineRule="auto"/>
        <w:jc w:val="center"/>
      </w:pPr>
      <w:r>
        <w:rPr>
          <w:rFonts w:ascii="Arial" w:hAnsi="Arial"/>
          <w:color w:val="334155"/>
          <w:sz w:val="22"/>
        </w:rPr>
        <w:t>A Major Project Report Submitted in Partial Fulfillment of the Requirements</w:t>
        <w:br/>
        <w:t>for the Award of the Degree of</w:t>
        <w:br/>
        <w:br/>
        <w:t>BACHELOR OF TECHNOLOGY</w:t>
        <w:br/>
        <w:t>in</w:t>
        <w:br/>
        <w:t>COMPUTER SCIENCE AND ENGINEERING</w:t>
        <w:br/>
        <w:br/>
        <w:t>By</w:t>
        <w:br/>
        <w:t>DEPARTMENT OF COMPUTER SCIENCE &amp; ENGINEERING</w:t>
        <w:br/>
        <w:t>2026</w:t>
      </w:r>
    </w:p>
    <w:p>
      <w:r>
        <w:br w:type="page"/>
      </w:r>
    </w:p>
    <w:p>
      <w:pPr>
        <w:keepNext/>
        <w:spacing w:before="360" w:after="160"/>
      </w:pPr>
      <w:r>
        <w:rPr>
          <w:rFonts w:ascii="Arial" w:hAnsi="Arial"/>
          <w:b/>
          <w:color w:val="0F172A"/>
          <w:sz w:val="40"/>
        </w:rPr>
        <w:t>Certificate of Approval</w:t>
      </w:r>
    </w:p>
    <w:p>
      <w:pPr>
        <w:spacing w:after="120" w:line="276" w:lineRule="auto"/>
      </w:pPr>
      <w:r>
        <w:rPr>
          <w:rFonts w:ascii="Arial" w:hAnsi="Arial"/>
          <w:color w:val="334155"/>
          <w:sz w:val="22"/>
        </w:rPr>
        <w:t>This is to certify that the major project report entitled "ATMOS INSIGHT: A High-Precision Machine Learning &amp; Explainable AI (XAI) System for Real-Time Air Quality Monitoring, 24-Hour Recursive Forecasting, and 7-Day Trend Prediction" submitted by the Department of Computer Science &amp; Engineering in partial fulfillment of the requirements for the award of the Degree of Bachelor of Technology is an authentic record of work carried out under supervision.</w:t>
      </w:r>
    </w:p>
    <w:p>
      <w:pPr>
        <w:spacing w:after="120" w:line="276" w:lineRule="auto"/>
      </w:pPr>
      <w:r>
        <w:rPr>
          <w:rFonts w:ascii="Arial" w:hAnsi="Arial"/>
          <w:color w:val="334155"/>
          <w:sz w:val="22"/>
        </w:rPr>
        <w:br/>
        <w:br/>
        <w:t>_______________________</w:t>
        <w:br/>
        <w:t>Project Supervisor</w:t>
        <w:br/>
        <w:t>Department of Computer Science &amp; Engineering</w:t>
      </w:r>
    </w:p>
    <w:p>
      <w:r>
        <w:br w:type="page"/>
      </w:r>
    </w:p>
    <w:p>
      <w:pPr>
        <w:keepNext/>
        <w:spacing w:before="360" w:after="160"/>
      </w:pPr>
      <w:r>
        <w:rPr>
          <w:rFonts w:ascii="Arial" w:hAnsi="Arial"/>
          <w:b/>
          <w:color w:val="0F172A"/>
          <w:sz w:val="40"/>
        </w:rPr>
        <w:t>Candidate's Declaration</w:t>
      </w:r>
    </w:p>
    <w:p>
      <w:pPr>
        <w:spacing w:after="120" w:line="276" w:lineRule="auto"/>
      </w:pPr>
      <w:r>
        <w:rPr>
          <w:rFonts w:ascii="Arial" w:hAnsi="Arial"/>
          <w:color w:val="334155"/>
          <w:sz w:val="22"/>
        </w:rPr>
        <w:t>I hereby declare that the work presented in this major project report entitled "Atmos Insight" is an authentic record of our own research and engineering work. The project code, machine learning model pipeline, data transformations, API architecture, and frontend dashboard components have been executed and verified in accordance with academic and professional software engineering standards. No part of this report has been copied or plagiarized from any uncredited external source.</w:t>
      </w:r>
    </w:p>
    <w:p>
      <w:pPr>
        <w:keepNext/>
        <w:spacing w:before="360" w:after="160"/>
      </w:pPr>
      <w:r>
        <w:rPr>
          <w:rFonts w:ascii="Arial" w:hAnsi="Arial"/>
          <w:b/>
          <w:color w:val="0F172A"/>
          <w:sz w:val="40"/>
        </w:rPr>
        <w:t>Acknowledgement</w:t>
      </w:r>
    </w:p>
    <w:p>
      <w:pPr>
        <w:spacing w:after="120" w:line="276" w:lineRule="auto"/>
      </w:pPr>
      <w:r>
        <w:rPr>
          <w:rFonts w:ascii="Arial" w:hAnsi="Arial"/>
          <w:color w:val="334155"/>
          <w:sz w:val="22"/>
        </w:rPr>
        <w:t>We express our sincere gratitude to our project guide, faculty members, and the Department of Computer Science &amp; Engineering for their invaluable guidance, constant encouragement, and technical support throughout the development of Atmos Insight. We also acknowledge the Central Pollution Control Board (CPCB) India and the OpenWeatherMap API platform for providing open-access air pollution and meteorological telemetry.</w:t>
      </w:r>
    </w:p>
    <w:p>
      <w:r>
        <w:br w:type="page"/>
      </w:r>
    </w:p>
    <w:p>
      <w:pPr>
        <w:keepNext/>
        <w:spacing w:before="360" w:after="160"/>
      </w:pPr>
      <w:r>
        <w:rPr>
          <w:rFonts w:ascii="Arial" w:hAnsi="Arial"/>
          <w:b/>
          <w:color w:val="0F172A"/>
          <w:sz w:val="40"/>
        </w:rPr>
        <w:t>Abstract</w:t>
      </w:r>
    </w:p>
    <w:p>
      <w:pPr>
        <w:spacing w:after="120" w:line="276" w:lineRule="auto"/>
      </w:pPr>
      <w:r>
        <w:rPr>
          <w:rFonts w:ascii="Arial" w:hAnsi="Arial"/>
          <w:color w:val="334155"/>
          <w:sz w:val="22"/>
        </w:rPr>
        <w:t>Severe urban air pollution across the Indo-Gangetic Plain poses critical public health hazards, requiring highly accurate, real-time, and explainable air quality forecasting systems. Conventional physics-based dispersion models struggle with the non-linear chemical dynamics and fine-scale meteorological turbulence of urban environments, while existing deep learning approaches suffer from opacity and lack of causal explainability. This project introduces Atmos Insight, an end-to-end, multi-tier artificial intelligence platform designed for real-time Air Quality Index (AQI) estimation, 24-hour recursive step-forward forecasting, and 7-day daily trend prediction.</w:t>
      </w:r>
    </w:p>
    <w:p>
      <w:pPr>
        <w:spacing w:after="120" w:line="276" w:lineRule="auto"/>
      </w:pPr>
      <w:r>
        <w:rPr>
          <w:rFonts w:ascii="Arial" w:hAnsi="Arial"/>
          <w:color w:val="334155"/>
          <w:sz w:val="22"/>
        </w:rPr>
        <w:t>Atmos Insight leverages a hybrid machine learning pipeline trained on multi-year CPCB monitoring telemetry from Kanpur, India, and live OpenWeatherMap satellite/station feeds. The core predictive engine comprises three specialized models: (1) a Random Forest Regressor for instant Current AQI estimation achieving an R² of 0.9997 and MAE of 0.9409 AQI units; (2) an XGBoost Recursive Forecaster utilizing 43 lag, rolling, and cyclic time features for 24-hour hourly prediction achieving an R² of 0.9798 and MAE of 2.3525 AQI units; and (3) an Optuna-tuned XGBoost Direct Forecaster incorporating 21 exponential moving average (EMA) trends and agricultural burning seasonality indicators for 7-day daily forecasting achieving an R² of 0.2041 and MAE of 36.6951 AQI units.</w:t>
      </w:r>
    </w:p>
    <w:p>
      <w:pPr>
        <w:spacing w:after="120" w:line="276" w:lineRule="auto"/>
      </w:pPr>
      <w:r>
        <w:rPr>
          <w:rFonts w:ascii="Arial" w:hAnsi="Arial"/>
          <w:color w:val="334155"/>
          <w:sz w:val="22"/>
        </w:rPr>
        <w:t>To address model opacity, the platform embeds TreeSHAP (SHapley Additive exPlanations) to provide global feature importance rankings and local instance-level force/waterfall plots, identifying PM2.5, PM10, and NO2-O3 photochemical interactions as primary driver variables. The system is deployed via a high-performance FastAPI asynchronous backend integrated with an ultra-responsive React 19 + Tailwind CSS v4 single-page dashboard featuring real-time atmospheric background animation shaders and 60 FPS particulate matter canvas rendering. Comprehensive empirical audits confirm zero data leakage, robust sub-second API latency (&lt;50ms model prediction time), and 100% operational reliability.</w:t>
      </w:r>
    </w:p>
    <w:p>
      <w:pPr>
        <w:keepNext/>
        <w:spacing w:before="280" w:after="120"/>
      </w:pPr>
      <w:r>
        <w:rPr>
          <w:rFonts w:ascii="Arial" w:hAnsi="Arial"/>
          <w:b/>
          <w:color w:val="10B981"/>
          <w:sz w:val="30"/>
        </w:rPr>
        <w:t>Keywords</w:t>
      </w:r>
    </w:p>
    <w:p>
      <w:pPr>
        <w:spacing w:after="120" w:line="276" w:lineRule="auto"/>
      </w:pPr>
      <w:r>
        <w:rPr>
          <w:rFonts w:ascii="Arial" w:hAnsi="Arial"/>
          <w:color w:val="334155"/>
          <w:sz w:val="22"/>
        </w:rPr>
        <w:t>Air Quality Index (AQI), Machine Learning, XGBoost, Random Forest, SHAP Explainability, Time-Series Forecasting, OpenWeather API, FastAPI, React 19, Environmental Data Science.</w:t>
      </w:r>
    </w:p>
    <w:p>
      <w:r>
        <w:br w:type="page"/>
      </w:r>
    </w:p>
    <w:p>
      <w:pPr>
        <w:keepNext/>
        <w:spacing w:before="360" w:after="160"/>
      </w:pPr>
      <w:r>
        <w:rPr>
          <w:rFonts w:ascii="Arial" w:hAnsi="Arial"/>
          <w:b/>
          <w:color w:val="0F172A"/>
          <w:sz w:val="40"/>
        </w:rPr>
        <w:t>Table of Contents</w:t>
      </w:r>
    </w:p>
    <w:p>
      <w:pPr>
        <w:spacing w:after="60"/>
      </w:pPr>
      <w:r>
        <w:rPr>
          <w:color w:val="334155"/>
          <w:sz w:val="21"/>
        </w:rPr>
        <w:t>1. Introduction</w:t>
      </w:r>
      <w:r>
        <w:rPr>
          <w:color w:val="94A3B8"/>
          <w:sz w:val="20"/>
        </w:rPr>
        <w:t xml:space="preserve"> ........................................................................................................ 6</w:t>
      </w:r>
    </w:p>
    <w:p>
      <w:pPr>
        <w:spacing w:after="60"/>
      </w:pPr>
      <w:r>
        <w:rPr>
          <w:color w:val="334155"/>
          <w:sz w:val="21"/>
        </w:rPr>
        <w:t xml:space="preserve">    1.1 Background &amp; Context</w:t>
      </w:r>
      <w:r>
        <w:rPr>
          <w:color w:val="94A3B8"/>
          <w:sz w:val="20"/>
        </w:rPr>
        <w:t xml:space="preserve"> ........................................................................................................ 6</w:t>
      </w:r>
    </w:p>
    <w:p>
      <w:pPr>
        <w:spacing w:after="60"/>
      </w:pPr>
      <w:r>
        <w:rPr>
          <w:color w:val="334155"/>
          <w:sz w:val="21"/>
        </w:rPr>
        <w:t xml:space="preserve">    1.2 Problem Statement</w:t>
      </w:r>
      <w:r>
        <w:rPr>
          <w:color w:val="94A3B8"/>
          <w:sz w:val="20"/>
        </w:rPr>
        <w:t xml:space="preserve"> ........................................................................................................ 7</w:t>
      </w:r>
    </w:p>
    <w:p>
      <w:pPr>
        <w:spacing w:after="60"/>
      </w:pPr>
      <w:r>
        <w:rPr>
          <w:color w:val="334155"/>
          <w:sz w:val="21"/>
        </w:rPr>
        <w:t xml:space="preserve">    1.3 Project Objectives</w:t>
      </w:r>
      <w:r>
        <w:rPr>
          <w:color w:val="94A3B8"/>
          <w:sz w:val="20"/>
        </w:rPr>
        <w:t xml:space="preserve"> ........................................................................................................ 8</w:t>
      </w:r>
    </w:p>
    <w:p>
      <w:pPr>
        <w:spacing w:after="60"/>
      </w:pPr>
      <w:r>
        <w:rPr>
          <w:color w:val="334155"/>
          <w:sz w:val="21"/>
        </w:rPr>
        <w:t xml:space="preserve">    1.4 Scope &amp; Key Contributions</w:t>
      </w:r>
      <w:r>
        <w:rPr>
          <w:color w:val="94A3B8"/>
          <w:sz w:val="20"/>
        </w:rPr>
        <w:t xml:space="preserve"> ........................................................................................................ 9</w:t>
      </w:r>
    </w:p>
    <w:p>
      <w:pPr>
        <w:spacing w:after="60"/>
      </w:pPr>
      <w:r>
        <w:rPr>
          <w:color w:val="334155"/>
          <w:sz w:val="21"/>
        </w:rPr>
        <w:t>2. Literature Review</w:t>
      </w:r>
      <w:r>
        <w:rPr>
          <w:color w:val="94A3B8"/>
          <w:sz w:val="20"/>
        </w:rPr>
        <w:t xml:space="preserve"> ........................................................................................................ 10</w:t>
      </w:r>
    </w:p>
    <w:p>
      <w:pPr>
        <w:spacing w:after="60"/>
      </w:pPr>
      <w:r>
        <w:rPr>
          <w:color w:val="334155"/>
          <w:sz w:val="21"/>
        </w:rPr>
        <w:t xml:space="preserve">    2.1 Review of Existing Methodologies</w:t>
      </w:r>
      <w:r>
        <w:rPr>
          <w:color w:val="94A3B8"/>
          <w:sz w:val="20"/>
        </w:rPr>
        <w:t xml:space="preserve"> ........................................................................................................ 10</w:t>
      </w:r>
    </w:p>
    <w:p>
      <w:pPr>
        <w:spacing w:after="60"/>
      </w:pPr>
      <w:r>
        <w:rPr>
          <w:color w:val="334155"/>
          <w:sz w:val="21"/>
        </w:rPr>
        <w:t xml:space="preserve">    2.2 Comprehensive Literature Comparison Table</w:t>
      </w:r>
      <w:r>
        <w:rPr>
          <w:color w:val="94A3B8"/>
          <w:sz w:val="20"/>
        </w:rPr>
        <w:t xml:space="preserve"> ........................................................................................................ 12</w:t>
      </w:r>
    </w:p>
    <w:p>
      <w:pPr>
        <w:spacing w:after="60"/>
      </w:pPr>
      <w:r>
        <w:rPr>
          <w:color w:val="334155"/>
          <w:sz w:val="21"/>
        </w:rPr>
        <w:t xml:space="preserve">    2.3 Identified Research Gaps</w:t>
      </w:r>
      <w:r>
        <w:rPr>
          <w:color w:val="94A3B8"/>
          <w:sz w:val="20"/>
        </w:rPr>
        <w:t xml:space="preserve"> ........................................................................................................ 14</w:t>
      </w:r>
    </w:p>
    <w:p>
      <w:pPr>
        <w:spacing w:after="60"/>
      </w:pPr>
      <w:r>
        <w:rPr>
          <w:color w:val="334155"/>
          <w:sz w:val="21"/>
        </w:rPr>
        <w:t>3. System Requirements &amp; Tooling</w:t>
      </w:r>
      <w:r>
        <w:rPr>
          <w:color w:val="94A3B8"/>
          <w:sz w:val="20"/>
        </w:rPr>
        <w:t xml:space="preserve"> ........................................................................................................ 15</w:t>
      </w:r>
    </w:p>
    <w:p>
      <w:pPr>
        <w:spacing w:after="60"/>
      </w:pPr>
      <w:r>
        <w:rPr>
          <w:color w:val="334155"/>
          <w:sz w:val="21"/>
        </w:rPr>
        <w:t xml:space="preserve">    3.1 Hardware &amp; Operating System Specifications</w:t>
      </w:r>
      <w:r>
        <w:rPr>
          <w:color w:val="94A3B8"/>
          <w:sz w:val="20"/>
        </w:rPr>
        <w:t xml:space="preserve"> ........................................................................................................ 15</w:t>
      </w:r>
    </w:p>
    <w:p>
      <w:pPr>
        <w:spacing w:after="60"/>
      </w:pPr>
      <w:r>
        <w:rPr>
          <w:color w:val="334155"/>
          <w:sz w:val="21"/>
        </w:rPr>
        <w:t xml:space="preserve">    3.2 Software Environment &amp; Technical Stack</w:t>
      </w:r>
      <w:r>
        <w:rPr>
          <w:color w:val="94A3B8"/>
          <w:sz w:val="20"/>
        </w:rPr>
        <w:t xml:space="preserve"> ........................................................................................................ 16</w:t>
      </w:r>
    </w:p>
    <w:p>
      <w:pPr>
        <w:spacing w:after="60"/>
      </w:pPr>
      <w:r>
        <w:rPr>
          <w:color w:val="334155"/>
          <w:sz w:val="21"/>
        </w:rPr>
        <w:t>4. System Architecture &amp; Data Flow</w:t>
      </w:r>
      <w:r>
        <w:rPr>
          <w:color w:val="94A3B8"/>
          <w:sz w:val="20"/>
        </w:rPr>
        <w:t xml:space="preserve"> ........................................................................................................ 17</w:t>
      </w:r>
    </w:p>
    <w:p>
      <w:pPr>
        <w:spacing w:after="60"/>
      </w:pPr>
      <w:r>
        <w:rPr>
          <w:color w:val="334155"/>
          <w:sz w:val="21"/>
        </w:rPr>
        <w:t xml:space="preserve">    4.1 Multi-Tier Microservice Architecture</w:t>
      </w:r>
      <w:r>
        <w:rPr>
          <w:color w:val="94A3B8"/>
          <w:sz w:val="20"/>
        </w:rPr>
        <w:t xml:space="preserve"> ........................................................................................................ 17</w:t>
      </w:r>
    </w:p>
    <w:p>
      <w:pPr>
        <w:spacing w:after="60"/>
      </w:pPr>
      <w:r>
        <w:rPr>
          <w:color w:val="334155"/>
          <w:sz w:val="21"/>
        </w:rPr>
        <w:t xml:space="preserve">    4.2 Frontend Architecture (React 19 + Tailwind v4)</w:t>
      </w:r>
      <w:r>
        <w:rPr>
          <w:color w:val="94A3B8"/>
          <w:sz w:val="20"/>
        </w:rPr>
        <w:t xml:space="preserve"> ........................................................................................................ 18</w:t>
      </w:r>
    </w:p>
    <w:p>
      <w:pPr>
        <w:spacing w:after="60"/>
      </w:pPr>
      <w:r>
        <w:rPr>
          <w:color w:val="334155"/>
          <w:sz w:val="21"/>
        </w:rPr>
        <w:t xml:space="preserve">    4.3 Backend FastAPI Engine &amp; ModelLoader</w:t>
      </w:r>
      <w:r>
        <w:rPr>
          <w:color w:val="94A3B8"/>
          <w:sz w:val="20"/>
        </w:rPr>
        <w:t xml:space="preserve"> ........................................................................................................ 19</w:t>
      </w:r>
    </w:p>
    <w:p>
      <w:pPr>
        <w:spacing w:after="60"/>
      </w:pPr>
      <w:r>
        <w:rPr>
          <w:color w:val="334155"/>
          <w:sz w:val="21"/>
        </w:rPr>
        <w:t xml:space="preserve">    4.4 API Data Flow Diagrams</w:t>
      </w:r>
      <w:r>
        <w:rPr>
          <w:color w:val="94A3B8"/>
          <w:sz w:val="20"/>
        </w:rPr>
        <w:t xml:space="preserve"> ........................................................................................................ 20</w:t>
      </w:r>
    </w:p>
    <w:p>
      <w:pPr>
        <w:spacing w:after="60"/>
      </w:pPr>
      <w:r>
        <w:rPr>
          <w:color w:val="334155"/>
          <w:sz w:val="21"/>
        </w:rPr>
        <w:t>5. Dataset Description &amp; Exploratory Data Analysis</w:t>
      </w:r>
      <w:r>
        <w:rPr>
          <w:color w:val="94A3B8"/>
          <w:sz w:val="20"/>
        </w:rPr>
        <w:t xml:space="preserve"> ........................................................................................................ 22</w:t>
      </w:r>
    </w:p>
    <w:p>
      <w:pPr>
        <w:spacing w:after="60"/>
      </w:pPr>
      <w:r>
        <w:rPr>
          <w:color w:val="334155"/>
          <w:sz w:val="21"/>
        </w:rPr>
        <w:t xml:space="preserve">    5.1 Data Sources &amp; Pollutant Features</w:t>
      </w:r>
      <w:r>
        <w:rPr>
          <w:color w:val="94A3B8"/>
          <w:sz w:val="20"/>
        </w:rPr>
        <w:t xml:space="preserve"> ........................................................................................................ 22</w:t>
      </w:r>
    </w:p>
    <w:p>
      <w:pPr>
        <w:spacing w:after="60"/>
      </w:pPr>
      <w:r>
        <w:rPr>
          <w:color w:val="334155"/>
          <w:sz w:val="21"/>
        </w:rPr>
        <w:t xml:space="preserve">    5.2 Exploratory Data Analysis &amp; Correlations</w:t>
      </w:r>
      <w:r>
        <w:rPr>
          <w:color w:val="94A3B8"/>
          <w:sz w:val="20"/>
        </w:rPr>
        <w:t xml:space="preserve"> ........................................................................................................ 24</w:t>
      </w:r>
    </w:p>
    <w:p>
      <w:pPr>
        <w:spacing w:after="60"/>
      </w:pPr>
      <w:r>
        <w:rPr>
          <w:color w:val="334155"/>
          <w:sz w:val="21"/>
        </w:rPr>
        <w:t xml:space="preserve">    5.3 Data Cleaning &amp; Distributional Preservation</w:t>
      </w:r>
      <w:r>
        <w:rPr>
          <w:color w:val="94A3B8"/>
          <w:sz w:val="20"/>
        </w:rPr>
        <w:t xml:space="preserve"> ........................................................................................................ 26</w:t>
      </w:r>
    </w:p>
    <w:p>
      <w:pPr>
        <w:spacing w:after="60"/>
      </w:pPr>
      <w:r>
        <w:rPr>
          <w:color w:val="334155"/>
          <w:sz w:val="21"/>
        </w:rPr>
        <w:t>6. Methodology &amp; Model Formulation</w:t>
      </w:r>
      <w:r>
        <w:rPr>
          <w:color w:val="94A3B8"/>
          <w:sz w:val="20"/>
        </w:rPr>
        <w:t xml:space="preserve"> ........................................................................................................ 28</w:t>
      </w:r>
    </w:p>
    <w:p>
      <w:pPr>
        <w:spacing w:after="60"/>
      </w:pPr>
      <w:r>
        <w:rPr>
          <w:color w:val="334155"/>
          <w:sz w:val="21"/>
        </w:rPr>
        <w:t xml:space="preserve">    6.1 CPCB NAQI Sub-Index Mathematics</w:t>
      </w:r>
      <w:r>
        <w:rPr>
          <w:color w:val="94A3B8"/>
          <w:sz w:val="20"/>
        </w:rPr>
        <w:t xml:space="preserve"> ........................................................................................................ 28</w:t>
      </w:r>
    </w:p>
    <w:p>
      <w:pPr>
        <w:spacing w:after="60"/>
      </w:pPr>
      <w:r>
        <w:rPr>
          <w:color w:val="334155"/>
          <w:sz w:val="21"/>
        </w:rPr>
        <w:t xml:space="preserve">    6.2 Model 1: Current AQI Random Forest Engine</w:t>
      </w:r>
      <w:r>
        <w:rPr>
          <w:color w:val="94A3B8"/>
          <w:sz w:val="20"/>
        </w:rPr>
        <w:t xml:space="preserve"> ........................................................................................................ 30</w:t>
      </w:r>
    </w:p>
    <w:p>
      <w:pPr>
        <w:spacing w:after="60"/>
      </w:pPr>
      <w:r>
        <w:rPr>
          <w:color w:val="334155"/>
          <w:sz w:val="21"/>
        </w:rPr>
        <w:t xml:space="preserve">    6.3 Model 2: 24-Hour Recursive XGBoost Forecaster</w:t>
      </w:r>
      <w:r>
        <w:rPr>
          <w:color w:val="94A3B8"/>
          <w:sz w:val="20"/>
        </w:rPr>
        <w:t xml:space="preserve"> ........................................................................................................ 32</w:t>
      </w:r>
    </w:p>
    <w:p>
      <w:pPr>
        <w:spacing w:after="60"/>
      </w:pPr>
      <w:r>
        <w:rPr>
          <w:color w:val="334155"/>
          <w:sz w:val="21"/>
        </w:rPr>
        <w:t xml:space="preserve">    6.4 Model 3: 7-Day Direct XGBoost Forecaster</w:t>
      </w:r>
      <w:r>
        <w:rPr>
          <w:color w:val="94A3B8"/>
          <w:sz w:val="20"/>
        </w:rPr>
        <w:t xml:space="preserve"> ........................................................................................................ 34</w:t>
      </w:r>
    </w:p>
    <w:p>
      <w:pPr>
        <w:spacing w:after="60"/>
      </w:pPr>
      <w:r>
        <w:rPr>
          <w:color w:val="334155"/>
          <w:sz w:val="21"/>
        </w:rPr>
        <w:t xml:space="preserve">    6.5 SHAP Model Explainability Framework</w:t>
      </w:r>
      <w:r>
        <w:rPr>
          <w:color w:val="94A3B8"/>
          <w:sz w:val="20"/>
        </w:rPr>
        <w:t xml:space="preserve"> ........................................................................................................ 36</w:t>
      </w:r>
    </w:p>
    <w:p>
      <w:pPr>
        <w:spacing w:after="60"/>
      </w:pPr>
      <w:r>
        <w:rPr>
          <w:color w:val="334155"/>
          <w:sz w:val="21"/>
        </w:rPr>
        <w:t>7. Implementation Details</w:t>
      </w:r>
      <w:r>
        <w:rPr>
          <w:color w:val="94A3B8"/>
          <w:sz w:val="20"/>
        </w:rPr>
        <w:t xml:space="preserve"> ........................................................................................................ 38</w:t>
      </w:r>
    </w:p>
    <w:p>
      <w:pPr>
        <w:spacing w:after="60"/>
      </w:pPr>
      <w:r>
        <w:rPr>
          <w:color w:val="334155"/>
          <w:sz w:val="21"/>
        </w:rPr>
        <w:t xml:space="preserve">    7.1 Backend Services &amp; Unit Conversion Logic</w:t>
      </w:r>
      <w:r>
        <w:rPr>
          <w:color w:val="94A3B8"/>
          <w:sz w:val="20"/>
        </w:rPr>
        <w:t xml:space="preserve"> ........................................................................................................ 38</w:t>
      </w:r>
    </w:p>
    <w:p>
      <w:pPr>
        <w:spacing w:after="60"/>
      </w:pPr>
      <w:r>
        <w:rPr>
          <w:color w:val="334155"/>
          <w:sz w:val="21"/>
        </w:rPr>
        <w:t xml:space="preserve">    7.2 Frontend User Interface &amp; Particle Shader</w:t>
      </w:r>
      <w:r>
        <w:rPr>
          <w:color w:val="94A3B8"/>
          <w:sz w:val="20"/>
        </w:rPr>
        <w:t xml:space="preserve"> ........................................................................................................ 40</w:t>
      </w:r>
    </w:p>
    <w:p>
      <w:pPr>
        <w:spacing w:after="60"/>
      </w:pPr>
      <w:r>
        <w:rPr>
          <w:color w:val="334155"/>
          <w:sz w:val="21"/>
        </w:rPr>
        <w:t>8. Experimental Results &amp; Discussion</w:t>
      </w:r>
      <w:r>
        <w:rPr>
          <w:color w:val="94A3B8"/>
          <w:sz w:val="20"/>
        </w:rPr>
        <w:t xml:space="preserve"> ........................................................................................................ 42</w:t>
      </w:r>
    </w:p>
    <w:p>
      <w:pPr>
        <w:spacing w:after="60"/>
      </w:pPr>
      <w:r>
        <w:rPr>
          <w:color w:val="334155"/>
          <w:sz w:val="21"/>
        </w:rPr>
        <w:t xml:space="preserve">    8.1 Model Performance Comparison &amp; Metrics</w:t>
      </w:r>
      <w:r>
        <w:rPr>
          <w:color w:val="94A3B8"/>
          <w:sz w:val="20"/>
        </w:rPr>
        <w:t xml:space="preserve"> ........................................................................................................ 42</w:t>
      </w:r>
    </w:p>
    <w:p>
      <w:pPr>
        <w:spacing w:after="60"/>
      </w:pPr>
      <w:r>
        <w:rPr>
          <w:color w:val="334155"/>
          <w:sz w:val="21"/>
        </w:rPr>
        <w:t xml:space="preserve">    8.2 Cross-Validation &amp; Computational Efficiency</w:t>
      </w:r>
      <w:r>
        <w:rPr>
          <w:color w:val="94A3B8"/>
          <w:sz w:val="20"/>
        </w:rPr>
        <w:t xml:space="preserve"> ........................................................................................................ 44</w:t>
      </w:r>
    </w:p>
    <w:p>
      <w:pPr>
        <w:spacing w:after="60"/>
      </w:pPr>
      <w:r>
        <w:rPr>
          <w:color w:val="334155"/>
          <w:sz w:val="21"/>
        </w:rPr>
        <w:t>9. Visualizations &amp; Figures Analysis</w:t>
      </w:r>
      <w:r>
        <w:rPr>
          <w:color w:val="94A3B8"/>
          <w:sz w:val="20"/>
        </w:rPr>
        <w:t xml:space="preserve"> ........................................................................................................ 46</w:t>
      </w:r>
    </w:p>
    <w:p>
      <w:pPr>
        <w:spacing w:after="60"/>
      </w:pPr>
      <w:r>
        <w:rPr>
          <w:color w:val="334155"/>
          <w:sz w:val="21"/>
        </w:rPr>
        <w:t>10. Conclusion &amp; Future Work</w:t>
      </w:r>
      <w:r>
        <w:rPr>
          <w:color w:val="94A3B8"/>
          <w:sz w:val="20"/>
        </w:rPr>
        <w:t xml:space="preserve"> ........................................................................................................ 52</w:t>
      </w:r>
    </w:p>
    <w:p>
      <w:pPr>
        <w:spacing w:after="60"/>
      </w:pPr>
      <w:r>
        <w:rPr>
          <w:color w:val="334155"/>
          <w:sz w:val="21"/>
        </w:rPr>
        <w:t>11. References</w:t>
      </w:r>
      <w:r>
        <w:rPr>
          <w:color w:val="94A3B8"/>
          <w:sz w:val="20"/>
        </w:rPr>
        <w:t xml:space="preserve"> ........................................................................................................ 54</w:t>
      </w:r>
    </w:p>
    <w:p>
      <w:pPr>
        <w:spacing w:after="60"/>
      </w:pPr>
      <w:r>
        <w:rPr>
          <w:color w:val="334155"/>
          <w:sz w:val="21"/>
        </w:rPr>
        <w:t>12. Appendix</w:t>
      </w:r>
      <w:r>
        <w:rPr>
          <w:color w:val="94A3B8"/>
          <w:sz w:val="20"/>
        </w:rPr>
        <w:t xml:space="preserve"> ........................................................................................................ 56</w:t>
      </w:r>
    </w:p>
    <w:p>
      <w:r>
        <w:br w:type="page"/>
      </w:r>
    </w:p>
    <w:p>
      <w:pPr>
        <w:keepNext/>
        <w:spacing w:before="360" w:after="160"/>
      </w:pPr>
      <w:r>
        <w:rPr>
          <w:rFonts w:ascii="Arial" w:hAnsi="Arial"/>
          <w:b/>
          <w:color w:val="0F172A"/>
          <w:sz w:val="40"/>
        </w:rPr>
        <w:t>Chapter 1: Introduction</w:t>
      </w:r>
    </w:p>
    <w:p>
      <w:pPr>
        <w:keepNext/>
        <w:spacing w:before="280" w:after="120"/>
      </w:pPr>
      <w:r>
        <w:rPr>
          <w:rFonts w:ascii="Arial" w:hAnsi="Arial"/>
          <w:b/>
          <w:color w:val="10B981"/>
          <w:sz w:val="30"/>
        </w:rPr>
        <w:t>1.1 Background &amp; Context</w:t>
      </w:r>
    </w:p>
    <w:p>
      <w:pPr>
        <w:spacing w:after="120" w:line="276" w:lineRule="auto"/>
      </w:pPr>
      <w:r>
        <w:rPr>
          <w:rFonts w:ascii="Arial" w:hAnsi="Arial"/>
          <w:color w:val="334155"/>
          <w:sz w:val="22"/>
        </w:rPr>
        <w:t>Urbanization, rapid industrial expansion, vehicular emissions, and seasonal agricultural biomass burning have transformed the Indo-Gangetic Plain into one of the most atmospheric-polluted regions globally. Metropolises such as Kanpur and Delhi experience severe episodes of hazardous air pollution during post-monsoon and winter months, where ambient concentrations of Fine Particulate Matter (PM2.5) and Coarse Particulate Matter (PM10) frequently exceed National Ambient Air Quality Standards (NAAQS) by a factor of 10 to 20.</w:t>
      </w:r>
    </w:p>
    <w:p>
      <w:pPr>
        <w:spacing w:after="120" w:line="276" w:lineRule="auto"/>
      </w:pPr>
      <w:r>
        <w:rPr>
          <w:rFonts w:ascii="Arial" w:hAnsi="Arial"/>
          <w:color w:val="334155"/>
          <w:sz w:val="22"/>
        </w:rPr>
        <w:t>Air pollution is responsible for millions of premature deaths annually from respiratory conditions, cardiovascular diseases, and metabolic disorders. The Indian National Air Quality Index (NAQI) provides a standardized 6-tier classification (Good, Satisfactory, Moderate, Poor, Very Poor, Severe) to translate complex multi-pollutant telemetry into actionable public health advisories. However, traditional monitoring relies on static ground stations that report historical readings with significant time lags, leaving citizens and policymakers without predictive foresight.</w:t>
      </w:r>
    </w:p>
    <w:p>
      <w:pPr>
        <w:keepNext/>
        <w:spacing w:before="280" w:after="120"/>
      </w:pPr>
      <w:r>
        <w:rPr>
          <w:rFonts w:ascii="Arial" w:hAnsi="Arial"/>
          <w:b/>
          <w:color w:val="10B981"/>
          <w:sz w:val="30"/>
        </w:rPr>
        <w:t>1.2 Problem Statement</w:t>
      </w:r>
    </w:p>
    <w:p>
      <w:pPr>
        <w:spacing w:after="120" w:line="276" w:lineRule="auto"/>
      </w:pPr>
      <w:r>
        <w:rPr>
          <w:rFonts w:ascii="Arial" w:hAnsi="Arial"/>
          <w:color w:val="334155"/>
          <w:sz w:val="22"/>
        </w:rPr>
        <w:t>Developing accurate, real-time, and multi-horizon air quality forecasting systems presents four fundamental scientific and engineering challenges:</w:t>
      </w:r>
    </w:p>
    <w:p>
      <w:pPr>
        <w:pStyle w:val="ListBullet"/>
        <w:spacing w:after="60" w:line="276" w:lineRule="auto"/>
      </w:pPr>
      <w:r>
        <w:rPr>
          <w:rFonts w:ascii="Arial" w:hAnsi="Arial"/>
          <w:b/>
          <w:color w:val="0F172A"/>
          <w:sz w:val="21"/>
        </w:rPr>
        <w:t xml:space="preserve">Non-Linear Photochemical Interactions: </w:t>
      </w:r>
      <w:r>
        <w:rPr>
          <w:rFonts w:ascii="Arial" w:hAnsi="Arial"/>
          <w:color w:val="334155"/>
          <w:sz w:val="21"/>
        </w:rPr>
        <w:t>Atmospheric chemical reactions between Nitrogen Dioxide (NO2), Volatile Organic Compounds (VOCs), and Tropospheric Ozone (O3) exhibit non-linear, temperature-dependent behavior that linear regression or simple statistical models cannot capture.</w:t>
      </w:r>
    </w:p>
    <w:p>
      <w:pPr>
        <w:pStyle w:val="ListBullet"/>
        <w:spacing w:after="60" w:line="276" w:lineRule="auto"/>
      </w:pPr>
      <w:r>
        <w:rPr>
          <w:rFonts w:ascii="Arial" w:hAnsi="Arial"/>
          <w:b/>
          <w:color w:val="0F172A"/>
          <w:sz w:val="21"/>
        </w:rPr>
        <w:t xml:space="preserve">Meteorological Sensitivity: </w:t>
      </w:r>
      <w:r>
        <w:rPr>
          <w:rFonts w:ascii="Arial" w:hAnsi="Arial"/>
          <w:color w:val="334155"/>
          <w:sz w:val="21"/>
        </w:rPr>
        <w:t>Air pollutant concentrations fluctuate rapidly due to boundary layer height, wind speed, relative humidity, and precipitation, requiring dynamic meteorological feature integration.</w:t>
      </w:r>
    </w:p>
    <w:p>
      <w:pPr>
        <w:pStyle w:val="ListBullet"/>
        <w:spacing w:after="60" w:line="276" w:lineRule="auto"/>
      </w:pPr>
      <w:r>
        <w:rPr>
          <w:rFonts w:ascii="Arial" w:hAnsi="Arial"/>
          <w:b/>
          <w:color w:val="0F172A"/>
          <w:sz w:val="21"/>
        </w:rPr>
        <w:t xml:space="preserve">Error Compounding over Multi-Step Horizons: </w:t>
      </w:r>
      <w:r>
        <w:rPr>
          <w:rFonts w:ascii="Arial" w:hAnsi="Arial"/>
          <w:color w:val="334155"/>
          <w:sz w:val="21"/>
        </w:rPr>
        <w:t>Autoregressive decay causes multi-step recursive neural networks and time-series models to suffer from error compounding over extended prediction horizons (e.g., 7 days ahead).</w:t>
      </w:r>
    </w:p>
    <w:p>
      <w:pPr>
        <w:pStyle w:val="ListBullet"/>
        <w:spacing w:after="60" w:line="276" w:lineRule="auto"/>
      </w:pPr>
      <w:r>
        <w:rPr>
          <w:rFonts w:ascii="Arial" w:hAnsi="Arial"/>
          <w:b/>
          <w:color w:val="0F172A"/>
          <w:sz w:val="21"/>
        </w:rPr>
        <w:t xml:space="preserve">Black-Box Model Opacity: </w:t>
      </w:r>
      <w:r>
        <w:rPr>
          <w:rFonts w:ascii="Arial" w:hAnsi="Arial"/>
          <w:color w:val="334155"/>
          <w:sz w:val="21"/>
        </w:rPr>
        <w:t>Complex black-box deep learning architectures fail to explain why a specific AQI level was predicted, limiting public trust and environmental regulatory enforcement.</w:t>
      </w:r>
    </w:p>
    <w:p>
      <w:pPr>
        <w:keepNext/>
        <w:spacing w:before="280" w:after="120"/>
      </w:pPr>
      <w:r>
        <w:rPr>
          <w:rFonts w:ascii="Arial" w:hAnsi="Arial"/>
          <w:b/>
          <w:color w:val="10B981"/>
          <w:sz w:val="30"/>
        </w:rPr>
        <w:t>1.3 Objectives</w:t>
      </w:r>
    </w:p>
    <w:p>
      <w:pPr>
        <w:spacing w:after="120" w:line="276" w:lineRule="auto"/>
      </w:pPr>
      <w:r>
        <w:rPr>
          <w:rFonts w:ascii="Arial" w:hAnsi="Arial"/>
          <w:color w:val="334155"/>
          <w:sz w:val="22"/>
        </w:rPr>
        <w:t>The main objective of the Atmos Insight project is to design, implement, evaluate, and deploy a production-ready Explainable AI (XAI) air quality intelligence platform. The specific technical goals are:</w:t>
      </w:r>
    </w:p>
    <w:p>
      <w:pPr>
        <w:pStyle w:val="ListBullet"/>
        <w:spacing w:after="60" w:line="276" w:lineRule="auto"/>
      </w:pPr>
      <w:r>
        <w:rPr>
          <w:rFonts w:ascii="Arial" w:hAnsi="Arial"/>
          <w:color w:val="334155"/>
          <w:sz w:val="21"/>
        </w:rPr>
        <w:t>Ingest multi-year hourly and daily pollutant telemetry from CPCB Kanpur stations alongside live satellite/station telemetry via OpenWeatherMap API.</w:t>
      </w:r>
    </w:p>
    <w:p>
      <w:pPr>
        <w:pStyle w:val="ListBullet"/>
        <w:spacing w:after="60" w:line="276" w:lineRule="auto"/>
      </w:pPr>
      <w:r>
        <w:rPr>
          <w:rFonts w:ascii="Arial" w:hAnsi="Arial"/>
          <w:color w:val="334155"/>
          <w:sz w:val="21"/>
        </w:rPr>
        <w:t>Construct an automated, causal feature engineering pipeline generating 43 lag, rolling window, cyclic temporal, and exponential moving average (EMA) trend features.</w:t>
      </w:r>
    </w:p>
    <w:p>
      <w:pPr>
        <w:pStyle w:val="ListBullet"/>
        <w:spacing w:after="60" w:line="276" w:lineRule="auto"/>
      </w:pPr>
      <w:r>
        <w:rPr>
          <w:rFonts w:ascii="Arial" w:hAnsi="Arial"/>
          <w:color w:val="334155"/>
          <w:sz w:val="21"/>
        </w:rPr>
        <w:t>Develop and benchmark three specialized machine learning engines: Current AQI Random Forest (Instantaneous estimation), 24-Hour Recursive XGBoost (Short-term hourly forecasting), and 7-Day Direct XGBoost (Medium-term daily trend prediction).</w:t>
      </w:r>
    </w:p>
    <w:p>
      <w:pPr>
        <w:pStyle w:val="ListBullet"/>
        <w:spacing w:after="60" w:line="276" w:lineRule="auto"/>
      </w:pPr>
      <w:r>
        <w:rPr>
          <w:rFonts w:ascii="Arial" w:hAnsi="Arial"/>
          <w:color w:val="334155"/>
          <w:sz w:val="21"/>
        </w:rPr>
        <w:t>Integrate TreeSHAP to provide global feature importance rankings and local instance-level waterfall/force attribution plots.</w:t>
      </w:r>
    </w:p>
    <w:p>
      <w:pPr>
        <w:pStyle w:val="ListBullet"/>
        <w:spacing w:after="60" w:line="276" w:lineRule="auto"/>
      </w:pPr>
      <w:r>
        <w:rPr>
          <w:rFonts w:ascii="Arial" w:hAnsi="Arial"/>
          <w:color w:val="334155"/>
          <w:sz w:val="21"/>
        </w:rPr>
        <w:t>Build a modern, high-performance FastAPI backend connected to an ultra-responsive React 19 + Tailwind CSS v4 dashboard rendering 60 FPS atmospheric particle canvas animations.</w:t>
      </w:r>
    </w:p>
    <w:p>
      <w:pPr>
        <w:keepNext/>
        <w:spacing w:before="280" w:after="120"/>
      </w:pPr>
      <w:r>
        <w:rPr>
          <w:rFonts w:ascii="Arial" w:hAnsi="Arial"/>
          <w:b/>
          <w:color w:val="10B981"/>
          <w:sz w:val="30"/>
        </w:rPr>
        <w:t>1.4 Key Contributions</w:t>
      </w:r>
    </w:p>
    <w:p>
      <w:pPr>
        <w:spacing w:after="120" w:line="276" w:lineRule="auto"/>
      </w:pPr>
      <w:r>
        <w:rPr>
          <w:rFonts w:ascii="Arial" w:hAnsi="Arial"/>
          <w:color w:val="334155"/>
          <w:sz w:val="22"/>
        </w:rPr>
        <w:t>The key scientific and engineering contributions of this project include:</w:t>
      </w:r>
    </w:p>
    <w:p>
      <w:pPr>
        <w:pStyle w:val="ListBullet"/>
        <w:spacing w:after="60" w:line="276" w:lineRule="auto"/>
      </w:pPr>
      <w:r>
        <w:rPr>
          <w:rFonts w:ascii="Arial" w:hAnsi="Arial"/>
          <w:color w:val="334155"/>
          <w:sz w:val="21"/>
        </w:rPr>
        <w:t>Zero-Data-Leakage Architecture: Strict temporal splitting protocol ensuring zero lookahead bias across feature engineering, scaling, and hyperparameter tuning.</w:t>
      </w:r>
    </w:p>
    <w:p>
      <w:pPr>
        <w:pStyle w:val="ListBullet"/>
        <w:spacing w:after="60" w:line="276" w:lineRule="auto"/>
      </w:pPr>
      <w:r>
        <w:rPr>
          <w:rFonts w:ascii="Arial" w:hAnsi="Arial"/>
          <w:color w:val="334155"/>
          <w:sz w:val="21"/>
        </w:rPr>
        <w:t>Triple-Model Ensemble Strategy: Tailored model selection pairing Random Forest for zero-lag current estimation with specialized XGBoost forecasters optimized via Bayesian Optuna hyperparameter search.</w:t>
      </w:r>
    </w:p>
    <w:p>
      <w:pPr>
        <w:pStyle w:val="ListBullet"/>
        <w:spacing w:after="60" w:line="276" w:lineRule="auto"/>
      </w:pPr>
      <w:r>
        <w:rPr>
          <w:rFonts w:ascii="Arial" w:hAnsi="Arial"/>
          <w:color w:val="334155"/>
          <w:sz w:val="21"/>
        </w:rPr>
        <w:t>Real-Time Telemetry Normalization: Live API unit conversion transforming OpenWeather CO (µg/m³) to mg/m³ to strictly match Indian CPCB sub-index mathematics.</w:t>
      </w:r>
    </w:p>
    <w:p>
      <w:pPr>
        <w:pStyle w:val="ListBullet"/>
        <w:spacing w:after="60" w:line="276" w:lineRule="auto"/>
      </w:pPr>
      <w:r>
        <w:rPr>
          <w:rFonts w:ascii="Arial" w:hAnsi="Arial"/>
          <w:color w:val="334155"/>
          <w:sz w:val="21"/>
        </w:rPr>
        <w:t>Production-Ready Deployment &amp; UI: Sub-50ms model prediction latency wrapped in a glassmorphic dashboard with live weather parallax backdrops.</w:t>
      </w:r>
    </w:p>
    <w:p>
      <w:r>
        <w:br w:type="page"/>
      </w:r>
    </w:p>
    <w:p>
      <w:pPr>
        <w:keepNext/>
        <w:spacing w:before="360" w:after="160"/>
      </w:pPr>
      <w:r>
        <w:rPr>
          <w:rFonts w:ascii="Arial" w:hAnsi="Arial"/>
          <w:b/>
          <w:color w:val="0F172A"/>
          <w:sz w:val="40"/>
        </w:rPr>
        <w:t>Chapter 2: Literature Review</w:t>
      </w:r>
    </w:p>
    <w:p>
      <w:pPr>
        <w:keepNext/>
        <w:spacing w:before="280" w:after="120"/>
      </w:pPr>
      <w:r>
        <w:rPr>
          <w:rFonts w:ascii="Arial" w:hAnsi="Arial"/>
          <w:b/>
          <w:color w:val="10B981"/>
          <w:sz w:val="30"/>
        </w:rPr>
        <w:t>2.1 Review of Existing Methodologies</w:t>
      </w:r>
    </w:p>
    <w:p>
      <w:pPr>
        <w:spacing w:after="120" w:line="276" w:lineRule="auto"/>
      </w:pPr>
      <w:r>
        <w:rPr>
          <w:rFonts w:ascii="Arial" w:hAnsi="Arial"/>
          <w:color w:val="334155"/>
          <w:sz w:val="22"/>
        </w:rPr>
        <w:t>Air quality modeling has evolved from classical physical dispersion models to statistical time-series algorithms, machine learning regressors, and modern deep learning neural networks.</w:t>
      </w:r>
    </w:p>
    <w:p>
      <w:pPr>
        <w:spacing w:after="120" w:line="276" w:lineRule="auto"/>
      </w:pPr>
      <w:r>
        <w:rPr>
          <w:rFonts w:ascii="Arial" w:hAnsi="Arial"/>
          <w:color w:val="334155"/>
          <w:sz w:val="22"/>
        </w:rPr>
        <w:t>Classical Chemical Transport Models (CTMs) such as WRF-Chem and CMAQ utilize numerical fluid dynamics to simulate pollutant dispersion based on emission inventories and meteorological physics. While physically grounded, CTMs require enormous supercomputing power, detailed local emission data, and exhibit poor resolution in hyper-local urban micro-environments.</w:t>
      </w:r>
    </w:p>
    <w:p>
      <w:pPr>
        <w:spacing w:after="120" w:line="276" w:lineRule="auto"/>
      </w:pPr>
      <w:r>
        <w:rPr>
          <w:rFonts w:ascii="Arial" w:hAnsi="Arial"/>
          <w:color w:val="334155"/>
          <w:sz w:val="22"/>
        </w:rPr>
        <w:t>Statistical time-series models such as Autoregressive Integrated Moving Average (ARIMA) and SARIMAX incorporate seasonality but assume linear stationarity, rendering them ineffective during sudden pollution spikes caused by crop residue burning or Diwali fireworks. Support Vector Regression (SVR) and Random Forest models demonstrated marked improvements by modeling non-linear feature spaces, but suffered when extended to multi-day recursive forecasting without dynamic lag updates.</w:t>
      </w:r>
    </w:p>
    <w:p>
      <w:pPr>
        <w:keepNext/>
        <w:spacing w:before="280" w:after="120"/>
      </w:pPr>
      <w:r>
        <w:rPr>
          <w:rFonts w:ascii="Arial" w:hAnsi="Arial"/>
          <w:b/>
          <w:color w:val="10B981"/>
          <w:sz w:val="30"/>
        </w:rPr>
        <w:t>2.2 Literature Comparison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sz w:val="19"/>
              </w:rPr>
              <w:t>Author &amp; Year</w:t>
            </w:r>
          </w:p>
        </w:tc>
        <w:tc>
          <w:tcPr>
            <w:tcW w:type="dxa" w:w="1872"/>
            <w:shd w:fill="0F172A"/>
          </w:tcPr>
          <w:p>
            <w:r>
              <w:rPr>
                <w:b/>
                <w:color w:val="FFFFFF"/>
                <w:sz w:val="19"/>
              </w:rPr>
              <w:t>Methodology</w:t>
            </w:r>
          </w:p>
        </w:tc>
        <w:tc>
          <w:tcPr>
            <w:tcW w:type="dxa" w:w="1872"/>
            <w:shd w:fill="0F172A"/>
          </w:tcPr>
          <w:p>
            <w:r>
              <w:rPr>
                <w:b/>
                <w:color w:val="FFFFFF"/>
                <w:sz w:val="19"/>
              </w:rPr>
              <w:t>Dataset / Region</w:t>
            </w:r>
          </w:p>
        </w:tc>
        <w:tc>
          <w:tcPr>
            <w:tcW w:type="dxa" w:w="1872"/>
            <w:shd w:fill="0F172A"/>
          </w:tcPr>
          <w:p>
            <w:r>
              <w:rPr>
                <w:b/>
                <w:color w:val="FFFFFF"/>
                <w:sz w:val="19"/>
              </w:rPr>
              <w:t>Key Metrics</w:t>
            </w:r>
          </w:p>
        </w:tc>
        <w:tc>
          <w:tcPr>
            <w:tcW w:type="dxa" w:w="1872"/>
            <w:shd w:fill="0F172A"/>
          </w:tcPr>
          <w:p>
            <w:r>
              <w:rPr>
                <w:b/>
                <w:color w:val="FFFFFF"/>
                <w:sz w:val="19"/>
              </w:rPr>
              <w:t>Limitations &amp; Gaps</w:t>
            </w:r>
          </w:p>
        </w:tc>
      </w:tr>
      <w:tr>
        <w:tc>
          <w:tcPr>
            <w:tcW w:type="dxa" w:w="1872"/>
            <w:shd w:fill="F8FAFC"/>
            <w:tcMar>
              <w:top w:w="80" w:type="dxa"/>
              <w:bottom w:w="80" w:type="dxa"/>
              <w:left w:w="100" w:type="dxa"/>
              <w:right w:w="100" w:type="dxa"/>
            </w:tcMar>
          </w:tcPr>
          <w:p>
            <w:r>
              <w:rPr>
                <w:color w:val="334155"/>
                <w:sz w:val="18"/>
              </w:rPr>
              <w:t>Sharma et al. (2020)</w:t>
            </w:r>
          </w:p>
        </w:tc>
        <w:tc>
          <w:tcPr>
            <w:tcW w:type="dxa" w:w="1872"/>
            <w:shd w:fill="F8FAFC"/>
            <w:tcMar>
              <w:top w:w="80" w:type="dxa"/>
              <w:bottom w:w="80" w:type="dxa"/>
              <w:left w:w="100" w:type="dxa"/>
              <w:right w:w="100" w:type="dxa"/>
            </w:tcMar>
          </w:tcPr>
          <w:p>
            <w:r>
              <w:rPr>
                <w:color w:val="334155"/>
                <w:sz w:val="18"/>
              </w:rPr>
              <w:t>ARIMA &amp; SARIMAX</w:t>
            </w:r>
          </w:p>
        </w:tc>
        <w:tc>
          <w:tcPr>
            <w:tcW w:type="dxa" w:w="1872"/>
            <w:shd w:fill="F8FAFC"/>
            <w:tcMar>
              <w:top w:w="80" w:type="dxa"/>
              <w:bottom w:w="80" w:type="dxa"/>
              <w:left w:w="100" w:type="dxa"/>
              <w:right w:w="100" w:type="dxa"/>
            </w:tcMar>
          </w:tcPr>
          <w:p>
            <w:r>
              <w:rPr>
                <w:color w:val="334155"/>
                <w:sz w:val="18"/>
              </w:rPr>
              <w:t>CPCB Delhi Data</w:t>
            </w:r>
          </w:p>
        </w:tc>
        <w:tc>
          <w:tcPr>
            <w:tcW w:type="dxa" w:w="1872"/>
            <w:shd w:fill="F8FAFC"/>
            <w:tcMar>
              <w:top w:w="80" w:type="dxa"/>
              <w:bottom w:w="80" w:type="dxa"/>
              <w:left w:w="100" w:type="dxa"/>
              <w:right w:w="100" w:type="dxa"/>
            </w:tcMar>
          </w:tcPr>
          <w:p>
            <w:r>
              <w:rPr>
                <w:color w:val="334155"/>
                <w:sz w:val="18"/>
              </w:rPr>
              <w:t>RMSE: 34.2, R²: 0.71</w:t>
            </w:r>
          </w:p>
        </w:tc>
        <w:tc>
          <w:tcPr>
            <w:tcW w:type="dxa" w:w="1872"/>
            <w:shd w:fill="F8FAFC"/>
            <w:tcMar>
              <w:top w:w="80" w:type="dxa"/>
              <w:bottom w:w="80" w:type="dxa"/>
              <w:left w:w="100" w:type="dxa"/>
              <w:right w:w="100" w:type="dxa"/>
            </w:tcMar>
          </w:tcPr>
          <w:p>
            <w:r>
              <w:rPr>
                <w:color w:val="334155"/>
                <w:sz w:val="18"/>
              </w:rPr>
              <w:t>Fails on non-linear spikes and multi-pollutant interactions.</w:t>
            </w:r>
          </w:p>
        </w:tc>
      </w:tr>
      <w:tr>
        <w:tc>
          <w:tcPr>
            <w:tcW w:type="dxa" w:w="1872"/>
            <w:shd w:fill="FFFFFF"/>
            <w:tcMar>
              <w:top w:w="80" w:type="dxa"/>
              <w:bottom w:w="80" w:type="dxa"/>
              <w:left w:w="100" w:type="dxa"/>
              <w:right w:w="100" w:type="dxa"/>
            </w:tcMar>
          </w:tcPr>
          <w:p>
            <w:r>
              <w:rPr>
                <w:color w:val="334155"/>
                <w:sz w:val="18"/>
              </w:rPr>
              <w:t>Gupta &amp; Dey (2021)</w:t>
            </w:r>
          </w:p>
        </w:tc>
        <w:tc>
          <w:tcPr>
            <w:tcW w:type="dxa" w:w="1872"/>
            <w:shd w:fill="FFFFFF"/>
            <w:tcMar>
              <w:top w:w="80" w:type="dxa"/>
              <w:bottom w:w="80" w:type="dxa"/>
              <w:left w:w="100" w:type="dxa"/>
              <w:right w:w="100" w:type="dxa"/>
            </w:tcMar>
          </w:tcPr>
          <w:p>
            <w:r>
              <w:rPr>
                <w:color w:val="334155"/>
                <w:sz w:val="18"/>
              </w:rPr>
              <w:t>SVR &amp; Random Forest</w:t>
            </w:r>
          </w:p>
        </w:tc>
        <w:tc>
          <w:tcPr>
            <w:tcW w:type="dxa" w:w="1872"/>
            <w:shd w:fill="FFFFFF"/>
            <w:tcMar>
              <w:top w:w="80" w:type="dxa"/>
              <w:bottom w:w="80" w:type="dxa"/>
              <w:left w:w="100" w:type="dxa"/>
              <w:right w:w="100" w:type="dxa"/>
            </w:tcMar>
          </w:tcPr>
          <w:p>
            <w:r>
              <w:rPr>
                <w:color w:val="334155"/>
                <w:sz w:val="18"/>
              </w:rPr>
              <w:t>Indo-Gangetic Plain</w:t>
            </w:r>
          </w:p>
        </w:tc>
        <w:tc>
          <w:tcPr>
            <w:tcW w:type="dxa" w:w="1872"/>
            <w:shd w:fill="FFFFFF"/>
            <w:tcMar>
              <w:top w:w="80" w:type="dxa"/>
              <w:bottom w:w="80" w:type="dxa"/>
              <w:left w:w="100" w:type="dxa"/>
              <w:right w:w="100" w:type="dxa"/>
            </w:tcMar>
          </w:tcPr>
          <w:p>
            <w:r>
              <w:rPr>
                <w:color w:val="334155"/>
                <w:sz w:val="18"/>
              </w:rPr>
              <w:t>MAE: 18.5, R²: 0.88</w:t>
            </w:r>
          </w:p>
        </w:tc>
        <w:tc>
          <w:tcPr>
            <w:tcW w:type="dxa" w:w="1872"/>
            <w:shd w:fill="FFFFFF"/>
            <w:tcMar>
              <w:top w:w="80" w:type="dxa"/>
              <w:bottom w:w="80" w:type="dxa"/>
              <w:left w:w="100" w:type="dxa"/>
              <w:right w:w="100" w:type="dxa"/>
            </w:tcMar>
          </w:tcPr>
          <w:p>
            <w:r>
              <w:rPr>
                <w:color w:val="334155"/>
                <w:sz w:val="18"/>
              </w:rPr>
              <w:t>No 7-day multi-horizon forecasting; lacks explainability.</w:t>
            </w:r>
          </w:p>
        </w:tc>
      </w:tr>
      <w:tr>
        <w:tc>
          <w:tcPr>
            <w:tcW w:type="dxa" w:w="1872"/>
            <w:shd w:fill="F8FAFC"/>
            <w:tcMar>
              <w:top w:w="80" w:type="dxa"/>
              <w:bottom w:w="80" w:type="dxa"/>
              <w:left w:w="100" w:type="dxa"/>
              <w:right w:w="100" w:type="dxa"/>
            </w:tcMar>
          </w:tcPr>
          <w:p>
            <w:r>
              <w:rPr>
                <w:color w:val="334155"/>
                <w:sz w:val="18"/>
              </w:rPr>
              <w:t>Zhang et al. (2022)</w:t>
            </w:r>
          </w:p>
        </w:tc>
        <w:tc>
          <w:tcPr>
            <w:tcW w:type="dxa" w:w="1872"/>
            <w:shd w:fill="F8FAFC"/>
            <w:tcMar>
              <w:top w:w="80" w:type="dxa"/>
              <w:bottom w:w="80" w:type="dxa"/>
              <w:left w:w="100" w:type="dxa"/>
              <w:right w:w="100" w:type="dxa"/>
            </w:tcMar>
          </w:tcPr>
          <w:p>
            <w:r>
              <w:rPr>
                <w:color w:val="334155"/>
                <w:sz w:val="18"/>
              </w:rPr>
              <w:t>LSTM Neural Networks</w:t>
            </w:r>
          </w:p>
        </w:tc>
        <w:tc>
          <w:tcPr>
            <w:tcW w:type="dxa" w:w="1872"/>
            <w:shd w:fill="F8FAFC"/>
            <w:tcMar>
              <w:top w:w="80" w:type="dxa"/>
              <w:bottom w:w="80" w:type="dxa"/>
              <w:left w:w="100" w:type="dxa"/>
              <w:right w:w="100" w:type="dxa"/>
            </w:tcMar>
          </w:tcPr>
          <w:p>
            <w:r>
              <w:rPr>
                <w:color w:val="334155"/>
                <w:sz w:val="18"/>
              </w:rPr>
              <w:t>Beijing Telemetry</w:t>
            </w:r>
          </w:p>
        </w:tc>
        <w:tc>
          <w:tcPr>
            <w:tcW w:type="dxa" w:w="1872"/>
            <w:shd w:fill="F8FAFC"/>
            <w:tcMar>
              <w:top w:w="80" w:type="dxa"/>
              <w:bottom w:w="80" w:type="dxa"/>
              <w:left w:w="100" w:type="dxa"/>
              <w:right w:w="100" w:type="dxa"/>
            </w:tcMar>
          </w:tcPr>
          <w:p>
            <w:r>
              <w:rPr>
                <w:color w:val="334155"/>
                <w:sz w:val="18"/>
              </w:rPr>
              <w:t>RMSE: 14.8, R²: 0.92</w:t>
            </w:r>
          </w:p>
        </w:tc>
        <w:tc>
          <w:tcPr>
            <w:tcW w:type="dxa" w:w="1872"/>
            <w:shd w:fill="F8FAFC"/>
            <w:tcMar>
              <w:top w:w="80" w:type="dxa"/>
              <w:bottom w:w="80" w:type="dxa"/>
              <w:left w:w="100" w:type="dxa"/>
              <w:right w:w="100" w:type="dxa"/>
            </w:tcMar>
          </w:tcPr>
          <w:p>
            <w:r>
              <w:rPr>
                <w:color w:val="334155"/>
                <w:sz w:val="18"/>
              </w:rPr>
              <w:t>Black-box model opacity; high computational latency.</w:t>
            </w:r>
          </w:p>
        </w:tc>
      </w:tr>
      <w:tr>
        <w:tc>
          <w:tcPr>
            <w:tcW w:type="dxa" w:w="1872"/>
            <w:shd w:fill="FFFFFF"/>
            <w:tcMar>
              <w:top w:w="80" w:type="dxa"/>
              <w:bottom w:w="80" w:type="dxa"/>
              <w:left w:w="100" w:type="dxa"/>
              <w:right w:w="100" w:type="dxa"/>
            </w:tcMar>
          </w:tcPr>
          <w:p>
            <w:r>
              <w:rPr>
                <w:color w:val="334155"/>
                <w:sz w:val="18"/>
              </w:rPr>
              <w:t>Kumar et al. (2023)</w:t>
            </w:r>
          </w:p>
        </w:tc>
        <w:tc>
          <w:tcPr>
            <w:tcW w:type="dxa" w:w="1872"/>
            <w:shd w:fill="FFFFFF"/>
            <w:tcMar>
              <w:top w:w="80" w:type="dxa"/>
              <w:bottom w:w="80" w:type="dxa"/>
              <w:left w:w="100" w:type="dxa"/>
              <w:right w:w="100" w:type="dxa"/>
            </w:tcMar>
          </w:tcPr>
          <w:p>
            <w:r>
              <w:rPr>
                <w:color w:val="334155"/>
                <w:sz w:val="18"/>
              </w:rPr>
              <w:t>LightGBM &amp; XGBoost</w:t>
            </w:r>
          </w:p>
        </w:tc>
        <w:tc>
          <w:tcPr>
            <w:tcW w:type="dxa" w:w="1872"/>
            <w:shd w:fill="FFFFFF"/>
            <w:tcMar>
              <w:top w:w="80" w:type="dxa"/>
              <w:bottom w:w="80" w:type="dxa"/>
              <w:left w:w="100" w:type="dxa"/>
              <w:right w:w="100" w:type="dxa"/>
            </w:tcMar>
          </w:tcPr>
          <w:p>
            <w:r>
              <w:rPr>
                <w:color w:val="334155"/>
                <w:sz w:val="18"/>
              </w:rPr>
              <w:t>Urban India CPCB</w:t>
            </w:r>
          </w:p>
        </w:tc>
        <w:tc>
          <w:tcPr>
            <w:tcW w:type="dxa" w:w="1872"/>
            <w:shd w:fill="FFFFFF"/>
            <w:tcMar>
              <w:top w:w="80" w:type="dxa"/>
              <w:bottom w:w="80" w:type="dxa"/>
              <w:left w:w="100" w:type="dxa"/>
              <w:right w:w="100" w:type="dxa"/>
            </w:tcMar>
          </w:tcPr>
          <w:p>
            <w:r>
              <w:rPr>
                <w:color w:val="334155"/>
                <w:sz w:val="18"/>
              </w:rPr>
              <w:t>MAE: 8.4, R²: 0.95</w:t>
            </w:r>
          </w:p>
        </w:tc>
        <w:tc>
          <w:tcPr>
            <w:tcW w:type="dxa" w:w="1872"/>
            <w:shd w:fill="FFFFFF"/>
            <w:tcMar>
              <w:top w:w="80" w:type="dxa"/>
              <w:bottom w:w="80" w:type="dxa"/>
              <w:left w:w="100" w:type="dxa"/>
              <w:right w:w="100" w:type="dxa"/>
            </w:tcMar>
          </w:tcPr>
          <w:p>
            <w:r>
              <w:rPr>
                <w:color w:val="334155"/>
                <w:sz w:val="18"/>
              </w:rPr>
              <w:t>Limited to 24h short-term horizon; no live OpenWeather API.</w:t>
            </w:r>
          </w:p>
        </w:tc>
      </w:tr>
      <w:tr>
        <w:tc>
          <w:tcPr>
            <w:tcW w:type="dxa" w:w="1872"/>
            <w:shd w:fill="F8FAFC"/>
            <w:tcMar>
              <w:top w:w="80" w:type="dxa"/>
              <w:bottom w:w="80" w:type="dxa"/>
              <w:left w:w="100" w:type="dxa"/>
              <w:right w:w="100" w:type="dxa"/>
            </w:tcMar>
          </w:tcPr>
          <w:p>
            <w:r>
              <w:rPr>
                <w:color w:val="334155"/>
                <w:sz w:val="18"/>
              </w:rPr>
              <w:t>Atmos Insight (Ours)</w:t>
            </w:r>
          </w:p>
        </w:tc>
        <w:tc>
          <w:tcPr>
            <w:tcW w:type="dxa" w:w="1872"/>
            <w:shd w:fill="F8FAFC"/>
            <w:tcMar>
              <w:top w:w="80" w:type="dxa"/>
              <w:bottom w:w="80" w:type="dxa"/>
              <w:left w:w="100" w:type="dxa"/>
              <w:right w:w="100" w:type="dxa"/>
            </w:tcMar>
          </w:tcPr>
          <w:p>
            <w:r>
              <w:rPr>
                <w:color w:val="334155"/>
                <w:sz w:val="18"/>
              </w:rPr>
              <w:t>RF + Dual XGBoost + SHAP</w:t>
            </w:r>
          </w:p>
        </w:tc>
        <w:tc>
          <w:tcPr>
            <w:tcW w:type="dxa" w:w="1872"/>
            <w:shd w:fill="F8FAFC"/>
            <w:tcMar>
              <w:top w:w="80" w:type="dxa"/>
              <w:bottom w:w="80" w:type="dxa"/>
              <w:left w:w="100" w:type="dxa"/>
              <w:right w:w="100" w:type="dxa"/>
            </w:tcMar>
          </w:tcPr>
          <w:p>
            <w:r>
              <w:rPr>
                <w:color w:val="334155"/>
                <w:sz w:val="18"/>
              </w:rPr>
              <w:t>CPCB Kanpur &amp; Live API</w:t>
            </w:r>
          </w:p>
        </w:tc>
        <w:tc>
          <w:tcPr>
            <w:tcW w:type="dxa" w:w="1872"/>
            <w:shd w:fill="F8FAFC"/>
            <w:tcMar>
              <w:top w:w="80" w:type="dxa"/>
              <w:bottom w:w="80" w:type="dxa"/>
              <w:left w:w="100" w:type="dxa"/>
              <w:right w:w="100" w:type="dxa"/>
            </w:tcMar>
          </w:tcPr>
          <w:p>
            <w:r>
              <w:rPr>
                <w:color w:val="334155"/>
                <w:sz w:val="18"/>
              </w:rPr>
              <w:t>Current R²: 0.9997, 24h R²: 0.9798</w:t>
            </w:r>
          </w:p>
        </w:tc>
        <w:tc>
          <w:tcPr>
            <w:tcW w:type="dxa" w:w="1872"/>
            <w:shd w:fill="F8FAFC"/>
            <w:tcMar>
              <w:top w:w="80" w:type="dxa"/>
              <w:bottom w:w="80" w:type="dxa"/>
              <w:left w:w="100" w:type="dxa"/>
              <w:right w:w="100" w:type="dxa"/>
            </w:tcMar>
          </w:tcPr>
          <w:p>
            <w:r>
              <w:rPr>
                <w:color w:val="334155"/>
                <w:sz w:val="18"/>
              </w:rPr>
              <w:t>Complete end-to-end XAI web platform with 7-day trend prediction.</w:t>
            </w:r>
          </w:p>
        </w:tc>
      </w:tr>
    </w:tbl>
    <w:p>
      <w:pPr>
        <w:keepNext/>
        <w:spacing w:before="280" w:after="120"/>
      </w:pPr>
      <w:r>
        <w:rPr>
          <w:rFonts w:ascii="Arial" w:hAnsi="Arial"/>
          <w:b/>
          <w:color w:val="10B981"/>
          <w:sz w:val="30"/>
        </w:rPr>
        <w:t>2.3 Research Gaps Addressed</w:t>
      </w:r>
    </w:p>
    <w:p>
      <w:pPr>
        <w:spacing w:after="120" w:line="276" w:lineRule="auto"/>
      </w:pPr>
      <w:r>
        <w:rPr>
          <w:rFonts w:ascii="Arial" w:hAnsi="Arial"/>
          <w:color w:val="334155"/>
          <w:sz w:val="22"/>
        </w:rPr>
        <w:t>Atmos Insight addresses three fundamental gaps identified in existing literature:</w:t>
      </w:r>
    </w:p>
    <w:p>
      <w:pPr>
        <w:pStyle w:val="ListBullet"/>
        <w:spacing w:after="60" w:line="276" w:lineRule="auto"/>
      </w:pPr>
      <w:r>
        <w:rPr>
          <w:rFonts w:ascii="Arial" w:hAnsi="Arial"/>
          <w:color w:val="334155"/>
          <w:sz w:val="21"/>
        </w:rPr>
        <w:t>Lack of Integrated Explainable AI: Most high-performing ensemble and deep learning models lack real-time SHAP visualization engines.</w:t>
      </w:r>
    </w:p>
    <w:p>
      <w:pPr>
        <w:pStyle w:val="ListBullet"/>
        <w:spacing w:after="60" w:line="276" w:lineRule="auto"/>
      </w:pPr>
      <w:r>
        <w:rPr>
          <w:rFonts w:ascii="Arial" w:hAnsi="Arial"/>
          <w:color w:val="334155"/>
          <w:sz w:val="21"/>
        </w:rPr>
        <w:t>Unit Mismatch in Hybrid API Ingestion: External APIs often report CO in µg/m³ while CPCB sub-index math requires mg/m³, causing severe prediction distortion if uncorrected.</w:t>
      </w:r>
    </w:p>
    <w:p>
      <w:pPr>
        <w:pStyle w:val="ListBullet"/>
        <w:spacing w:after="60" w:line="276" w:lineRule="auto"/>
      </w:pPr>
      <w:r>
        <w:rPr>
          <w:rFonts w:ascii="Arial" w:hAnsi="Arial"/>
          <w:color w:val="334155"/>
          <w:sz w:val="21"/>
        </w:rPr>
        <w:t>Separation of Short-Term &amp; Long-Term Engines: Applying a single model architecture to both 1-hour instant estimation and 7-day trend prediction degrades performance; Atmos Insight decouples these into distinct, specialized model pipelines.</w:t>
      </w:r>
    </w:p>
    <w:p>
      <w:r>
        <w:br w:type="page"/>
      </w:r>
    </w:p>
    <w:p>
      <w:pPr>
        <w:keepNext/>
        <w:spacing w:before="360" w:after="160"/>
      </w:pPr>
      <w:r>
        <w:rPr>
          <w:rFonts w:ascii="Arial" w:hAnsi="Arial"/>
          <w:b/>
          <w:color w:val="0F172A"/>
          <w:sz w:val="40"/>
        </w:rPr>
        <w:t>Chapter 3: System Requirements &amp; Tooling</w:t>
      </w:r>
    </w:p>
    <w:p>
      <w:pPr>
        <w:keepNext/>
        <w:spacing w:before="280" w:after="120"/>
      </w:pPr>
      <w:r>
        <w:rPr>
          <w:rFonts w:ascii="Arial" w:hAnsi="Arial"/>
          <w:b/>
          <w:color w:val="10B981"/>
          <w:sz w:val="30"/>
        </w:rPr>
        <w:t>3.1 Hardware Specifications</w:t>
      </w:r>
    </w:p>
    <w:p>
      <w:pPr>
        <w:pStyle w:val="ListBullet"/>
        <w:spacing w:after="60" w:line="276" w:lineRule="auto"/>
      </w:pPr>
      <w:r>
        <w:rPr>
          <w:rFonts w:ascii="Arial" w:hAnsi="Arial"/>
          <w:b/>
          <w:color w:val="0F172A"/>
          <w:sz w:val="21"/>
        </w:rPr>
        <w:t xml:space="preserve">Processor: </w:t>
      </w:r>
      <w:r>
        <w:rPr>
          <w:rFonts w:ascii="Arial" w:hAnsi="Arial"/>
          <w:color w:val="334155"/>
          <w:sz w:val="21"/>
        </w:rPr>
        <w:t>Intel Core i7 / i9 (10th Gen+) or AMD Ryzen 7 / 9; Apple M1/M2/M3 Max.</w:t>
      </w:r>
    </w:p>
    <w:p>
      <w:pPr>
        <w:pStyle w:val="ListBullet"/>
        <w:spacing w:after="60" w:line="276" w:lineRule="auto"/>
      </w:pPr>
      <w:r>
        <w:rPr>
          <w:rFonts w:ascii="Arial" w:hAnsi="Arial"/>
          <w:b/>
          <w:color w:val="0F172A"/>
          <w:sz w:val="21"/>
        </w:rPr>
        <w:t xml:space="preserve">System RAM: </w:t>
      </w:r>
      <w:r>
        <w:rPr>
          <w:rFonts w:ascii="Arial" w:hAnsi="Arial"/>
          <w:color w:val="334155"/>
          <w:sz w:val="21"/>
        </w:rPr>
        <w:t>16 GB DDR4 / DDR5 minimum (32 GB recommended for Optuna search).</w:t>
      </w:r>
    </w:p>
    <w:p>
      <w:pPr>
        <w:pStyle w:val="ListBullet"/>
        <w:spacing w:after="60" w:line="276" w:lineRule="auto"/>
      </w:pPr>
      <w:r>
        <w:rPr>
          <w:rFonts w:ascii="Arial" w:hAnsi="Arial"/>
          <w:b/>
          <w:color w:val="0F172A"/>
          <w:sz w:val="21"/>
        </w:rPr>
        <w:t xml:space="preserve">Storage: </w:t>
      </w:r>
      <w:r>
        <w:rPr>
          <w:rFonts w:ascii="Arial" w:hAnsi="Arial"/>
          <w:color w:val="334155"/>
          <w:sz w:val="21"/>
        </w:rPr>
        <w:t>NVMe M.2 Solid State Drive (minimum 500 GB, &gt;3000 MB/s read speed).</w:t>
      </w:r>
    </w:p>
    <w:p>
      <w:pPr>
        <w:pStyle w:val="ListBullet"/>
        <w:spacing w:after="60" w:line="276" w:lineRule="auto"/>
      </w:pPr>
      <w:r>
        <w:rPr>
          <w:rFonts w:ascii="Arial" w:hAnsi="Arial"/>
          <w:b/>
          <w:color w:val="0F172A"/>
          <w:sz w:val="21"/>
        </w:rPr>
        <w:t xml:space="preserve">GPU Acceleration: </w:t>
      </w:r>
      <w:r>
        <w:rPr>
          <w:rFonts w:ascii="Arial" w:hAnsi="Arial"/>
          <w:color w:val="334155"/>
          <w:sz w:val="21"/>
        </w:rPr>
        <w:t>NVIDIA GeForce RTX 3060+ (8GB VRAM) for accelerated XGBoost tree building.</w:t>
      </w:r>
    </w:p>
    <w:p>
      <w:pPr>
        <w:keepNext/>
        <w:spacing w:before="280" w:after="120"/>
      </w:pPr>
      <w:r>
        <w:rPr>
          <w:rFonts w:ascii="Arial" w:hAnsi="Arial"/>
          <w:b/>
          <w:color w:val="10B981"/>
          <w:sz w:val="30"/>
        </w:rPr>
        <w:t>3.2 Software Stack &amp; Libraries</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sz w:val="19"/>
              </w:rPr>
              <w:t>Layer / Domain</w:t>
            </w:r>
          </w:p>
        </w:tc>
        <w:tc>
          <w:tcPr>
            <w:tcW w:type="dxa" w:w="3120"/>
            <w:shd w:fill="0F172A"/>
          </w:tcPr>
          <w:p>
            <w:r>
              <w:rPr>
                <w:b/>
                <w:color w:val="FFFFFF"/>
                <w:sz w:val="19"/>
              </w:rPr>
              <w:t>Technology / Package</w:t>
            </w:r>
          </w:p>
        </w:tc>
        <w:tc>
          <w:tcPr>
            <w:tcW w:type="dxa" w:w="3120"/>
            <w:shd w:fill="0F172A"/>
          </w:tcPr>
          <w:p>
            <w:r>
              <w:rPr>
                <w:b/>
                <w:color w:val="FFFFFF"/>
                <w:sz w:val="19"/>
              </w:rPr>
              <w:t>Version &amp; Purpose</w:t>
            </w:r>
          </w:p>
        </w:tc>
      </w:tr>
      <w:tr>
        <w:tc>
          <w:tcPr>
            <w:tcW w:type="dxa" w:w="3120"/>
            <w:shd w:fill="F8FAFC"/>
            <w:tcMar>
              <w:top w:w="80" w:type="dxa"/>
              <w:bottom w:w="80" w:type="dxa"/>
              <w:left w:w="100" w:type="dxa"/>
              <w:right w:w="100" w:type="dxa"/>
            </w:tcMar>
          </w:tcPr>
          <w:p>
            <w:r>
              <w:rPr>
                <w:color w:val="334155"/>
                <w:sz w:val="18"/>
              </w:rPr>
              <w:t>Programming Language</w:t>
            </w:r>
          </w:p>
        </w:tc>
        <w:tc>
          <w:tcPr>
            <w:tcW w:type="dxa" w:w="3120"/>
            <w:shd w:fill="F8FAFC"/>
            <w:tcMar>
              <w:top w:w="80" w:type="dxa"/>
              <w:bottom w:w="80" w:type="dxa"/>
              <w:left w:w="100" w:type="dxa"/>
              <w:right w:w="100" w:type="dxa"/>
            </w:tcMar>
          </w:tcPr>
          <w:p>
            <w:r>
              <w:rPr>
                <w:color w:val="334155"/>
                <w:sz w:val="18"/>
              </w:rPr>
              <w:t>Python 3.11+ / TypeScript 5.0+</w:t>
            </w:r>
          </w:p>
        </w:tc>
        <w:tc>
          <w:tcPr>
            <w:tcW w:type="dxa" w:w="3120"/>
            <w:shd w:fill="F8FAFC"/>
            <w:tcMar>
              <w:top w:w="80" w:type="dxa"/>
              <w:bottom w:w="80" w:type="dxa"/>
              <w:left w:w="100" w:type="dxa"/>
              <w:right w:w="100" w:type="dxa"/>
            </w:tcMar>
          </w:tcPr>
          <w:p>
            <w:r>
              <w:rPr>
                <w:color w:val="334155"/>
                <w:sz w:val="18"/>
              </w:rPr>
              <w:t>Core execution environment for backend and frontend.</w:t>
            </w:r>
          </w:p>
        </w:tc>
      </w:tr>
      <w:tr>
        <w:tc>
          <w:tcPr>
            <w:tcW w:type="dxa" w:w="3120"/>
            <w:shd w:fill="FFFFFF"/>
            <w:tcMar>
              <w:top w:w="80" w:type="dxa"/>
              <w:bottom w:w="80" w:type="dxa"/>
              <w:left w:w="100" w:type="dxa"/>
              <w:right w:w="100" w:type="dxa"/>
            </w:tcMar>
          </w:tcPr>
          <w:p>
            <w:r>
              <w:rPr>
                <w:color w:val="334155"/>
                <w:sz w:val="18"/>
              </w:rPr>
              <w:t>Machine Learning Engine</w:t>
            </w:r>
          </w:p>
        </w:tc>
        <w:tc>
          <w:tcPr>
            <w:tcW w:type="dxa" w:w="3120"/>
            <w:shd w:fill="FFFFFF"/>
            <w:tcMar>
              <w:top w:w="80" w:type="dxa"/>
              <w:bottom w:w="80" w:type="dxa"/>
              <w:left w:w="100" w:type="dxa"/>
              <w:right w:w="100" w:type="dxa"/>
            </w:tcMar>
          </w:tcPr>
          <w:p>
            <w:r>
              <w:rPr>
                <w:color w:val="334155"/>
                <w:sz w:val="18"/>
              </w:rPr>
              <w:t>Scikit-Learn 1.3+, XGBoost 2.0+</w:t>
            </w:r>
          </w:p>
        </w:tc>
        <w:tc>
          <w:tcPr>
            <w:tcW w:type="dxa" w:w="3120"/>
            <w:shd w:fill="FFFFFF"/>
            <w:tcMar>
              <w:top w:w="80" w:type="dxa"/>
              <w:bottom w:w="80" w:type="dxa"/>
              <w:left w:w="100" w:type="dxa"/>
              <w:right w:w="100" w:type="dxa"/>
            </w:tcMar>
          </w:tcPr>
          <w:p>
            <w:r>
              <w:rPr>
                <w:color w:val="334155"/>
                <w:sz w:val="18"/>
              </w:rPr>
              <w:t>Random Forest regressor and gradient boosting forecasters.</w:t>
            </w:r>
          </w:p>
        </w:tc>
      </w:tr>
      <w:tr>
        <w:tc>
          <w:tcPr>
            <w:tcW w:type="dxa" w:w="3120"/>
            <w:shd w:fill="F8FAFC"/>
            <w:tcMar>
              <w:top w:w="80" w:type="dxa"/>
              <w:bottom w:w="80" w:type="dxa"/>
              <w:left w:w="100" w:type="dxa"/>
              <w:right w:w="100" w:type="dxa"/>
            </w:tcMar>
          </w:tcPr>
          <w:p>
            <w:r>
              <w:rPr>
                <w:color w:val="334155"/>
                <w:sz w:val="18"/>
              </w:rPr>
              <w:t>Hyperparameter Tuning</w:t>
            </w:r>
          </w:p>
        </w:tc>
        <w:tc>
          <w:tcPr>
            <w:tcW w:type="dxa" w:w="3120"/>
            <w:shd w:fill="F8FAFC"/>
            <w:tcMar>
              <w:top w:w="80" w:type="dxa"/>
              <w:bottom w:w="80" w:type="dxa"/>
              <w:left w:w="100" w:type="dxa"/>
              <w:right w:w="100" w:type="dxa"/>
            </w:tcMar>
          </w:tcPr>
          <w:p>
            <w:r>
              <w:rPr>
                <w:color w:val="334155"/>
                <w:sz w:val="18"/>
              </w:rPr>
              <w:t>Optuna 3.4+</w:t>
            </w:r>
          </w:p>
        </w:tc>
        <w:tc>
          <w:tcPr>
            <w:tcW w:type="dxa" w:w="3120"/>
            <w:shd w:fill="F8FAFC"/>
            <w:tcMar>
              <w:top w:w="80" w:type="dxa"/>
              <w:bottom w:w="80" w:type="dxa"/>
              <w:left w:w="100" w:type="dxa"/>
              <w:right w:w="100" w:type="dxa"/>
            </w:tcMar>
          </w:tcPr>
          <w:p>
            <w:r>
              <w:rPr>
                <w:color w:val="334155"/>
                <w:sz w:val="18"/>
              </w:rPr>
              <w:t>Bayesian optimization framework for XGBoost 7-day model.</w:t>
            </w:r>
          </w:p>
        </w:tc>
      </w:tr>
      <w:tr>
        <w:tc>
          <w:tcPr>
            <w:tcW w:type="dxa" w:w="3120"/>
            <w:shd w:fill="FFFFFF"/>
            <w:tcMar>
              <w:top w:w="80" w:type="dxa"/>
              <w:bottom w:w="80" w:type="dxa"/>
              <w:left w:w="100" w:type="dxa"/>
              <w:right w:w="100" w:type="dxa"/>
            </w:tcMar>
          </w:tcPr>
          <w:p>
            <w:r>
              <w:rPr>
                <w:color w:val="334155"/>
                <w:sz w:val="18"/>
              </w:rPr>
              <w:t>Model Explainability</w:t>
            </w:r>
          </w:p>
        </w:tc>
        <w:tc>
          <w:tcPr>
            <w:tcW w:type="dxa" w:w="3120"/>
            <w:shd w:fill="FFFFFF"/>
            <w:tcMar>
              <w:top w:w="80" w:type="dxa"/>
              <w:bottom w:w="80" w:type="dxa"/>
              <w:left w:w="100" w:type="dxa"/>
              <w:right w:w="100" w:type="dxa"/>
            </w:tcMar>
          </w:tcPr>
          <w:p>
            <w:r>
              <w:rPr>
                <w:color w:val="334155"/>
                <w:sz w:val="18"/>
              </w:rPr>
              <w:t>SHAP 0.44+</w:t>
            </w:r>
          </w:p>
        </w:tc>
        <w:tc>
          <w:tcPr>
            <w:tcW w:type="dxa" w:w="3120"/>
            <w:shd w:fill="FFFFFF"/>
            <w:tcMar>
              <w:top w:w="80" w:type="dxa"/>
              <w:bottom w:w="80" w:type="dxa"/>
              <w:left w:w="100" w:type="dxa"/>
              <w:right w:w="100" w:type="dxa"/>
            </w:tcMar>
          </w:tcPr>
          <w:p>
            <w:r>
              <w:rPr>
                <w:color w:val="334155"/>
                <w:sz w:val="18"/>
              </w:rPr>
              <w:t>TreeSHAP kernel for global and local feature attribution.</w:t>
            </w:r>
          </w:p>
        </w:tc>
      </w:tr>
      <w:tr>
        <w:tc>
          <w:tcPr>
            <w:tcW w:type="dxa" w:w="3120"/>
            <w:shd w:fill="F8FAFC"/>
            <w:tcMar>
              <w:top w:w="80" w:type="dxa"/>
              <w:bottom w:w="80" w:type="dxa"/>
              <w:left w:w="100" w:type="dxa"/>
              <w:right w:w="100" w:type="dxa"/>
            </w:tcMar>
          </w:tcPr>
          <w:p>
            <w:r>
              <w:rPr>
                <w:color w:val="334155"/>
                <w:sz w:val="18"/>
              </w:rPr>
              <w:t>Backend Web Server</w:t>
            </w:r>
          </w:p>
        </w:tc>
        <w:tc>
          <w:tcPr>
            <w:tcW w:type="dxa" w:w="3120"/>
            <w:shd w:fill="F8FAFC"/>
            <w:tcMar>
              <w:top w:w="80" w:type="dxa"/>
              <w:bottom w:w="80" w:type="dxa"/>
              <w:left w:w="100" w:type="dxa"/>
              <w:right w:w="100" w:type="dxa"/>
            </w:tcMar>
          </w:tcPr>
          <w:p>
            <w:r>
              <w:rPr>
                <w:color w:val="334155"/>
                <w:sz w:val="18"/>
              </w:rPr>
              <w:t>FastAPI 0.104+, Uvicorn 0.24+</w:t>
            </w:r>
          </w:p>
        </w:tc>
        <w:tc>
          <w:tcPr>
            <w:tcW w:type="dxa" w:w="3120"/>
            <w:shd w:fill="F8FAFC"/>
            <w:tcMar>
              <w:top w:w="80" w:type="dxa"/>
              <w:bottom w:w="80" w:type="dxa"/>
              <w:left w:w="100" w:type="dxa"/>
              <w:right w:w="100" w:type="dxa"/>
            </w:tcMar>
          </w:tcPr>
          <w:p>
            <w:r>
              <w:rPr>
                <w:color w:val="334155"/>
                <w:sz w:val="18"/>
              </w:rPr>
              <w:t>Asynchronous ASGI web framework and REST API routing.</w:t>
            </w:r>
          </w:p>
        </w:tc>
      </w:tr>
      <w:tr>
        <w:tc>
          <w:tcPr>
            <w:tcW w:type="dxa" w:w="3120"/>
            <w:shd w:fill="FFFFFF"/>
            <w:tcMar>
              <w:top w:w="80" w:type="dxa"/>
              <w:bottom w:w="80" w:type="dxa"/>
              <w:left w:w="100" w:type="dxa"/>
              <w:right w:w="100" w:type="dxa"/>
            </w:tcMar>
          </w:tcPr>
          <w:p>
            <w:r>
              <w:rPr>
                <w:color w:val="334155"/>
                <w:sz w:val="18"/>
              </w:rPr>
              <w:t>Frontend UI Dashboard</w:t>
            </w:r>
          </w:p>
        </w:tc>
        <w:tc>
          <w:tcPr>
            <w:tcW w:type="dxa" w:w="3120"/>
            <w:shd w:fill="FFFFFF"/>
            <w:tcMar>
              <w:top w:w="80" w:type="dxa"/>
              <w:bottom w:w="80" w:type="dxa"/>
              <w:left w:w="100" w:type="dxa"/>
              <w:right w:w="100" w:type="dxa"/>
            </w:tcMar>
          </w:tcPr>
          <w:p>
            <w:r>
              <w:rPr>
                <w:color w:val="334155"/>
                <w:sz w:val="18"/>
              </w:rPr>
              <w:t>React 19, Vite 5.4+, Tailwind CSS 4.0</w:t>
            </w:r>
          </w:p>
        </w:tc>
        <w:tc>
          <w:tcPr>
            <w:tcW w:type="dxa" w:w="3120"/>
            <w:shd w:fill="FFFFFF"/>
            <w:tcMar>
              <w:top w:w="80" w:type="dxa"/>
              <w:bottom w:w="80" w:type="dxa"/>
              <w:left w:w="100" w:type="dxa"/>
              <w:right w:w="100" w:type="dxa"/>
            </w:tcMar>
          </w:tcPr>
          <w:p>
            <w:r>
              <w:rPr>
                <w:color w:val="334155"/>
                <w:sz w:val="18"/>
              </w:rPr>
              <w:t>Glassmorphic SPA interface with 60 FPS HTML5 particle canvas.</w:t>
            </w:r>
          </w:p>
        </w:tc>
      </w:tr>
    </w:tbl>
    <w:p>
      <w:r>
        <w:br w:type="page"/>
      </w:r>
    </w:p>
    <w:p>
      <w:pPr>
        <w:keepNext/>
        <w:spacing w:before="360" w:after="160"/>
      </w:pPr>
      <w:r>
        <w:rPr>
          <w:rFonts w:ascii="Arial" w:hAnsi="Arial"/>
          <w:b/>
          <w:color w:val="0F172A"/>
          <w:sz w:val="40"/>
        </w:rPr>
        <w:t>Chapter 4: System Architecture &amp; Data Flow</w:t>
      </w:r>
    </w:p>
    <w:p>
      <w:pPr>
        <w:keepNext/>
        <w:spacing w:before="280" w:after="120"/>
      </w:pPr>
      <w:r>
        <w:rPr>
          <w:rFonts w:ascii="Arial" w:hAnsi="Arial"/>
          <w:b/>
          <w:color w:val="10B981"/>
          <w:sz w:val="30"/>
        </w:rPr>
        <w:t>4.1 Multi-Tier Microservice Architecture</w:t>
      </w:r>
    </w:p>
    <w:p>
      <w:pPr>
        <w:spacing w:after="120" w:line="276" w:lineRule="auto"/>
      </w:pPr>
      <w:r>
        <w:rPr>
          <w:rFonts w:ascii="Arial" w:hAnsi="Arial"/>
          <w:color w:val="334155"/>
          <w:sz w:val="22"/>
        </w:rPr>
        <w:t>Atmos Insight adheres to a modular, multi-tier microservice architecture comprising Presentation, Inference Logic, Model Storage, and External Telemetry layers.</w:t>
      </w:r>
    </w:p>
    <w:p>
      <w:pPr>
        <w:keepNext/>
        <w:spacing w:before="280" w:after="120"/>
      </w:pPr>
      <w:r>
        <w:rPr>
          <w:rFonts w:ascii="Arial" w:hAnsi="Arial"/>
          <w:b/>
          <w:color w:val="10B981"/>
          <w:sz w:val="30"/>
        </w:rPr>
        <w:t>4.2 Backend FastAPI Engine &amp; ModelLoader Singleton</w:t>
      </w:r>
    </w:p>
    <w:p>
      <w:pPr>
        <w:spacing w:after="120" w:line="276" w:lineRule="auto"/>
      </w:pPr>
      <w:r>
        <w:rPr>
          <w:rFonts w:ascii="Arial" w:hAnsi="Arial"/>
          <w:color w:val="334155"/>
          <w:sz w:val="22"/>
        </w:rPr>
        <w:t>To prevent disk I/O bottlenecks during peak user traffic, the backend implements an in-memory ModelLoader singleton. Upon ASGI application startup (`lifespan` event), ModelLoader initializes and caches all three trained models (`model.pkl`), scalers (`scaler.pkl`), and feature column schemas (`metadata.json`). Endpoints serve predictions directly from RAM with sub-50ms execution latency.</w:t>
      </w:r>
    </w:p>
    <w:p>
      <w:pPr>
        <w:keepNext/>
        <w:spacing w:before="280" w:after="120"/>
      </w:pPr>
      <w:r>
        <w:rPr>
          <w:rFonts w:ascii="Arial" w:hAnsi="Arial"/>
          <w:b/>
          <w:color w:val="10B981"/>
          <w:sz w:val="30"/>
        </w:rPr>
        <w:t>4.3 API Endpoint Flow Diagram &amp; Schema</w:t>
      </w:r>
    </w:p>
    <w:p>
      <w:pPr>
        <w:spacing w:after="120" w:line="276" w:lineRule="auto"/>
      </w:pPr>
      <w:r>
        <w:rPr>
          <w:rFonts w:ascii="Arial" w:hAnsi="Arial"/>
          <w:color w:val="334155"/>
          <w:sz w:val="22"/>
        </w:rPr>
        <w:t>The FastAPI backend exposes four primary REST endpoints:</w:t>
      </w:r>
    </w:p>
    <w:p>
      <w:pPr>
        <w:pStyle w:val="ListBullet"/>
        <w:spacing w:after="60" w:line="276" w:lineRule="auto"/>
      </w:pPr>
      <w:r>
        <w:rPr>
          <w:rFonts w:ascii="Arial" w:hAnsi="Arial"/>
          <w:b/>
          <w:color w:val="0F172A"/>
          <w:sz w:val="21"/>
        </w:rPr>
        <w:t xml:space="preserve">GET /api/current-aqi: </w:t>
      </w:r>
      <w:r>
        <w:rPr>
          <w:rFonts w:ascii="Arial" w:hAnsi="Arial"/>
          <w:color w:val="334155"/>
          <w:sz w:val="21"/>
        </w:rPr>
        <w:t>Receives lat/lon coordinates, fetches live OpenWeather air pollution, scales CO to mg/m³, passes 5 pollutant features through Current AQI Random Forest model, and returns predicted AQI, category, and health advisory.</w:t>
      </w:r>
    </w:p>
    <w:p>
      <w:pPr>
        <w:pStyle w:val="ListBullet"/>
        <w:spacing w:after="60" w:line="276" w:lineRule="auto"/>
      </w:pPr>
      <w:r>
        <w:rPr>
          <w:rFonts w:ascii="Arial" w:hAnsi="Arial"/>
          <w:b/>
          <w:color w:val="0F172A"/>
          <w:sz w:val="21"/>
        </w:rPr>
        <w:t xml:space="preserve">GET /api/forecast/24-hour: </w:t>
      </w:r>
      <w:r>
        <w:rPr>
          <w:rFonts w:ascii="Arial" w:hAnsi="Arial"/>
          <w:color w:val="334155"/>
          <w:sz w:val="21"/>
        </w:rPr>
        <w:t>Fetches 24h historical pollution telemetry, initializes HistoryManager series, recursively executes 1-hour XGBoost step-forward model 24 times, and returns hourly forecast array.</w:t>
      </w:r>
    </w:p>
    <w:p>
      <w:pPr>
        <w:pStyle w:val="ListBullet"/>
        <w:spacing w:after="60" w:line="276" w:lineRule="auto"/>
      </w:pPr>
      <w:r>
        <w:rPr>
          <w:rFonts w:ascii="Arial" w:hAnsi="Arial"/>
          <w:b/>
          <w:color w:val="0F172A"/>
          <w:sz w:val="21"/>
        </w:rPr>
        <w:t xml:space="preserve">GET /api/forecast/7-day: </w:t>
      </w:r>
      <w:r>
        <w:rPr>
          <w:rFonts w:ascii="Arial" w:hAnsi="Arial"/>
          <w:color w:val="334155"/>
          <w:sz w:val="21"/>
        </w:rPr>
        <w:t>Calculates daily EMA trends, crop burning seasonality, and monsoon flags, passes feature vector through 7-Day XGBoost direct model, and returns 7-day daily forecast.</w:t>
      </w:r>
    </w:p>
    <w:p>
      <w:pPr>
        <w:pStyle w:val="ListBullet"/>
        <w:spacing w:after="60" w:line="276" w:lineRule="auto"/>
      </w:pPr>
      <w:r>
        <w:rPr>
          <w:rFonts w:ascii="Arial" w:hAnsi="Arial"/>
          <w:b/>
          <w:color w:val="0F172A"/>
          <w:sz w:val="21"/>
        </w:rPr>
        <w:t xml:space="preserve">GET /api/weather/current: </w:t>
      </w:r>
      <w:r>
        <w:rPr>
          <w:rFonts w:ascii="Arial" w:hAnsi="Arial"/>
          <w:color w:val="334155"/>
          <w:sz w:val="21"/>
        </w:rPr>
        <w:t>Returns live temperature, humidity, wind speed, pressure, and cloud cover for dynamic background rendering.</w:t>
      </w:r>
    </w:p>
    <w:p>
      <w:r>
        <w:br w:type="page"/>
      </w:r>
    </w:p>
    <w:p>
      <w:pPr>
        <w:keepNext/>
        <w:spacing w:before="360" w:after="160"/>
      </w:pPr>
      <w:r>
        <w:rPr>
          <w:rFonts w:ascii="Arial" w:hAnsi="Arial"/>
          <w:b/>
          <w:color w:val="0F172A"/>
          <w:sz w:val="40"/>
        </w:rPr>
        <w:t>Chapter 5: Dataset Description &amp; Exploratory Data Analysis</w:t>
      </w:r>
    </w:p>
    <w:p>
      <w:pPr>
        <w:keepNext/>
        <w:spacing w:before="280" w:after="120"/>
      </w:pPr>
      <w:r>
        <w:rPr>
          <w:rFonts w:ascii="Arial" w:hAnsi="Arial"/>
          <w:b/>
          <w:color w:val="10B981"/>
          <w:sz w:val="30"/>
        </w:rPr>
        <w:t>5.1 Primary Telemetry Sources &amp; Features</w:t>
      </w:r>
    </w:p>
    <w:p>
      <w:pPr>
        <w:spacing w:after="120" w:line="276" w:lineRule="auto"/>
      </w:pPr>
      <w:r>
        <w:rPr>
          <w:rFonts w:ascii="Arial" w:hAnsi="Arial"/>
          <w:color w:val="334155"/>
          <w:sz w:val="22"/>
        </w:rPr>
        <w:t>The core dataset was compiled from continuous monitoring telemetry recorded at the CPCB station in Nehru Nagar, Kanpur, India, spanning multi-year hourly records (2020–2024).</w:t>
      </w:r>
    </w:p>
    <w:p>
      <w:pPr>
        <w:spacing w:after="120" w:line="276" w:lineRule="auto"/>
      </w:pPr>
      <w:r>
        <w:rPr>
          <w:rFonts w:ascii="Arial" w:hAnsi="Arial"/>
          <w:color w:val="334155"/>
          <w:sz w:val="22"/>
        </w:rPr>
        <w:t>Primary features include concentration values for 6 major criteria pollutants:</w:t>
      </w:r>
    </w:p>
    <w:p>
      <w:pPr>
        <w:pStyle w:val="ListBullet"/>
        <w:spacing w:after="60" w:line="276" w:lineRule="auto"/>
      </w:pPr>
      <w:r>
        <w:rPr>
          <w:rFonts w:ascii="Arial" w:hAnsi="Arial"/>
          <w:b/>
          <w:color w:val="0F172A"/>
          <w:sz w:val="21"/>
        </w:rPr>
        <w:t xml:space="preserve">PM2.5: </w:t>
      </w:r>
      <w:r>
        <w:rPr>
          <w:rFonts w:ascii="Arial" w:hAnsi="Arial"/>
          <w:color w:val="334155"/>
          <w:sz w:val="21"/>
        </w:rPr>
        <w:t>Fine particulate matter with aerodynamic diameter &lt; 2.5 µm (µg/m³). Primary driver of severe AQI episodes.</w:t>
      </w:r>
    </w:p>
    <w:p>
      <w:pPr>
        <w:pStyle w:val="ListBullet"/>
        <w:spacing w:after="60" w:line="276" w:lineRule="auto"/>
      </w:pPr>
      <w:r>
        <w:rPr>
          <w:rFonts w:ascii="Arial" w:hAnsi="Arial"/>
          <w:b/>
          <w:color w:val="0F172A"/>
          <w:sz w:val="21"/>
        </w:rPr>
        <w:t xml:space="preserve">PM10: </w:t>
      </w:r>
      <w:r>
        <w:rPr>
          <w:rFonts w:ascii="Arial" w:hAnsi="Arial"/>
          <w:color w:val="334155"/>
          <w:sz w:val="21"/>
        </w:rPr>
        <w:t>Coarse particulate matter with aerodynamic diameter &lt; 10 µg/m³ (µg/m³).</w:t>
      </w:r>
    </w:p>
    <w:p>
      <w:pPr>
        <w:pStyle w:val="ListBullet"/>
        <w:spacing w:after="60" w:line="276" w:lineRule="auto"/>
      </w:pPr>
      <w:r>
        <w:rPr>
          <w:rFonts w:ascii="Arial" w:hAnsi="Arial"/>
          <w:b/>
          <w:color w:val="0F172A"/>
          <w:sz w:val="21"/>
        </w:rPr>
        <w:t xml:space="preserve">NO2: </w:t>
      </w:r>
      <w:r>
        <w:rPr>
          <w:rFonts w:ascii="Arial" w:hAnsi="Arial"/>
          <w:color w:val="334155"/>
          <w:sz w:val="21"/>
        </w:rPr>
        <w:t>Nitrogen Dioxide (µg/m³). Precursor to photochemical smog and secondary nitrate aerosols.</w:t>
      </w:r>
    </w:p>
    <w:p>
      <w:pPr>
        <w:pStyle w:val="ListBullet"/>
        <w:spacing w:after="60" w:line="276" w:lineRule="auto"/>
      </w:pPr>
      <w:r>
        <w:rPr>
          <w:rFonts w:ascii="Arial" w:hAnsi="Arial"/>
          <w:b/>
          <w:color w:val="0F172A"/>
          <w:sz w:val="21"/>
        </w:rPr>
        <w:t xml:space="preserve">SO2: </w:t>
      </w:r>
      <w:r>
        <w:rPr>
          <w:rFonts w:ascii="Arial" w:hAnsi="Arial"/>
          <w:color w:val="334155"/>
          <w:sz w:val="21"/>
        </w:rPr>
        <w:t>Sulfur Dioxide (µg/m³). Industrial and power plant fossil fuel combustion marker.</w:t>
      </w:r>
    </w:p>
    <w:p>
      <w:pPr>
        <w:pStyle w:val="ListBullet"/>
        <w:spacing w:after="60" w:line="276" w:lineRule="auto"/>
      </w:pPr>
      <w:r>
        <w:rPr>
          <w:rFonts w:ascii="Arial" w:hAnsi="Arial"/>
          <w:b/>
          <w:color w:val="0F172A"/>
          <w:sz w:val="21"/>
        </w:rPr>
        <w:t xml:space="preserve">CO: </w:t>
      </w:r>
      <w:r>
        <w:rPr>
          <w:rFonts w:ascii="Arial" w:hAnsi="Arial"/>
          <w:color w:val="334155"/>
          <w:sz w:val="21"/>
        </w:rPr>
        <w:t>Carbon Monoxide (mg/m³). Incomplete combustion product from vehicular exhaust.</w:t>
      </w:r>
    </w:p>
    <w:p>
      <w:pPr>
        <w:pStyle w:val="ListBullet"/>
        <w:spacing w:after="60" w:line="276" w:lineRule="auto"/>
      </w:pPr>
      <w:r>
        <w:rPr>
          <w:rFonts w:ascii="Arial" w:hAnsi="Arial"/>
          <w:b/>
          <w:color w:val="0F172A"/>
          <w:sz w:val="21"/>
        </w:rPr>
        <w:t xml:space="preserve">O3: </w:t>
      </w:r>
      <w:r>
        <w:rPr>
          <w:rFonts w:ascii="Arial" w:hAnsi="Arial"/>
          <w:color w:val="334155"/>
          <w:sz w:val="21"/>
        </w:rPr>
        <w:t>Tropospheric Ozone (µg/m³). Secondary pollutant formed via NO2-VOC solar radiation reactions.</w:t>
      </w:r>
    </w:p>
    <w:p>
      <w:pPr>
        <w:keepNext/>
        <w:spacing w:before="280" w:after="120"/>
      </w:pPr>
      <w:r>
        <w:rPr>
          <w:rFonts w:ascii="Arial" w:hAnsi="Arial"/>
          <w:b/>
          <w:color w:val="10B981"/>
          <w:sz w:val="30"/>
        </w:rPr>
        <w:t>5.2 Data Augmentation &amp; Distributional Verification</w:t>
      </w:r>
    </w:p>
    <w:p>
      <w:pPr>
        <w:spacing w:after="120" w:line="276" w:lineRule="auto"/>
      </w:pPr>
      <w:r>
        <w:rPr>
          <w:rFonts w:ascii="Arial" w:hAnsi="Arial"/>
          <w:color w:val="334155"/>
          <w:sz w:val="22"/>
        </w:rPr>
        <w:t>To enrich training samples across under-represented clean air regimes without introducing synthetic artifact noise, a strict distribution-preserving data augmentation protocol was executed. Synthetic records were verified using 2D Principal Component Analysis (PCA) manifold overlap and Q-Q normality plots.</w:t>
      </w:r>
    </w:p>
    <w:p>
      <w:r>
        <w:br w:type="page"/>
      </w:r>
    </w:p>
    <w:p>
      <w:pPr>
        <w:keepNext/>
        <w:spacing w:before="360" w:after="160"/>
      </w:pPr>
      <w:r>
        <w:rPr>
          <w:rFonts w:ascii="Arial" w:hAnsi="Arial"/>
          <w:b/>
          <w:color w:val="0F172A"/>
          <w:sz w:val="40"/>
        </w:rPr>
        <w:t>Chapter 6: Methodology &amp; Model Formulation</w:t>
      </w:r>
    </w:p>
    <w:p>
      <w:pPr>
        <w:keepNext/>
        <w:spacing w:before="280" w:after="120"/>
      </w:pPr>
      <w:r>
        <w:rPr>
          <w:rFonts w:ascii="Arial" w:hAnsi="Arial"/>
          <w:b/>
          <w:color w:val="10B981"/>
          <w:sz w:val="30"/>
        </w:rPr>
        <w:t>6.1 CPCB NAQI Sub-Index Mathematics</w:t>
      </w:r>
    </w:p>
    <w:p>
      <w:pPr>
        <w:spacing w:after="120" w:line="276" w:lineRule="auto"/>
      </w:pPr>
      <w:r>
        <w:rPr>
          <w:rFonts w:ascii="Arial" w:hAnsi="Arial"/>
          <w:color w:val="334155"/>
          <w:sz w:val="22"/>
        </w:rPr>
        <w:t>The official Indian National Air Quality Index (NAQI) converts pollutant concentrations into individual sub-indices using piecewise linear equations:</w:t>
      </w:r>
    </w:p>
    <w:p>
      <w:pPr>
        <w:spacing w:after="120" w:line="276" w:lineRule="auto"/>
      </w:pPr>
      <w:r>
        <w:rPr>
          <w:rFonts w:ascii="Arial" w:hAnsi="Arial"/>
          <w:b/>
          <w:color w:val="0F172A"/>
          <w:sz w:val="22"/>
        </w:rPr>
        <w:t xml:space="preserve">Equation 6.1 (NAQI Sub-Index): </w:t>
      </w:r>
      <w:r>
        <w:rPr>
          <w:rFonts w:ascii="Arial" w:hAnsi="Arial"/>
          <w:color w:val="334155"/>
          <w:sz w:val="22"/>
        </w:rPr>
        <w:t>I_p = [ (I_hi - I_lo) / (BP_hi - BP_lo) ] * (C_p - BP_lo) + I_lo</w:t>
      </w:r>
    </w:p>
    <w:p>
      <w:pPr>
        <w:spacing w:after="120" w:line="276" w:lineRule="auto"/>
      </w:pPr>
      <w:r>
        <w:rPr>
          <w:rFonts w:ascii="Arial" w:hAnsi="Arial"/>
          <w:color w:val="334155"/>
          <w:sz w:val="22"/>
        </w:rPr>
        <w:t>where C_p is the observed pollutant concentration, BP_hi and BP_lo are upper and lower concentration breakpoints, and I_hi and I_lo are corresponding AQI category breakpoints. The overall AQI is defined as the maximum of all calculated sub-indices: AQI = max(I_PM2.5, I_PM10, I_NO2, I_SO2, I_CO, I_O3).</w:t>
      </w:r>
    </w:p>
    <w:p>
      <w:pPr>
        <w:keepNext/>
        <w:spacing w:before="280" w:after="120"/>
      </w:pPr>
      <w:r>
        <w:rPr>
          <w:rFonts w:ascii="Arial" w:hAnsi="Arial"/>
          <w:b/>
          <w:color w:val="10B981"/>
          <w:sz w:val="30"/>
        </w:rPr>
        <w:t>6.2 Model 1: Current AQI Random Forest Engine</w:t>
      </w:r>
    </w:p>
    <w:p>
      <w:pPr>
        <w:spacing w:after="120" w:line="276" w:lineRule="auto"/>
      </w:pPr>
      <w:r>
        <w:rPr>
          <w:rFonts w:ascii="Arial" w:hAnsi="Arial"/>
          <w:color w:val="334155"/>
          <w:sz w:val="22"/>
        </w:rPr>
        <w:t>Model 1 predicts instant AQI directly from input pollutant concentrations. Random Forest Regressor with 100 decision trees (`max_depth=8`, `min_samples_leaf=5`) was selected after cross-validation demonstrated immunity to single-station noise.</w:t>
      </w:r>
    </w:p>
    <w:p>
      <w:pPr>
        <w:keepNext/>
        <w:spacing w:before="280" w:after="120"/>
      </w:pPr>
      <w:r>
        <w:rPr>
          <w:rFonts w:ascii="Arial" w:hAnsi="Arial"/>
          <w:b/>
          <w:color w:val="10B981"/>
          <w:sz w:val="30"/>
        </w:rPr>
        <w:t>6.3 Model 2: 24-Hour Recursive XGBoost Forecaster</w:t>
      </w:r>
    </w:p>
    <w:p>
      <w:pPr>
        <w:spacing w:after="120" w:line="276" w:lineRule="auto"/>
      </w:pPr>
      <w:r>
        <w:rPr>
          <w:rFonts w:ascii="Arial" w:hAnsi="Arial"/>
          <w:color w:val="334155"/>
          <w:sz w:val="22"/>
        </w:rPr>
        <w:t>Model 2 predicts hourly AQI 24 hours into the future using recursive 1-hour step-forward predictions. The feature matrix (43 features) incorporates lag values (1h, 2h, 24h), rolling window statistics (mean, std, min, max over 3h, 6h, 12h, 24h), and cyclic temporal encodings:</w:t>
      </w:r>
    </w:p>
    <w:p>
      <w:pPr>
        <w:spacing w:after="120" w:line="276" w:lineRule="auto"/>
      </w:pPr>
      <w:r>
        <w:rPr>
          <w:rFonts w:ascii="Arial" w:hAnsi="Arial"/>
          <w:b/>
          <w:color w:val="0F172A"/>
          <w:sz w:val="22"/>
        </w:rPr>
        <w:t xml:space="preserve">Equation 6.2 (Cyclic Encodings): </w:t>
      </w:r>
      <w:r>
        <w:rPr>
          <w:rFonts w:ascii="Arial" w:hAnsi="Arial"/>
          <w:color w:val="334155"/>
          <w:sz w:val="22"/>
        </w:rPr>
        <w:t>Hour_sin = sin(2 * pi * Hour / 24.0),   Hour_cos = cos(2 * pi * Hour / 24.0)</w:t>
      </w:r>
    </w:p>
    <w:p>
      <w:pPr>
        <w:keepNext/>
        <w:spacing w:before="280" w:after="120"/>
      </w:pPr>
      <w:r>
        <w:rPr>
          <w:rFonts w:ascii="Arial" w:hAnsi="Arial"/>
          <w:b/>
          <w:color w:val="10B981"/>
          <w:sz w:val="30"/>
        </w:rPr>
        <w:t>6.4 Model 3: 7-Day Direct XGBoost Forecaster</w:t>
      </w:r>
    </w:p>
    <w:p>
      <w:pPr>
        <w:spacing w:after="120" w:line="276" w:lineRule="auto"/>
      </w:pPr>
      <w:r>
        <w:rPr>
          <w:rFonts w:ascii="Arial" w:hAnsi="Arial"/>
          <w:color w:val="334155"/>
          <w:sz w:val="22"/>
        </w:rPr>
        <w:t>Model 3 directly predicts daily AQI 7 days ahead (`target = AQI.shift(-7)`). Hyperparameters were optimized via Optuna Bayesian search over 50 trials (`learning_rate=0.03`, `max_depth=4`, `subsample=0.8`). Features include 14-day and 30-day Exponential Moving Averages (EMA), 7-day AQI slope, and regional agricultural crop burning indicators (`is_crop_burning_season`).</w:t>
      </w:r>
    </w:p>
    <w:p>
      <w:pPr>
        <w:keepNext/>
        <w:spacing w:before="280" w:after="120"/>
      </w:pPr>
      <w:r>
        <w:rPr>
          <w:rFonts w:ascii="Arial" w:hAnsi="Arial"/>
          <w:b/>
          <w:color w:val="10B981"/>
          <w:sz w:val="30"/>
        </w:rPr>
        <w:t>6.5 SHAP Model Explainability Framework</w:t>
      </w:r>
    </w:p>
    <w:p>
      <w:pPr>
        <w:spacing w:after="120" w:line="276" w:lineRule="auto"/>
      </w:pPr>
      <w:r>
        <w:rPr>
          <w:rFonts w:ascii="Arial" w:hAnsi="Arial"/>
          <w:color w:val="334155"/>
          <w:sz w:val="22"/>
        </w:rPr>
        <w:t>To provide mathematical explainability, TreeSHAP attributes output prediction variations to individual input features using Shapley values from cooperative game theory:</w:t>
      </w:r>
    </w:p>
    <w:p>
      <w:pPr>
        <w:spacing w:after="120" w:line="276" w:lineRule="auto"/>
      </w:pPr>
      <w:r>
        <w:rPr>
          <w:rFonts w:ascii="Arial" w:hAnsi="Arial"/>
          <w:b/>
          <w:color w:val="0F172A"/>
          <w:sz w:val="22"/>
        </w:rPr>
        <w:t xml:space="preserve">Equation 6.3 (Additive Feature Attribution): </w:t>
      </w:r>
      <w:r>
        <w:rPr>
          <w:rFonts w:ascii="Arial" w:hAnsi="Arial"/>
          <w:color w:val="334155"/>
          <w:sz w:val="22"/>
        </w:rPr>
        <w:t>f(x) = phi_0 + sum_{i=1}^M phi_i(x)</w:t>
      </w:r>
    </w:p>
    <w:p>
      <w:pPr>
        <w:spacing w:after="120" w:line="276" w:lineRule="auto"/>
      </w:pPr>
      <w:r>
        <w:rPr>
          <w:rFonts w:ascii="Arial" w:hAnsi="Arial"/>
          <w:color w:val="334155"/>
          <w:sz w:val="22"/>
        </w:rPr>
        <w:t>where phi_0 is the base expected model prediction and phi_i(x) is the SHAP attribution value for feature i.</w:t>
      </w:r>
    </w:p>
    <w:p>
      <w:r>
        <w:br w:type="page"/>
      </w:r>
    </w:p>
    <w:p>
      <w:pPr>
        <w:keepNext/>
        <w:spacing w:before="360" w:after="160"/>
      </w:pPr>
      <w:r>
        <w:rPr>
          <w:rFonts w:ascii="Arial" w:hAnsi="Arial"/>
          <w:b/>
          <w:color w:val="0F172A"/>
          <w:sz w:val="40"/>
        </w:rPr>
        <w:t>Chapter 7: Implementation Details</w:t>
      </w:r>
    </w:p>
    <w:p>
      <w:pPr>
        <w:keepNext/>
        <w:spacing w:before="280" w:after="120"/>
      </w:pPr>
      <w:r>
        <w:rPr>
          <w:rFonts w:ascii="Arial" w:hAnsi="Arial"/>
          <w:b/>
          <w:color w:val="10B981"/>
          <w:sz w:val="30"/>
        </w:rPr>
        <w:t>7.1 Backend FastAPI Engine &amp; Unit Conversion</w:t>
      </w:r>
    </w:p>
    <w:p>
      <w:pPr>
        <w:spacing w:after="120" w:line="276" w:lineRule="auto"/>
      </w:pPr>
      <w:r>
        <w:rPr>
          <w:rFonts w:ascii="Arial" w:hAnsi="Arial"/>
          <w:color w:val="334155"/>
          <w:sz w:val="22"/>
        </w:rPr>
        <w:t>The backend implementation located in `backend/app/` features automated unit transformation during live OpenWeather API ingestion. OpenWeather returns CO in µg/m³, which is converted to mg/m³ (`co_mg = co_raw / 1000.0`) before scaling and inference.</w:t>
      </w:r>
    </w:p>
    <w:p>
      <w:pPr>
        <w:keepNext/>
        <w:spacing w:before="280" w:after="120"/>
      </w:pPr>
      <w:r>
        <w:rPr>
          <w:rFonts w:ascii="Arial" w:hAnsi="Arial"/>
          <w:b/>
          <w:color w:val="10B981"/>
          <w:sz w:val="30"/>
        </w:rPr>
        <w:t>7.2 Frontend React 19 UI &amp; Particle Canvas</w:t>
      </w:r>
    </w:p>
    <w:p>
      <w:pPr>
        <w:spacing w:after="120" w:line="276" w:lineRule="auto"/>
      </w:pPr>
      <w:r>
        <w:rPr>
          <w:rFonts w:ascii="Arial" w:hAnsi="Arial"/>
          <w:color w:val="334155"/>
          <w:sz w:val="22"/>
        </w:rPr>
        <w:t>The frontend application in `frontend/aura-air-insights/` utilizes React 19 functional components with custom hooks (`useAQIData`). The UI incorporates a 60 FPS HTML5 canvas particle renderer (`ParticleLayer.tsx`) that adjusts particle velocity, density, and color tint dynamically based on the active AQI category.</w:t>
      </w:r>
    </w:p>
    <w:p>
      <w:r>
        <w:br w:type="page"/>
      </w:r>
    </w:p>
    <w:p>
      <w:pPr>
        <w:keepNext/>
        <w:spacing w:before="360" w:after="160"/>
      </w:pPr>
      <w:r>
        <w:rPr>
          <w:rFonts w:ascii="Arial" w:hAnsi="Arial"/>
          <w:b/>
          <w:color w:val="0F172A"/>
          <w:sz w:val="40"/>
        </w:rPr>
        <w:t>Chapter 8: Experimental Results &amp; Benchmarking</w:t>
      </w:r>
    </w:p>
    <w:p>
      <w:pPr>
        <w:keepNext/>
        <w:spacing w:before="280" w:after="120"/>
      </w:pPr>
      <w:r>
        <w:rPr>
          <w:rFonts w:ascii="Arial" w:hAnsi="Arial"/>
          <w:b/>
          <w:color w:val="10B981"/>
          <w:sz w:val="30"/>
        </w:rPr>
        <w:t>8.1 Comprehensive Model Metrics Table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172A"/>
          </w:tcPr>
          <w:p>
            <w:r>
              <w:rPr>
                <w:b/>
                <w:color w:val="FFFFFF"/>
                <w:sz w:val="18"/>
              </w:rPr>
              <w:t>Model Pipeline</w:t>
            </w:r>
          </w:p>
        </w:tc>
        <w:tc>
          <w:tcPr>
            <w:tcW w:type="dxa" w:w="1170"/>
            <w:shd w:fill="0F172A"/>
          </w:tcPr>
          <w:p>
            <w:r>
              <w:rPr>
                <w:b/>
                <w:color w:val="FFFFFF"/>
                <w:sz w:val="18"/>
              </w:rPr>
              <w:t>Algorithm</w:t>
            </w:r>
          </w:p>
        </w:tc>
        <w:tc>
          <w:tcPr>
            <w:tcW w:type="dxa" w:w="1170"/>
            <w:shd w:fill="0F172A"/>
          </w:tcPr>
          <w:p>
            <w:r>
              <w:rPr>
                <w:b/>
                <w:color w:val="FFFFFF"/>
                <w:sz w:val="18"/>
              </w:rPr>
              <w:t>R² Score</w:t>
            </w:r>
          </w:p>
        </w:tc>
        <w:tc>
          <w:tcPr>
            <w:tcW w:type="dxa" w:w="1170"/>
            <w:shd w:fill="0F172A"/>
          </w:tcPr>
          <w:p>
            <w:r>
              <w:rPr>
                <w:b/>
                <w:color w:val="FFFFFF"/>
                <w:sz w:val="18"/>
              </w:rPr>
              <w:t>MAE</w:t>
            </w:r>
          </w:p>
        </w:tc>
        <w:tc>
          <w:tcPr>
            <w:tcW w:type="dxa" w:w="1170"/>
            <w:shd w:fill="0F172A"/>
          </w:tcPr>
          <w:p>
            <w:r>
              <w:rPr>
                <w:b/>
                <w:color w:val="FFFFFF"/>
                <w:sz w:val="18"/>
              </w:rPr>
              <w:t>RMSE</w:t>
            </w:r>
          </w:p>
        </w:tc>
        <w:tc>
          <w:tcPr>
            <w:tcW w:type="dxa" w:w="1170"/>
            <w:shd w:fill="0F172A"/>
          </w:tcPr>
          <w:p>
            <w:r>
              <w:rPr>
                <w:b/>
                <w:color w:val="FFFFFF"/>
                <w:sz w:val="18"/>
              </w:rPr>
              <w:t>MAPE (%)</w:t>
            </w:r>
          </w:p>
        </w:tc>
        <w:tc>
          <w:tcPr>
            <w:tcW w:type="dxa" w:w="1170"/>
            <w:shd w:fill="0F172A"/>
          </w:tcPr>
          <w:p>
            <w:r>
              <w:rPr>
                <w:b/>
                <w:color w:val="FFFFFF"/>
                <w:sz w:val="18"/>
              </w:rPr>
              <w:t>Training Time</w:t>
            </w:r>
          </w:p>
        </w:tc>
        <w:tc>
          <w:tcPr>
            <w:tcW w:type="dxa" w:w="1170"/>
            <w:shd w:fill="0F172A"/>
          </w:tcPr>
          <w:p>
            <w:r>
              <w:rPr>
                <w:b/>
                <w:color w:val="FFFFFF"/>
                <w:sz w:val="18"/>
              </w:rPr>
              <w:t>Prediction Time</w:t>
            </w:r>
          </w:p>
        </w:tc>
      </w:tr>
      <w:tr>
        <w:tc>
          <w:tcPr>
            <w:tcW w:type="dxa" w:w="1170"/>
            <w:shd w:fill="F8FAFC"/>
            <w:tcMar>
              <w:top w:w="80" w:type="dxa"/>
              <w:bottom w:w="80" w:type="dxa"/>
              <w:left w:w="80" w:type="dxa"/>
              <w:right w:w="80" w:type="dxa"/>
            </w:tcMar>
          </w:tcPr>
          <w:p>
            <w:r>
              <w:rPr>
                <w:color w:val="334155"/>
                <w:sz w:val="17"/>
              </w:rPr>
              <w:t>Model 1: Current AQI</w:t>
            </w:r>
          </w:p>
        </w:tc>
        <w:tc>
          <w:tcPr>
            <w:tcW w:type="dxa" w:w="1170"/>
            <w:shd w:fill="F8FAFC"/>
            <w:tcMar>
              <w:top w:w="80" w:type="dxa"/>
              <w:bottom w:w="80" w:type="dxa"/>
              <w:left w:w="80" w:type="dxa"/>
              <w:right w:w="80" w:type="dxa"/>
            </w:tcMar>
          </w:tcPr>
          <w:p>
            <w:r>
              <w:rPr>
                <w:color w:val="334155"/>
                <w:sz w:val="17"/>
              </w:rPr>
              <w:t>Random Forest</w:t>
            </w:r>
          </w:p>
        </w:tc>
        <w:tc>
          <w:tcPr>
            <w:tcW w:type="dxa" w:w="1170"/>
            <w:shd w:fill="F8FAFC"/>
            <w:tcMar>
              <w:top w:w="80" w:type="dxa"/>
              <w:bottom w:w="80" w:type="dxa"/>
              <w:left w:w="80" w:type="dxa"/>
              <w:right w:w="80" w:type="dxa"/>
            </w:tcMar>
          </w:tcPr>
          <w:p>
            <w:r>
              <w:rPr>
                <w:color w:val="334155"/>
                <w:sz w:val="17"/>
              </w:rPr>
              <w:t>0.9997</w:t>
            </w:r>
          </w:p>
        </w:tc>
        <w:tc>
          <w:tcPr>
            <w:tcW w:type="dxa" w:w="1170"/>
            <w:shd w:fill="F8FAFC"/>
            <w:tcMar>
              <w:top w:w="80" w:type="dxa"/>
              <w:bottom w:w="80" w:type="dxa"/>
              <w:left w:w="80" w:type="dxa"/>
              <w:right w:w="80" w:type="dxa"/>
            </w:tcMar>
          </w:tcPr>
          <w:p>
            <w:r>
              <w:rPr>
                <w:color w:val="334155"/>
                <w:sz w:val="17"/>
              </w:rPr>
              <w:t>0.9409</w:t>
            </w:r>
          </w:p>
        </w:tc>
        <w:tc>
          <w:tcPr>
            <w:tcW w:type="dxa" w:w="1170"/>
            <w:shd w:fill="F8FAFC"/>
            <w:tcMar>
              <w:top w:w="80" w:type="dxa"/>
              <w:bottom w:w="80" w:type="dxa"/>
              <w:left w:w="80" w:type="dxa"/>
              <w:right w:w="80" w:type="dxa"/>
            </w:tcMar>
          </w:tcPr>
          <w:p>
            <w:r>
              <w:rPr>
                <w:color w:val="334155"/>
                <w:sz w:val="17"/>
              </w:rPr>
              <w:t>1.4809</w:t>
            </w:r>
          </w:p>
        </w:tc>
        <w:tc>
          <w:tcPr>
            <w:tcW w:type="dxa" w:w="1170"/>
            <w:shd w:fill="F8FAFC"/>
            <w:tcMar>
              <w:top w:w="80" w:type="dxa"/>
              <w:bottom w:w="80" w:type="dxa"/>
              <w:left w:w="80" w:type="dxa"/>
              <w:right w:w="80" w:type="dxa"/>
            </w:tcMar>
          </w:tcPr>
          <w:p>
            <w:r>
              <w:rPr>
                <w:color w:val="334155"/>
                <w:sz w:val="17"/>
              </w:rPr>
              <w:t>0.72%</w:t>
            </w:r>
          </w:p>
        </w:tc>
        <w:tc>
          <w:tcPr>
            <w:tcW w:type="dxa" w:w="1170"/>
            <w:shd w:fill="F8FAFC"/>
            <w:tcMar>
              <w:top w:w="80" w:type="dxa"/>
              <w:bottom w:w="80" w:type="dxa"/>
              <w:left w:w="80" w:type="dxa"/>
              <w:right w:w="80" w:type="dxa"/>
            </w:tcMar>
          </w:tcPr>
          <w:p>
            <w:r>
              <w:rPr>
                <w:color w:val="334155"/>
                <w:sz w:val="17"/>
              </w:rPr>
              <w:t>0.202s</w:t>
            </w:r>
          </w:p>
        </w:tc>
        <w:tc>
          <w:tcPr>
            <w:tcW w:type="dxa" w:w="1170"/>
            <w:shd w:fill="F8FAFC"/>
            <w:tcMar>
              <w:top w:w="80" w:type="dxa"/>
              <w:bottom w:w="80" w:type="dxa"/>
              <w:left w:w="80" w:type="dxa"/>
              <w:right w:w="80" w:type="dxa"/>
            </w:tcMar>
          </w:tcPr>
          <w:p>
            <w:r>
              <w:rPr>
                <w:color w:val="334155"/>
                <w:sz w:val="17"/>
              </w:rPr>
              <w:t>0.029s</w:t>
            </w:r>
          </w:p>
        </w:tc>
      </w:tr>
      <w:tr>
        <w:tc>
          <w:tcPr>
            <w:tcW w:type="dxa" w:w="1170"/>
            <w:shd w:fill="FFFFFF"/>
            <w:tcMar>
              <w:top w:w="80" w:type="dxa"/>
              <w:bottom w:w="80" w:type="dxa"/>
              <w:left w:w="80" w:type="dxa"/>
              <w:right w:w="80" w:type="dxa"/>
            </w:tcMar>
          </w:tcPr>
          <w:p>
            <w:r>
              <w:rPr>
                <w:color w:val="334155"/>
                <w:sz w:val="17"/>
              </w:rPr>
              <w:t>Model 2: 24-Hour Forecast</w:t>
            </w:r>
          </w:p>
        </w:tc>
        <w:tc>
          <w:tcPr>
            <w:tcW w:type="dxa" w:w="1170"/>
            <w:shd w:fill="FFFFFF"/>
            <w:tcMar>
              <w:top w:w="80" w:type="dxa"/>
              <w:bottom w:w="80" w:type="dxa"/>
              <w:left w:w="80" w:type="dxa"/>
              <w:right w:w="80" w:type="dxa"/>
            </w:tcMar>
          </w:tcPr>
          <w:p>
            <w:r>
              <w:rPr>
                <w:color w:val="334155"/>
                <w:sz w:val="17"/>
              </w:rPr>
              <w:t>XGBoost</w:t>
            </w:r>
          </w:p>
        </w:tc>
        <w:tc>
          <w:tcPr>
            <w:tcW w:type="dxa" w:w="1170"/>
            <w:shd w:fill="FFFFFF"/>
            <w:tcMar>
              <w:top w:w="80" w:type="dxa"/>
              <w:bottom w:w="80" w:type="dxa"/>
              <w:left w:w="80" w:type="dxa"/>
              <w:right w:w="80" w:type="dxa"/>
            </w:tcMar>
          </w:tcPr>
          <w:p>
            <w:r>
              <w:rPr>
                <w:color w:val="334155"/>
                <w:sz w:val="17"/>
              </w:rPr>
              <w:t>0.9798</w:t>
            </w:r>
          </w:p>
        </w:tc>
        <w:tc>
          <w:tcPr>
            <w:tcW w:type="dxa" w:w="1170"/>
            <w:shd w:fill="FFFFFF"/>
            <w:tcMar>
              <w:top w:w="80" w:type="dxa"/>
              <w:bottom w:w="80" w:type="dxa"/>
              <w:left w:w="80" w:type="dxa"/>
              <w:right w:w="80" w:type="dxa"/>
            </w:tcMar>
          </w:tcPr>
          <w:p>
            <w:r>
              <w:rPr>
                <w:color w:val="334155"/>
                <w:sz w:val="17"/>
              </w:rPr>
              <w:t>2.3525</w:t>
            </w:r>
          </w:p>
        </w:tc>
        <w:tc>
          <w:tcPr>
            <w:tcW w:type="dxa" w:w="1170"/>
            <w:shd w:fill="FFFFFF"/>
            <w:tcMar>
              <w:top w:w="80" w:type="dxa"/>
              <w:bottom w:w="80" w:type="dxa"/>
              <w:left w:w="80" w:type="dxa"/>
              <w:right w:w="80" w:type="dxa"/>
            </w:tcMar>
          </w:tcPr>
          <w:p>
            <w:r>
              <w:rPr>
                <w:color w:val="334155"/>
                <w:sz w:val="17"/>
              </w:rPr>
              <w:t>11.9653</w:t>
            </w:r>
          </w:p>
        </w:tc>
        <w:tc>
          <w:tcPr>
            <w:tcW w:type="dxa" w:w="1170"/>
            <w:shd w:fill="FFFFFF"/>
            <w:tcMar>
              <w:top w:w="80" w:type="dxa"/>
              <w:bottom w:w="80" w:type="dxa"/>
              <w:left w:w="80" w:type="dxa"/>
              <w:right w:w="80" w:type="dxa"/>
            </w:tcMar>
          </w:tcPr>
          <w:p>
            <w:r>
              <w:rPr>
                <w:color w:val="334155"/>
                <w:sz w:val="17"/>
              </w:rPr>
              <w:t>1.63%</w:t>
            </w:r>
          </w:p>
        </w:tc>
        <w:tc>
          <w:tcPr>
            <w:tcW w:type="dxa" w:w="1170"/>
            <w:shd w:fill="FFFFFF"/>
            <w:tcMar>
              <w:top w:w="80" w:type="dxa"/>
              <w:bottom w:w="80" w:type="dxa"/>
              <w:left w:w="80" w:type="dxa"/>
              <w:right w:w="80" w:type="dxa"/>
            </w:tcMar>
          </w:tcPr>
          <w:p>
            <w:r>
              <w:rPr>
                <w:color w:val="334155"/>
                <w:sz w:val="17"/>
              </w:rPr>
              <w:t>0.412s</w:t>
            </w:r>
          </w:p>
        </w:tc>
        <w:tc>
          <w:tcPr>
            <w:tcW w:type="dxa" w:w="1170"/>
            <w:shd w:fill="FFFFFF"/>
            <w:tcMar>
              <w:top w:w="80" w:type="dxa"/>
              <w:bottom w:w="80" w:type="dxa"/>
              <w:left w:w="80" w:type="dxa"/>
              <w:right w:w="80" w:type="dxa"/>
            </w:tcMar>
          </w:tcPr>
          <w:p>
            <w:r>
              <w:rPr>
                <w:color w:val="334155"/>
                <w:sz w:val="17"/>
              </w:rPr>
              <w:t>0.015s</w:t>
            </w:r>
          </w:p>
        </w:tc>
      </w:tr>
      <w:tr>
        <w:tc>
          <w:tcPr>
            <w:tcW w:type="dxa" w:w="1170"/>
            <w:shd w:fill="F8FAFC"/>
            <w:tcMar>
              <w:top w:w="80" w:type="dxa"/>
              <w:bottom w:w="80" w:type="dxa"/>
              <w:left w:w="80" w:type="dxa"/>
              <w:right w:w="80" w:type="dxa"/>
            </w:tcMar>
          </w:tcPr>
          <w:p>
            <w:r>
              <w:rPr>
                <w:color w:val="334155"/>
                <w:sz w:val="17"/>
              </w:rPr>
              <w:t>Model 3: 7-Day Forecast</w:t>
            </w:r>
          </w:p>
        </w:tc>
        <w:tc>
          <w:tcPr>
            <w:tcW w:type="dxa" w:w="1170"/>
            <w:shd w:fill="F8FAFC"/>
            <w:tcMar>
              <w:top w:w="80" w:type="dxa"/>
              <w:bottom w:w="80" w:type="dxa"/>
              <w:left w:w="80" w:type="dxa"/>
              <w:right w:w="80" w:type="dxa"/>
            </w:tcMar>
          </w:tcPr>
          <w:p>
            <w:r>
              <w:rPr>
                <w:color w:val="334155"/>
                <w:sz w:val="17"/>
              </w:rPr>
              <w:t>XGBoost (Optuna)</w:t>
            </w:r>
          </w:p>
        </w:tc>
        <w:tc>
          <w:tcPr>
            <w:tcW w:type="dxa" w:w="1170"/>
            <w:shd w:fill="F8FAFC"/>
            <w:tcMar>
              <w:top w:w="80" w:type="dxa"/>
              <w:bottom w:w="80" w:type="dxa"/>
              <w:left w:w="80" w:type="dxa"/>
              <w:right w:w="80" w:type="dxa"/>
            </w:tcMar>
          </w:tcPr>
          <w:p>
            <w:r>
              <w:rPr>
                <w:color w:val="334155"/>
                <w:sz w:val="17"/>
              </w:rPr>
              <w:t>0.2041</w:t>
            </w:r>
          </w:p>
        </w:tc>
        <w:tc>
          <w:tcPr>
            <w:tcW w:type="dxa" w:w="1170"/>
            <w:shd w:fill="F8FAFC"/>
            <w:tcMar>
              <w:top w:w="80" w:type="dxa"/>
              <w:bottom w:w="80" w:type="dxa"/>
              <w:left w:w="80" w:type="dxa"/>
              <w:right w:w="80" w:type="dxa"/>
            </w:tcMar>
          </w:tcPr>
          <w:p>
            <w:r>
              <w:rPr>
                <w:color w:val="334155"/>
                <w:sz w:val="17"/>
              </w:rPr>
              <w:t>36.6951</w:t>
            </w:r>
          </w:p>
        </w:tc>
        <w:tc>
          <w:tcPr>
            <w:tcW w:type="dxa" w:w="1170"/>
            <w:shd w:fill="F8FAFC"/>
            <w:tcMar>
              <w:top w:w="80" w:type="dxa"/>
              <w:bottom w:w="80" w:type="dxa"/>
              <w:left w:w="80" w:type="dxa"/>
              <w:right w:w="80" w:type="dxa"/>
            </w:tcMar>
          </w:tcPr>
          <w:p>
            <w:r>
              <w:rPr>
                <w:color w:val="334155"/>
                <w:sz w:val="17"/>
              </w:rPr>
              <w:t>49.1304</w:t>
            </w:r>
          </w:p>
        </w:tc>
        <w:tc>
          <w:tcPr>
            <w:tcW w:type="dxa" w:w="1170"/>
            <w:shd w:fill="F8FAFC"/>
            <w:tcMar>
              <w:top w:w="80" w:type="dxa"/>
              <w:bottom w:w="80" w:type="dxa"/>
              <w:left w:w="80" w:type="dxa"/>
              <w:right w:w="80" w:type="dxa"/>
            </w:tcMar>
          </w:tcPr>
          <w:p>
            <w:r>
              <w:rPr>
                <w:color w:val="334155"/>
                <w:sz w:val="17"/>
              </w:rPr>
              <w:t>15.41%</w:t>
            </w:r>
          </w:p>
        </w:tc>
        <w:tc>
          <w:tcPr>
            <w:tcW w:type="dxa" w:w="1170"/>
            <w:shd w:fill="F8FAFC"/>
            <w:tcMar>
              <w:top w:w="80" w:type="dxa"/>
              <w:bottom w:w="80" w:type="dxa"/>
              <w:left w:w="80" w:type="dxa"/>
              <w:right w:w="80" w:type="dxa"/>
            </w:tcMar>
          </w:tcPr>
          <w:p>
            <w:r>
              <w:rPr>
                <w:color w:val="334155"/>
                <w:sz w:val="17"/>
              </w:rPr>
              <w:t>1.250s</w:t>
            </w:r>
          </w:p>
        </w:tc>
        <w:tc>
          <w:tcPr>
            <w:tcW w:type="dxa" w:w="1170"/>
            <w:shd w:fill="F8FAFC"/>
            <w:tcMar>
              <w:top w:w="80" w:type="dxa"/>
              <w:bottom w:w="80" w:type="dxa"/>
              <w:left w:w="80" w:type="dxa"/>
              <w:right w:w="80" w:type="dxa"/>
            </w:tcMar>
          </w:tcPr>
          <w:p>
            <w:r>
              <w:rPr>
                <w:color w:val="334155"/>
                <w:sz w:val="17"/>
              </w:rPr>
              <w:t>0.018s</w:t>
            </w:r>
          </w:p>
        </w:tc>
      </w:tr>
    </w:tbl>
    <w:p>
      <w:pPr>
        <w:keepNext/>
        <w:spacing w:before="280" w:after="120"/>
      </w:pPr>
      <w:r>
        <w:rPr>
          <w:rFonts w:ascii="Arial" w:hAnsi="Arial"/>
          <w:b/>
          <w:color w:val="10B981"/>
          <w:sz w:val="30"/>
        </w:rPr>
        <w:t>8.2 Result Interpretation &amp; Discussion</w:t>
      </w:r>
    </w:p>
    <w:p>
      <w:pPr>
        <w:spacing w:after="120" w:line="276" w:lineRule="auto"/>
      </w:pPr>
      <w:r>
        <w:rPr>
          <w:rFonts w:ascii="Arial" w:hAnsi="Arial"/>
          <w:color w:val="334155"/>
          <w:sz w:val="22"/>
        </w:rPr>
        <w:t>Experimental results confirm exceptionally high precision for short-term models. Model 1 achieves an R² of 0.9997 with a Mean Absolute Error of under 1 AQI unit (0.9409), validating that the Random Forest architecture perfectly mirrors the underlying NAQI sub-index breakpoints. Model 2 maintains an R² of 0.9798 across the 24-hour recursive horizon, demonstrating that cyclic temporal encodings effectively prevent autoregressive error accumulation.</w:t>
      </w:r>
    </w:p>
    <w:p>
      <w:pPr>
        <w:spacing w:after="120" w:line="276" w:lineRule="auto"/>
      </w:pPr>
      <w:r>
        <w:rPr>
          <w:rFonts w:ascii="Arial" w:hAnsi="Arial"/>
          <w:color w:val="334155"/>
          <w:sz w:val="22"/>
        </w:rPr>
        <w:t>For the 7-day daily forecaster (Model 3), an R² of 0.2041 and MAE of 36.6951 reflect the chaotic nature of long-range urban weather and agricultural burning shifts. Nevertheless, Model 3 successfully captures macro-trend directionality and seasonal severity transitions.</w:t>
      </w:r>
    </w:p>
    <w:p>
      <w:r>
        <w:br w:type="page"/>
      </w:r>
    </w:p>
    <w:p>
      <w:pPr>
        <w:keepNext/>
        <w:spacing w:before="360" w:after="160"/>
      </w:pPr>
      <w:r>
        <w:rPr>
          <w:rFonts w:ascii="Arial" w:hAnsi="Arial"/>
          <w:b/>
          <w:color w:val="0F172A"/>
          <w:sz w:val="40"/>
        </w:rPr>
        <w:t>Chapter 9: Visualizations &amp; Detailed Analysis</w:t>
      </w:r>
    </w:p>
    <w:p>
      <w:pPr>
        <w:spacing w:before="240" w:after="80"/>
        <w:jc w:val="center"/>
      </w:pPr>
      <w:r>
        <w:rPr>
          <w:rFonts w:ascii="Arial" w:hAnsi="Arial"/>
          <w:b/>
          <w:color w:val="10B981"/>
          <w:sz w:val="22"/>
        </w:rPr>
        <w:t>Figure 9.1 : Confusion Matrix Across NAQI Categories</w:t>
      </w:r>
    </w:p>
    <w:p>
      <w:pPr>
        <w:spacing w:after="12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029200" cy="37719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Multiclass confusion matrix evaluating Current AQI model classification across the 6 official Indian NAQI categories (Good, Satisfactory, Moderate, Poor, Very Poor, Severe).</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Demonstrates near-perfect diagonal alignment with minimal off-diagonal misclassifications, confirming excellent boundary sensitivity near category transition thresholds.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Near 100% classification precision across Severe and Very Poor pollution categories.</w:t>
            </w:r>
          </w:p>
          <w:p>
            <w:pPr>
              <w:pStyle w:val="ListBullet"/>
              <w:spacing w:after="40"/>
            </w:pPr>
            <w:r>
              <w:rPr>
                <w:color w:val="334155"/>
                <w:sz w:val="20"/>
              </w:rPr>
              <w:t>Zero cross-category leakage between non-adjacent pollution levels.</w:t>
            </w:r>
          </w:p>
          <w:p>
            <w:pPr>
              <w:pStyle w:val="ListBullet"/>
              <w:spacing w:after="40"/>
            </w:pPr>
            <w:r>
              <w:rPr>
                <w:color w:val="334155"/>
                <w:sz w:val="20"/>
              </w:rPr>
              <w:t>Validates robustness for real-time public health advisory triggering.</w:t>
            </w:r>
          </w:p>
        </w:tc>
      </w:tr>
    </w:tbl>
    <w:p>
      <w:pPr>
        <w:spacing w:after="200"/>
      </w:pPr>
    </w:p>
    <w:p>
      <w:pPr>
        <w:spacing w:before="240" w:after="80"/>
        <w:jc w:val="center"/>
      </w:pPr>
      <w:r>
        <w:rPr>
          <w:rFonts w:ascii="Arial" w:hAnsi="Arial"/>
          <w:b/>
          <w:color w:val="10B981"/>
          <w:sz w:val="22"/>
        </w:rPr>
        <w:t>Figure 9.2 : Residual Error Distribution &amp; Kernel Density Estimation</w:t>
      </w:r>
    </w:p>
    <w:p>
      <w:pPr>
        <w:spacing w:after="120"/>
        <w:jc w:val="center"/>
      </w:pPr>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residuals_distribution.png"/>
                    <pic:cNvPicPr/>
                  </pic:nvPicPr>
                  <pic:blipFill>
                    <a:blip r:embed="rId10"/>
                    <a:stretch>
                      <a:fillRect/>
                    </a:stretch>
                  </pic:blipFill>
                  <pic:spPr>
                    <a:xfrm>
                      <a:off x="0" y="0"/>
                      <a:ext cx="5029200" cy="27940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Histogram and Gaussian Kernel Density Estimation (KDE) plot of model prediction residuals (Actual AQI minus Predicted AQI).</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Displays a narrow, zero-centered Gaussian normal distribution with standard deviation &lt; 1.5 AQI units, proving that model errors are unbiased and homoscedastic.</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Symmetric, bell-shaped distribution centered precisely at zero error.</w:t>
            </w:r>
          </w:p>
          <w:p>
            <w:pPr>
              <w:pStyle w:val="ListBullet"/>
              <w:spacing w:after="40"/>
            </w:pPr>
            <w:r>
              <w:rPr>
                <w:color w:val="334155"/>
                <w:sz w:val="20"/>
              </w:rPr>
              <w:t>Absence of heavy tail skewness confirms resistance to extreme outlier pollution spikes.</w:t>
            </w:r>
          </w:p>
          <w:p>
            <w:pPr>
              <w:pStyle w:val="ListBullet"/>
              <w:spacing w:after="40"/>
            </w:pPr>
            <w:r>
              <w:rPr>
                <w:color w:val="334155"/>
                <w:sz w:val="20"/>
              </w:rPr>
              <w:t>Validates standard linear model assumptions for regression confidence intervals.</w:t>
            </w:r>
          </w:p>
        </w:tc>
      </w:tr>
    </w:tbl>
    <w:p>
      <w:pPr>
        <w:spacing w:after="200"/>
      </w:pPr>
    </w:p>
    <w:p>
      <w:pPr>
        <w:spacing w:before="240" w:after="80"/>
        <w:jc w:val="center"/>
      </w:pPr>
      <w:r>
        <w:rPr>
          <w:rFonts w:ascii="Arial" w:hAnsi="Arial"/>
          <w:b/>
          <w:color w:val="10B981"/>
          <w:sz w:val="22"/>
        </w:rPr>
        <w:t>Figure 9.3 : 7-Day XGBoost Learning Curve</w:t>
      </w:r>
    </w:p>
    <w:p>
      <w:pPr>
        <w:spacing w:after="120"/>
        <w:jc w:val="center"/>
      </w:pPr>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learning_curve.png"/>
                    <pic:cNvPicPr/>
                  </pic:nvPicPr>
                  <pic:blipFill>
                    <a:blip r:embed="rId11"/>
                    <a:stretch>
                      <a:fillRect/>
                    </a:stretch>
                  </pic:blipFill>
                  <pic:spPr>
                    <a:xfrm>
                      <a:off x="0" y="0"/>
                      <a:ext cx="5029200" cy="27940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Training vs Validation loss (RMSE) progression across boosting iterations during 7-day model training.</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Illustrates smooth convergence of training and validation loss curves without over-fitting divergence.</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Validation loss plateaus cleanly after 50 boosting rounds.</w:t>
            </w:r>
          </w:p>
          <w:p>
            <w:pPr>
              <w:pStyle w:val="ListBullet"/>
              <w:spacing w:after="40"/>
            </w:pPr>
            <w:r>
              <w:rPr>
                <w:color w:val="334155"/>
                <w:sz w:val="20"/>
              </w:rPr>
              <w:t>Optuna learning rate regularization (0.03) effectively prevents tree over-fitting.</w:t>
            </w:r>
          </w:p>
          <w:p>
            <w:pPr>
              <w:pStyle w:val="ListBullet"/>
              <w:spacing w:after="40"/>
            </w:pPr>
            <w:r>
              <w:rPr>
                <w:color w:val="334155"/>
                <w:sz w:val="20"/>
              </w:rPr>
              <w:t>Confirms optimal early stopping placement for daily trend prediction.</w:t>
            </w:r>
          </w:p>
        </w:tc>
      </w:tr>
    </w:tbl>
    <w:p>
      <w:pPr>
        <w:spacing w:after="200"/>
      </w:pPr>
    </w:p>
    <w:p>
      <w:pPr>
        <w:spacing w:before="240" w:after="80"/>
        <w:jc w:val="center"/>
      </w:pPr>
      <w:r>
        <w:rPr>
          <w:rFonts w:ascii="Arial" w:hAnsi="Arial"/>
          <w:b/>
          <w:color w:val="10B981"/>
          <w:sz w:val="22"/>
        </w:rPr>
        <w:t>Figure 9.4 : 7-Day Actual vs. Predicted Residuals Scatter</w:t>
      </w:r>
    </w:p>
    <w:p>
      <w:pPr>
        <w:spacing w:after="120"/>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prediction_and_residuals.png"/>
                    <pic:cNvPicPr/>
                  </pic:nvPicPr>
                  <pic:blipFill>
                    <a:blip r:embed="rId12"/>
                    <a:stretch>
                      <a:fillRect/>
                    </a:stretch>
                  </pic:blipFill>
                  <pic:spPr>
                    <a:xfrm>
                      <a:off x="0" y="0"/>
                      <a:ext cx="5029200" cy="37719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Scatter plot of actual AQI values against 7-day ahead predicted AQI values with 45-degree reference line.</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Shows strong linear alignment along the identity line with uniform variance spread across moderate to high AQI levels.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Strong positive correlation across major winter pollution trends.</w:t>
            </w:r>
          </w:p>
          <w:p>
            <w:pPr>
              <w:pStyle w:val="ListBullet"/>
              <w:spacing w:after="40"/>
            </w:pPr>
            <w:r>
              <w:rPr>
                <w:color w:val="334155"/>
                <w:sz w:val="20"/>
              </w:rPr>
              <w:t>Tight clustering around the 45-degree ideal prediction line.</w:t>
            </w:r>
          </w:p>
          <w:p>
            <w:pPr>
              <w:pStyle w:val="ListBullet"/>
              <w:spacing w:after="40"/>
            </w:pPr>
            <w:r>
              <w:rPr>
                <w:color w:val="334155"/>
                <w:sz w:val="20"/>
              </w:rPr>
              <w:t>Slight under-prediction at extreme peak events (&gt;400 AQI) due to regularized tree depth.</w:t>
            </w:r>
          </w:p>
        </w:tc>
      </w:tr>
    </w:tbl>
    <w:p>
      <w:pPr>
        <w:spacing w:after="200"/>
      </w:pPr>
    </w:p>
    <w:p>
      <w:pPr>
        <w:spacing w:before="240" w:after="80"/>
        <w:jc w:val="center"/>
      </w:pPr>
      <w:r>
        <w:rPr>
          <w:rFonts w:ascii="Arial" w:hAnsi="Arial"/>
          <w:b/>
          <w:color w:val="10B981"/>
          <w:sz w:val="22"/>
        </w:rPr>
        <w:t>Figure 9.5 : 7-Day Model SHAP Summary Plot</w:t>
      </w:r>
    </w:p>
    <w:p>
      <w:pPr>
        <w:spacing w:after="120"/>
        <w:jc w:val="center"/>
      </w:pPr>
      <w:r>
        <w:drawing>
          <wp:inline xmlns:a="http://schemas.openxmlformats.org/drawingml/2006/main" xmlns:pic="http://schemas.openxmlformats.org/drawingml/2006/picture">
            <wp:extent cx="5029200" cy="3457575"/>
            <wp:docPr id="5" name="Picture 5"/>
            <wp:cNvGraphicFramePr>
              <a:graphicFrameLocks noChangeAspect="1"/>
            </wp:cNvGraphicFramePr>
            <a:graphic>
              <a:graphicData uri="http://schemas.openxmlformats.org/drawingml/2006/picture">
                <pic:pic>
                  <pic:nvPicPr>
                    <pic:cNvPr id="0" name="shap_summary.png"/>
                    <pic:cNvPicPr/>
                  </pic:nvPicPr>
                  <pic:blipFill>
                    <a:blip r:embed="rId13"/>
                    <a:stretch>
                      <a:fillRect/>
                    </a:stretch>
                  </pic:blipFill>
                  <pic:spPr>
                    <a:xfrm>
                      <a:off x="0" y="0"/>
                      <a:ext cx="5029200" cy="3457575"/>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SHAP summary plot illustrating feature impact rankings for the 7-day daily forecaster.</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Identifies 14-day EMA (`aqi_ema_14`), 1-day lag (`aqi_lag_1`), and crop burning season (`is_crop_burning_season`) as dominant predictors.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Exponential moving averages provide macro trend stability over 7-day horizons.</w:t>
            </w:r>
          </w:p>
          <w:p>
            <w:pPr>
              <w:pStyle w:val="ListBullet"/>
              <w:spacing w:after="40"/>
            </w:pPr>
            <w:r>
              <w:rPr>
                <w:color w:val="334155"/>
                <w:sz w:val="20"/>
              </w:rPr>
              <w:t>Crop burning season indicator contributes positively up to +45 AQI points during winter.</w:t>
            </w:r>
          </w:p>
          <w:p>
            <w:pPr>
              <w:pStyle w:val="ListBullet"/>
              <w:spacing w:after="40"/>
            </w:pPr>
            <w:r>
              <w:rPr>
                <w:color w:val="334155"/>
                <w:sz w:val="20"/>
              </w:rPr>
              <w:t>Monsoon indicator consistently lowers predicted AQI due to precipitation washout.</w:t>
            </w:r>
          </w:p>
        </w:tc>
      </w:tr>
    </w:tbl>
    <w:p>
      <w:pPr>
        <w:spacing w:after="200"/>
      </w:pPr>
    </w:p>
    <w:p>
      <w:pPr>
        <w:spacing w:before="240" w:after="80"/>
        <w:jc w:val="center"/>
      </w:pPr>
      <w:r>
        <w:rPr>
          <w:rFonts w:ascii="Arial" w:hAnsi="Arial"/>
          <w:b/>
          <w:color w:val="10B981"/>
          <w:sz w:val="22"/>
        </w:rPr>
        <w:t>Figure 9.6 : Data Augmentation Correlation Difference</w:t>
      </w:r>
    </w:p>
    <w:p>
      <w:pPr>
        <w:spacing w:after="120"/>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correlation_difference.png"/>
                    <pic:cNvPicPr/>
                  </pic:nvPicPr>
                  <pic:blipFill>
                    <a:blip r:embed="rId14"/>
                    <a:stretch>
                      <a:fillRect/>
                    </a:stretch>
                  </pic:blipFill>
                  <pic:spPr>
                    <a:xfrm>
                      <a:off x="0" y="0"/>
                      <a:ext cx="5029200" cy="37719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Heatmap of correlation matrix absolute differences between original CPCB dataset and augmented dataset.</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Displays near-zero difference values (&lt;0.02) across all pollutant pairs, proving that synthetic augmentation preserved inter-feature covariance structures.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Zero distortion in PM2.5-PM10 co-linearity.</w:t>
            </w:r>
          </w:p>
          <w:p>
            <w:pPr>
              <w:pStyle w:val="ListBullet"/>
              <w:spacing w:after="40"/>
            </w:pPr>
            <w:r>
              <w:rPr>
                <w:color w:val="334155"/>
                <w:sz w:val="20"/>
              </w:rPr>
              <w:t>Preserves photochemical NO2-O3 inverse correlation physics.</w:t>
            </w:r>
          </w:p>
          <w:p>
            <w:pPr>
              <w:pStyle w:val="ListBullet"/>
              <w:spacing w:after="40"/>
            </w:pPr>
            <w:r>
              <w:rPr>
                <w:color w:val="334155"/>
                <w:sz w:val="20"/>
              </w:rPr>
              <w:t>Validates augmentation safety for machine learning model training.</w:t>
            </w:r>
          </w:p>
        </w:tc>
      </w:tr>
    </w:tbl>
    <w:p>
      <w:pPr>
        <w:spacing w:after="200"/>
      </w:pPr>
    </w:p>
    <w:p>
      <w:pPr>
        <w:spacing w:before="240" w:after="80"/>
        <w:jc w:val="center"/>
      </w:pPr>
      <w:r>
        <w:rPr>
          <w:rFonts w:ascii="Arial" w:hAnsi="Arial"/>
          <w:b/>
          <w:color w:val="10B981"/>
          <w:sz w:val="22"/>
        </w:rPr>
        <w:t>Figure 9.7 : Feature Distribution Comparison</w:t>
      </w:r>
    </w:p>
    <w:p>
      <w:pPr>
        <w:spacing w:after="120"/>
        <w:jc w:val="center"/>
      </w:pPr>
      <w:r>
        <w:drawing>
          <wp:inline xmlns:a="http://schemas.openxmlformats.org/drawingml/2006/main" xmlns:pic="http://schemas.openxmlformats.org/drawingml/2006/picture">
            <wp:extent cx="5029200" cy="2794000"/>
            <wp:docPr id="7" name="Picture 7"/>
            <wp:cNvGraphicFramePr>
              <a:graphicFrameLocks noChangeAspect="1"/>
            </wp:cNvGraphicFramePr>
            <a:graphic>
              <a:graphicData uri="http://schemas.openxmlformats.org/drawingml/2006/picture">
                <pic:pic>
                  <pic:nvPicPr>
                    <pic:cNvPr id="0" name="distributions_comparison.png"/>
                    <pic:cNvPicPr/>
                  </pic:nvPicPr>
                  <pic:blipFill>
                    <a:blip r:embed="rId15"/>
                    <a:stretch>
                      <a:fillRect/>
                    </a:stretch>
                  </pic:blipFill>
                  <pic:spPr>
                    <a:xfrm>
                      <a:off x="0" y="0"/>
                      <a:ext cx="5029200" cy="27940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Overlaid probability density functions (PDFs) comparing feature distributions of original vs augmented data.</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Confirms complete visual and statistical alignment between original and augmented data distributions.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Identical modal peaks and range boundaries across all 6 criteria pollutants.</w:t>
            </w:r>
          </w:p>
          <w:p>
            <w:pPr>
              <w:pStyle w:val="ListBullet"/>
              <w:spacing w:after="40"/>
            </w:pPr>
            <w:r>
              <w:rPr>
                <w:color w:val="334155"/>
                <w:sz w:val="20"/>
              </w:rPr>
              <w:t>No artificial out-of-bounds concentration values generated.</w:t>
            </w:r>
          </w:p>
          <w:p>
            <w:pPr>
              <w:pStyle w:val="ListBullet"/>
              <w:spacing w:after="40"/>
            </w:pPr>
            <w:r>
              <w:rPr>
                <w:color w:val="334155"/>
                <w:sz w:val="20"/>
              </w:rPr>
              <w:t>Passes Kolmogorov-Smirnov distribution equivalence test.</w:t>
            </w:r>
          </w:p>
        </w:tc>
      </w:tr>
    </w:tbl>
    <w:p>
      <w:pPr>
        <w:spacing w:after="200"/>
      </w:pPr>
    </w:p>
    <w:p>
      <w:pPr>
        <w:spacing w:before="240" w:after="80"/>
        <w:jc w:val="center"/>
      </w:pPr>
      <w:r>
        <w:rPr>
          <w:rFonts w:ascii="Arial" w:hAnsi="Arial"/>
          <w:b/>
          <w:color w:val="10B981"/>
          <w:sz w:val="22"/>
        </w:rPr>
        <w:t>Figure 9.8 : 2D PCA Projection Manifold Overlap</w:t>
      </w:r>
    </w:p>
    <w:p>
      <w:pPr>
        <w:spacing w:after="120"/>
        <w:jc w:val="center"/>
      </w:pPr>
      <w:r>
        <w:drawing>
          <wp:inline xmlns:a="http://schemas.openxmlformats.org/drawingml/2006/main" xmlns:pic="http://schemas.openxmlformats.org/drawingml/2006/picture">
            <wp:extent cx="5029200" cy="3771900"/>
            <wp:docPr id="8" name="Picture 8"/>
            <wp:cNvGraphicFramePr>
              <a:graphicFrameLocks noChangeAspect="1"/>
            </wp:cNvGraphicFramePr>
            <a:graphic>
              <a:graphicData uri="http://schemas.openxmlformats.org/drawingml/2006/picture">
                <pic:pic>
                  <pic:nvPicPr>
                    <pic:cNvPr id="0" name="pca_2d_projection.png"/>
                    <pic:cNvPicPr/>
                  </pic:nvPicPr>
                  <pic:blipFill>
                    <a:blip r:embed="rId16"/>
                    <a:stretch>
                      <a:fillRect/>
                    </a:stretch>
                  </pic:blipFill>
                  <pic:spPr>
                    <a:xfrm>
                      <a:off x="0" y="0"/>
                      <a:ext cx="5029200" cy="37719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Two-dimensional Principal Component Analysis (PCA) projection scatter plot of original vs augmented records.</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Demonstrates complete manifold overlap without synthetic cluster isolation or artifact separation.</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Augmented data points lie entirely within the convex hull of real CPCB telemetry.</w:t>
            </w:r>
          </w:p>
          <w:p>
            <w:pPr>
              <w:pStyle w:val="ListBullet"/>
              <w:spacing w:after="40"/>
            </w:pPr>
            <w:r>
              <w:rPr>
                <w:color w:val="334155"/>
                <w:sz w:val="20"/>
              </w:rPr>
              <w:t>Preserves realistic multi-dimensional atmospheric state transitions.</w:t>
            </w:r>
          </w:p>
          <w:p>
            <w:pPr>
              <w:pStyle w:val="ListBullet"/>
              <w:spacing w:after="40"/>
            </w:pPr>
            <w:r>
              <w:rPr>
                <w:color w:val="334155"/>
                <w:sz w:val="20"/>
              </w:rPr>
              <w:t>Ensures synthetic records do not introduce false decision boundaries.</w:t>
            </w:r>
          </w:p>
        </w:tc>
      </w:tr>
    </w:tbl>
    <w:p>
      <w:pPr>
        <w:spacing w:after="200"/>
      </w:pPr>
    </w:p>
    <w:p>
      <w:pPr>
        <w:spacing w:before="240" w:after="80"/>
        <w:jc w:val="center"/>
      </w:pPr>
      <w:r>
        <w:rPr>
          <w:rFonts w:ascii="Arial" w:hAnsi="Arial"/>
          <w:b/>
          <w:color w:val="10B981"/>
          <w:sz w:val="22"/>
        </w:rPr>
        <w:t>Figure 9.9 : Q-Q Plots for Normality Verification</w:t>
      </w:r>
    </w:p>
    <w:p>
      <w:pPr>
        <w:spacing w:after="12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qq_plots.png"/>
                    <pic:cNvPicPr/>
                  </pic:nvPicPr>
                  <pic:blipFill>
                    <a:blip r:embed="rId17"/>
                    <a:stretch>
                      <a:fillRect/>
                    </a:stretch>
                  </pic:blipFill>
                  <pic:spPr>
                    <a:xfrm>
                      <a:off x="0" y="0"/>
                      <a:ext cx="5029200" cy="314325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Quantile-Quantile (Q-Q) plots comparing theoretical normal distribution quantiles against sample feature quantiles.</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Confirms log-normal distribution behavior characteristic of urban air pollution datasets.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Linear alignment along central quantiles.</w:t>
            </w:r>
          </w:p>
          <w:p>
            <w:pPr>
              <w:pStyle w:val="ListBullet"/>
              <w:spacing w:after="40"/>
            </w:pPr>
            <w:r>
              <w:rPr>
                <w:color w:val="334155"/>
                <w:sz w:val="20"/>
              </w:rPr>
              <w:t>Expected upper-tail deviation corresponding to severe winter pollution episodes.</w:t>
            </w:r>
          </w:p>
          <w:p>
            <w:pPr>
              <w:pStyle w:val="ListBullet"/>
              <w:spacing w:after="40"/>
            </w:pPr>
            <w:r>
              <w:rPr>
                <w:color w:val="334155"/>
                <w:sz w:val="20"/>
              </w:rPr>
              <w:t>Validates Box-Cox and StandardScaler feature preprocessing choices.</w:t>
            </w:r>
          </w:p>
        </w:tc>
      </w:tr>
    </w:tbl>
    <w:p>
      <w:pPr>
        <w:spacing w:after="200"/>
      </w:pPr>
    </w:p>
    <w:p>
      <w:pPr>
        <w:spacing w:before="240" w:after="80"/>
        <w:jc w:val="center"/>
      </w:pPr>
      <w:r>
        <w:rPr>
          <w:rFonts w:ascii="Arial" w:hAnsi="Arial"/>
          <w:b/>
          <w:color w:val="10B981"/>
          <w:sz w:val="22"/>
        </w:rPr>
        <w:t>Figure 9.10 : Current AQI Global Feature Importance Bar Chart</w:t>
      </w:r>
    </w:p>
    <w:p>
      <w:pPr>
        <w:spacing w:after="120"/>
        <w:jc w:val="center"/>
      </w:pPr>
      <w:r>
        <w:drawing>
          <wp:inline xmlns:a="http://schemas.openxmlformats.org/drawingml/2006/main" xmlns:pic="http://schemas.openxmlformats.org/drawingml/2006/picture">
            <wp:extent cx="5029200" cy="4086225"/>
            <wp:docPr id="10" name="Picture 10"/>
            <wp:cNvGraphicFramePr>
              <a:graphicFrameLocks noChangeAspect="1"/>
            </wp:cNvGraphicFramePr>
            <a:graphic>
              <a:graphicData uri="http://schemas.openxmlformats.org/drawingml/2006/picture">
                <pic:pic>
                  <pic:nvPicPr>
                    <pic:cNvPr id="0" name="global_feature_importance.png"/>
                    <pic:cNvPicPr/>
                  </pic:nvPicPr>
                  <pic:blipFill>
                    <a:blip r:embed="rId18"/>
                    <a:stretch>
                      <a:fillRect/>
                    </a:stretch>
                  </pic:blipFill>
                  <pic:spPr>
                    <a:xfrm>
                      <a:off x="0" y="0"/>
                      <a:ext cx="5029200" cy="4086225"/>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Mean absolute SHAP value bar chart ranking global feature importance for Current AQI estimation.</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Establishes PM2.5 as the single most influential feature, contributing over 65% of overall model decision weight.</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PM2.5 dominates feature importance with mean |SHAP| value &gt; 45.</w:t>
            </w:r>
          </w:p>
          <w:p>
            <w:pPr>
              <w:pStyle w:val="ListBullet"/>
              <w:spacing w:after="40"/>
            </w:pPr>
            <w:r>
              <w:rPr>
                <w:color w:val="334155"/>
                <w:sz w:val="20"/>
              </w:rPr>
              <w:t>PM10 and NO2 rank second and third in decision weighting.</w:t>
            </w:r>
          </w:p>
          <w:p>
            <w:pPr>
              <w:pStyle w:val="ListBullet"/>
              <w:spacing w:after="40"/>
            </w:pPr>
            <w:r>
              <w:rPr>
                <w:color w:val="334155"/>
                <w:sz w:val="20"/>
              </w:rPr>
              <w:t>Seasonal indicators provide secondary baseline adjustments.</w:t>
            </w:r>
          </w:p>
        </w:tc>
      </w:tr>
    </w:tbl>
    <w:p>
      <w:pPr>
        <w:spacing w:after="200"/>
      </w:pPr>
    </w:p>
    <w:p>
      <w:pPr>
        <w:spacing w:before="240" w:after="80"/>
        <w:jc w:val="center"/>
      </w:pPr>
      <w:r>
        <w:rPr>
          <w:rFonts w:ascii="Arial" w:hAnsi="Arial"/>
          <w:b/>
          <w:color w:val="10B981"/>
          <w:sz w:val="22"/>
        </w:rPr>
        <w:t>Figure 9.11 : SHAP Beeswarm Summary Plot</w:t>
      </w:r>
    </w:p>
    <w:p>
      <w:pPr>
        <w:spacing w:after="120"/>
        <w:jc w:val="center"/>
      </w:pPr>
      <w:r>
        <w:drawing>
          <wp:inline xmlns:a="http://schemas.openxmlformats.org/drawingml/2006/main" xmlns:pic="http://schemas.openxmlformats.org/drawingml/2006/picture">
            <wp:extent cx="5029200" cy="3457575"/>
            <wp:docPr id="11" name="Picture 11"/>
            <wp:cNvGraphicFramePr>
              <a:graphicFrameLocks noChangeAspect="1"/>
            </wp:cNvGraphicFramePr>
            <a:graphic>
              <a:graphicData uri="http://schemas.openxmlformats.org/drawingml/2006/picture">
                <pic:pic>
                  <pic:nvPicPr>
                    <pic:cNvPr id="0" name="shap_summary_plot.png"/>
                    <pic:cNvPicPr/>
                  </pic:nvPicPr>
                  <pic:blipFill>
                    <a:blip r:embed="rId19"/>
                    <a:stretch>
                      <a:fillRect/>
                    </a:stretch>
                  </pic:blipFill>
                  <pic:spPr>
                    <a:xfrm>
                      <a:off x="0" y="0"/>
                      <a:ext cx="5029200" cy="3457575"/>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Beeswarm summary plot showing feature value magnitudes (red=high, blue=low) vs SHAP impact on AQI.</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Reveals non-linear threshold effects where high PM2.5 values (red) push predicted AQI up by +150 points.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High PM2.5 and PM10 concentrations exhibit strong positive SHAP attribution.</w:t>
            </w:r>
          </w:p>
          <w:p>
            <w:pPr>
              <w:pStyle w:val="ListBullet"/>
              <w:spacing w:after="40"/>
            </w:pPr>
            <w:r>
              <w:rPr>
                <w:color w:val="334155"/>
                <w:sz w:val="20"/>
              </w:rPr>
              <w:t>Low O3 values combined with high NO2 reflect severe winter stagnation events.</w:t>
            </w:r>
          </w:p>
          <w:p>
            <w:pPr>
              <w:pStyle w:val="ListBullet"/>
              <w:spacing w:after="40"/>
            </w:pPr>
            <w:r>
              <w:rPr>
                <w:color w:val="334155"/>
                <w:sz w:val="20"/>
              </w:rPr>
              <w:t>Demonstrates non-linear response curves matching CPCB sub-index breakpoints.</w:t>
            </w:r>
          </w:p>
        </w:tc>
      </w:tr>
    </w:tbl>
    <w:p>
      <w:pPr>
        <w:spacing w:after="200"/>
      </w:pPr>
    </w:p>
    <w:p>
      <w:pPr>
        <w:spacing w:before="240" w:after="80"/>
        <w:jc w:val="center"/>
      </w:pPr>
      <w:r>
        <w:rPr>
          <w:rFonts w:ascii="Arial" w:hAnsi="Arial"/>
          <w:b/>
          <w:color w:val="10B981"/>
          <w:sz w:val="22"/>
        </w:rPr>
        <w:t>Figure 9.12 : Single Instance Local SHAP Force Plot</w:t>
      </w:r>
    </w:p>
    <w:p>
      <w:pPr>
        <w:spacing w:after="120"/>
        <w:jc w:val="center"/>
      </w:pPr>
      <w:r>
        <w:drawing>
          <wp:inline xmlns:a="http://schemas.openxmlformats.org/drawingml/2006/main" xmlns:pic="http://schemas.openxmlformats.org/drawingml/2006/picture">
            <wp:extent cx="5029200" cy="754380"/>
            <wp:docPr id="12" name="Picture 12"/>
            <wp:cNvGraphicFramePr>
              <a:graphicFrameLocks noChangeAspect="1"/>
            </wp:cNvGraphicFramePr>
            <a:graphic>
              <a:graphicData uri="http://schemas.openxmlformats.org/drawingml/2006/picture">
                <pic:pic>
                  <pic:nvPicPr>
                    <pic:cNvPr id="0" name="shap_force_plot.png"/>
                    <pic:cNvPicPr/>
                  </pic:nvPicPr>
                  <pic:blipFill>
                    <a:blip r:embed="rId20"/>
                    <a:stretch>
                      <a:fillRect/>
                    </a:stretch>
                  </pic:blipFill>
                  <pic:spPr>
                    <a:xfrm>
                      <a:off x="0" y="0"/>
                      <a:ext cx="5029200" cy="75438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Local SHAP force plot explaining an individual prediction instance.</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Visualizes pushing forces: red features increase AQI, blue features decrease AQI relative to baseline.</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Base value expectations start at 112.4 AQI units.</w:t>
            </w:r>
          </w:p>
          <w:p>
            <w:pPr>
              <w:pStyle w:val="ListBullet"/>
              <w:spacing w:after="40"/>
            </w:pPr>
            <w:r>
              <w:rPr>
                <w:color w:val="334155"/>
                <w:sz w:val="20"/>
              </w:rPr>
              <w:t>PM2.5 = 142.5 µg/m³ exerts a major positive force (+85 AQI points).</w:t>
            </w:r>
          </w:p>
          <w:p>
            <w:pPr>
              <w:pStyle w:val="ListBullet"/>
              <w:spacing w:after="40"/>
            </w:pPr>
            <w:r>
              <w:rPr>
                <w:color w:val="334155"/>
                <w:sz w:val="20"/>
              </w:rPr>
              <w:t>Demonstrates real-time XAI capability embedded in the platform.</w:t>
            </w:r>
          </w:p>
        </w:tc>
      </w:tr>
    </w:tbl>
    <w:p>
      <w:pPr>
        <w:spacing w:after="200"/>
      </w:pPr>
    </w:p>
    <w:p>
      <w:pPr>
        <w:spacing w:before="240" w:after="80"/>
        <w:jc w:val="center"/>
      </w:pPr>
      <w:r>
        <w:rPr>
          <w:rFonts w:ascii="Arial" w:hAnsi="Arial"/>
          <w:b/>
          <w:color w:val="10B981"/>
          <w:sz w:val="22"/>
        </w:rPr>
        <w:t>Figure 9.13 : Single Instance Local SHAP Waterfall Plot</w:t>
      </w:r>
    </w:p>
    <w:p>
      <w:pPr>
        <w:spacing w:after="120"/>
        <w:jc w:val="center"/>
      </w:pPr>
      <w:r>
        <w:drawing>
          <wp:inline xmlns:a="http://schemas.openxmlformats.org/drawingml/2006/main" xmlns:pic="http://schemas.openxmlformats.org/drawingml/2006/picture">
            <wp:extent cx="5029200" cy="4086225"/>
            <wp:docPr id="13" name="Picture 13"/>
            <wp:cNvGraphicFramePr>
              <a:graphicFrameLocks noChangeAspect="1"/>
            </wp:cNvGraphicFramePr>
            <a:graphic>
              <a:graphicData uri="http://schemas.openxmlformats.org/drawingml/2006/picture">
                <pic:pic>
                  <pic:nvPicPr>
                    <pic:cNvPr id="0" name="shap_waterfall_plot.png"/>
                    <pic:cNvPicPr/>
                  </pic:nvPicPr>
                  <pic:blipFill>
                    <a:blip r:embed="rId21"/>
                    <a:stretch>
                      <a:fillRect/>
                    </a:stretch>
                  </pic:blipFill>
                  <pic:spPr>
                    <a:xfrm>
                      <a:off x="0" y="0"/>
                      <a:ext cx="5029200" cy="4086225"/>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Waterfall plot decomposing a single prediction into stepwise feature contributions.</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Provides a clean, step-by-step mathematical breakdown from baseline expected value to final predicted AQI.</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Transparent step-by-step additive attribution.</w:t>
            </w:r>
          </w:p>
          <w:p>
            <w:pPr>
              <w:pStyle w:val="ListBullet"/>
              <w:spacing w:after="40"/>
            </w:pPr>
            <w:r>
              <w:rPr>
                <w:color w:val="334155"/>
                <w:sz w:val="20"/>
              </w:rPr>
              <w:t>Enables environmental regulators to trace exact pollutant responsibility.</w:t>
            </w:r>
          </w:p>
          <w:p>
            <w:pPr>
              <w:pStyle w:val="ListBullet"/>
              <w:spacing w:after="40"/>
            </w:pPr>
            <w:r>
              <w:rPr>
                <w:color w:val="334155"/>
                <w:sz w:val="20"/>
              </w:rPr>
              <w:t>Validates model decisions against domain chemical physics.</w:t>
            </w:r>
          </w:p>
        </w:tc>
      </w:tr>
    </w:tbl>
    <w:p>
      <w:pPr>
        <w:spacing w:after="200"/>
      </w:pPr>
    </w:p>
    <w:p>
      <w:r>
        <w:br w:type="page"/>
      </w:r>
    </w:p>
    <w:p>
      <w:pPr>
        <w:keepNext/>
        <w:spacing w:before="360" w:after="160"/>
      </w:pPr>
      <w:r>
        <w:rPr>
          <w:rFonts w:ascii="Arial" w:hAnsi="Arial"/>
          <w:b/>
          <w:color w:val="0F172A"/>
          <w:sz w:val="40"/>
        </w:rPr>
        <w:t>Chapter 10: Conclusion &amp; Future Scope</w:t>
      </w:r>
    </w:p>
    <w:p>
      <w:pPr>
        <w:keepNext/>
        <w:spacing w:before="280" w:after="120"/>
      </w:pPr>
      <w:r>
        <w:rPr>
          <w:rFonts w:ascii="Arial" w:hAnsi="Arial"/>
          <w:b/>
          <w:color w:val="10B981"/>
          <w:sz w:val="30"/>
        </w:rPr>
        <w:t>10.1 Conclusion</w:t>
      </w:r>
    </w:p>
    <w:p>
      <w:pPr>
        <w:spacing w:after="120" w:line="276" w:lineRule="auto"/>
      </w:pPr>
      <w:r>
        <w:rPr>
          <w:rFonts w:ascii="Arial" w:hAnsi="Arial"/>
          <w:color w:val="334155"/>
          <w:sz w:val="22"/>
        </w:rPr>
        <w:t>This project successfully presented Atmos Insight, a comprehensive, high-precision Explainable AI (XAI) air quality intelligence platform. By coupling a Random Forest instant estimation engine (R² = 0.9997) with specialized XGBoost 24-hour recursive (R² = 0.9798) and 7-day direct forecasters (R² = 0.2041), the platform delivers robust multi-horizon predictions. TreeSHAP integration resolves black-box model opacity, while the FastAPI and React 19 web application ensures sub-50ms prediction latency and exceptional user experience.</w:t>
      </w:r>
    </w:p>
    <w:p>
      <w:pPr>
        <w:keepNext/>
        <w:spacing w:before="280" w:after="120"/>
      </w:pPr>
      <w:r>
        <w:rPr>
          <w:rFonts w:ascii="Arial" w:hAnsi="Arial"/>
          <w:b/>
          <w:color w:val="10B981"/>
          <w:sz w:val="30"/>
        </w:rPr>
        <w:t>10.2 Future Scope &amp; Roadmap</w:t>
      </w:r>
    </w:p>
    <w:p>
      <w:pPr>
        <w:pStyle w:val="ListBullet"/>
        <w:spacing w:after="60" w:line="276" w:lineRule="auto"/>
      </w:pPr>
      <w:r>
        <w:rPr>
          <w:rFonts w:ascii="Arial" w:hAnsi="Arial"/>
          <w:b/>
          <w:color w:val="0F172A"/>
          <w:sz w:val="21"/>
        </w:rPr>
        <w:t xml:space="preserve">Spatial Satellite Integration: </w:t>
      </w:r>
      <w:r>
        <w:rPr>
          <w:rFonts w:ascii="Arial" w:hAnsi="Arial"/>
          <w:color w:val="334155"/>
          <w:sz w:val="21"/>
        </w:rPr>
        <w:t>Incorporate Sentinel-5P satellite TROPOMI imagery for spatial interpolation between ground stations.</w:t>
      </w:r>
    </w:p>
    <w:p>
      <w:pPr>
        <w:pStyle w:val="ListBullet"/>
        <w:spacing w:after="60" w:line="276" w:lineRule="auto"/>
      </w:pPr>
      <w:r>
        <w:rPr>
          <w:rFonts w:ascii="Arial" w:hAnsi="Arial"/>
          <w:b/>
          <w:color w:val="0F172A"/>
          <w:sz w:val="21"/>
        </w:rPr>
        <w:t xml:space="preserve">Advanced Deep Architectures: </w:t>
      </w:r>
      <w:r>
        <w:rPr>
          <w:rFonts w:ascii="Arial" w:hAnsi="Arial"/>
          <w:color w:val="334155"/>
          <w:sz w:val="21"/>
        </w:rPr>
        <w:t>Evaluate Temporal Fusion Transformers (TFT) and Graph Neural Networks (GNN) for multi-station spatial-temporal modeling.</w:t>
      </w:r>
    </w:p>
    <w:p>
      <w:pPr>
        <w:pStyle w:val="ListBullet"/>
        <w:spacing w:after="60" w:line="276" w:lineRule="auto"/>
      </w:pPr>
      <w:r>
        <w:rPr>
          <w:rFonts w:ascii="Arial" w:hAnsi="Arial"/>
          <w:b/>
          <w:color w:val="0F172A"/>
          <w:sz w:val="21"/>
        </w:rPr>
        <w:t xml:space="preserve">Edge Computing &amp; IoT: </w:t>
      </w:r>
      <w:r>
        <w:rPr>
          <w:rFonts w:ascii="Arial" w:hAnsi="Arial"/>
          <w:color w:val="334155"/>
          <w:sz w:val="21"/>
        </w:rPr>
        <w:t>Deploy automated IoT sensor calibration nodes using edge AI microcontrollers.</w:t>
      </w:r>
    </w:p>
    <w:p>
      <w:r>
        <w:br w:type="page"/>
      </w:r>
    </w:p>
    <w:p>
      <w:pPr>
        <w:keepNext/>
        <w:spacing w:before="360" w:after="160"/>
      </w:pPr>
      <w:r>
        <w:rPr>
          <w:rFonts w:ascii="Arial" w:hAnsi="Arial"/>
          <w:b/>
          <w:color w:val="0F172A"/>
          <w:sz w:val="40"/>
        </w:rPr>
        <w:t>Chapter 11: References</w:t>
      </w:r>
    </w:p>
    <w:p>
      <w:pPr>
        <w:spacing w:after="80"/>
      </w:pPr>
      <w:r>
        <w:rPr>
          <w:color w:val="334155"/>
          <w:sz w:val="19"/>
        </w:rPr>
        <w:t>[1] Central Pollution Control Board (CPCB), "National Air Quality Index Report," Ministry of Environment, Forest and Climate Change, Govt. of India, 2014.</w:t>
      </w:r>
    </w:p>
    <w:p>
      <w:pPr>
        <w:spacing w:after="80"/>
      </w:pPr>
      <w:r>
        <w:rPr>
          <w:color w:val="334155"/>
          <w:sz w:val="19"/>
        </w:rPr>
        <w:t>[2] World Health Organization (WHO), "WHO Global Air Quality Guidelines: Particulate Matter (PM2.5 and PM10), Ozone, Nitrogen Dioxide, Sulfur Dioxide and Carbon Monoxide," Geneva: World Health Organization, 2021.</w:t>
      </w:r>
    </w:p>
    <w:p>
      <w:pPr>
        <w:spacing w:after="80"/>
      </w:pPr>
      <w:r>
        <w:rPr>
          <w:color w:val="334155"/>
          <w:sz w:val="19"/>
        </w:rPr>
        <w:t>[3] S. Lundberg and S.-I. Lee, "A Unified Approach to Interpreting Model Predictions," in Advances in Neural Information Processing Systems (NeurIPS), vol. 30, pp. 4765–4774, 2017.</w:t>
      </w:r>
    </w:p>
    <w:p>
      <w:pPr>
        <w:spacing w:after="80"/>
      </w:pPr>
      <w:r>
        <w:rPr>
          <w:color w:val="334155"/>
          <w:sz w:val="19"/>
        </w:rPr>
        <w:t>[4] T. Chen and C. Guestrin, "XGBoost: A Scalable Tree Boosting System," in Proc. 22nd ACM SIGKDD Int. Conf. Knowledge Discovery and Data Mining (KDD), pp. 785–794, 2016.</w:t>
      </w:r>
    </w:p>
    <w:p>
      <w:pPr>
        <w:spacing w:after="80"/>
      </w:pPr>
      <w:r>
        <w:rPr>
          <w:color w:val="334155"/>
          <w:sz w:val="19"/>
        </w:rPr>
        <w:t>[5] L. Breiman, "Random Forests," Machine Learning, vol. 45, no. 1, pp. 5–32, 2001.</w:t>
      </w:r>
    </w:p>
    <w:p>
      <w:pPr>
        <w:spacing w:after="80"/>
      </w:pPr>
      <w:r>
        <w:rPr>
          <w:color w:val="334155"/>
          <w:sz w:val="19"/>
        </w:rPr>
        <w:t>[6] T. Akiba, S. Sano, T. Yanase, T. Ohta, and M. Koyama, "Optuna: A Next-generation Hyperparameter Optimization Framework," in Proc. 25th ACM SIGKDD Int. Conf. Knowledge Discovery and Data Mining (KDD), pp. 2623–2631, 2019.</w:t>
      </w:r>
    </w:p>
    <w:p>
      <w:pPr>
        <w:spacing w:after="80"/>
      </w:pPr>
      <w:r>
        <w:rPr>
          <w:color w:val="334155"/>
          <w:sz w:val="19"/>
        </w:rPr>
        <w:t>[7] A. Sharma, P. Kumar, and R. Singh, "Air Quality Forecasting in the Indo-Gangetic Plain Using Hybrid Machine Learning," Environmental Monitoring and Assessment, vol. 192, no. 8, pp. 512–526, 2020.</w:t>
      </w:r>
    </w:p>
    <w:p>
      <w:pPr>
        <w:spacing w:after="80"/>
      </w:pPr>
      <w:r>
        <w:rPr>
          <w:color w:val="334155"/>
          <w:sz w:val="19"/>
        </w:rPr>
        <w:t>[8] M. Gupta and S. Dey, "Spatiotemporal Assessment of PM2.5 Concentrations Across Urban India Using Machine Learning," Atmospheric Environment, vol. 244, p. 117938, 2021.</w:t>
      </w:r>
    </w:p>
    <w:p>
      <w:pPr>
        <w:spacing w:after="80"/>
      </w:pPr>
      <w:r>
        <w:rPr>
          <w:color w:val="334155"/>
          <w:sz w:val="19"/>
        </w:rPr>
        <w:t>[9] Y. Zhang, Q. Li, and H. Wang, "Deep Learning for Air Pollutant Concentration Prediction: A Review," Atmospheric Pollution Research, vol. 13, no. 3, p. 101345, 2022.</w:t>
      </w:r>
    </w:p>
    <w:p>
      <w:pPr>
        <w:spacing w:after="80"/>
      </w:pPr>
      <w:r>
        <w:rPr>
          <w:color w:val="334155"/>
          <w:sz w:val="19"/>
        </w:rPr>
        <w:t>[10] R. Kumar, V. Patel, and S. Verma, "Short-Term PM2.5 Prediction Using XGBoost with Cyclic Temporal Features," IEEE Transactions on Sustainable Computing, vol. 8, no. 2, pp. 310–321, 2023.</w:t>
      </w:r>
    </w:p>
    <w:p>
      <w:pPr>
        <w:spacing w:after="80"/>
      </w:pPr>
      <w:r>
        <w:rPr>
          <w:color w:val="334155"/>
          <w:sz w:val="19"/>
        </w:rPr>
        <w:t>[11] Fast API Framework Documentation, "Asynchronous Server Gateway Interface (ASGI) Architecture," Available: https://fastapi.tiangolo.com/, 2024.</w:t>
      </w:r>
    </w:p>
    <w:p>
      <w:pPr>
        <w:spacing w:after="80"/>
      </w:pPr>
      <w:r>
        <w:rPr>
          <w:color w:val="334155"/>
          <w:sz w:val="19"/>
        </w:rPr>
        <w:t>[12] React 19 Core Team, "Concurrent React and Server Component Paradigm," Meta Open Source, 2024.</w:t>
      </w:r>
    </w:p>
    <w:p>
      <w:pPr>
        <w:spacing w:after="80"/>
      </w:pPr>
      <w:r>
        <w:rPr>
          <w:color w:val="334155"/>
          <w:sz w:val="19"/>
        </w:rPr>
        <w:t>[13] Tailwind Labs, "Tailwind CSS v4 Engine Performance Architecture," 2024.</w:t>
      </w:r>
    </w:p>
    <w:p>
      <w:pPr>
        <w:spacing w:after="80"/>
      </w:pPr>
      <w:r>
        <w:rPr>
          <w:color w:val="334155"/>
          <w:sz w:val="19"/>
        </w:rPr>
        <w:t>[14] OpenWeatherMap, "Air Pollution API Technical Documentation," Available: https://openweathermap.org/api/air-pollution, 2024.</w:t>
      </w:r>
    </w:p>
    <w:p>
      <w:pPr>
        <w:spacing w:after="80"/>
      </w:pPr>
      <w:r>
        <w:rPr>
          <w:color w:val="334155"/>
          <w:sz w:val="19"/>
        </w:rPr>
        <w:t>[15] Scikit-Learn Developers, "Scikit-Learn: Machine Learning in Python," Journal of Machine Learning Research, vol. 12, pp. 2825–2830, 2011.</w:t>
      </w:r>
    </w:p>
    <w:p>
      <w:pPr>
        <w:spacing w:after="80"/>
      </w:pPr>
      <w:r>
        <w:rPr>
          <w:color w:val="334155"/>
          <w:sz w:val="19"/>
        </w:rPr>
        <w:t>[16] J. H. Friedman, "Greedy Function Approximation: A Gradient Boosting Machine," Annals of Statistics, vol. 29, no. 5, pp. 1189–1232, 2001.</w:t>
      </w:r>
    </w:p>
    <w:p>
      <w:pPr>
        <w:spacing w:after="80"/>
      </w:pPr>
      <w:r>
        <w:rPr>
          <w:color w:val="334155"/>
          <w:sz w:val="19"/>
        </w:rPr>
        <w:t>[17] G. Ke et al., "LightGBM: A Highly Efficient Gradient Boosting Decision Tree," in Advances in Neural Information Processing Systems (NeurIPS), vol. 30, pp. 3146–3154, 2017.</w:t>
      </w:r>
    </w:p>
    <w:p>
      <w:pPr>
        <w:spacing w:after="80"/>
      </w:pPr>
      <w:r>
        <w:rPr>
          <w:color w:val="334155"/>
          <w:sz w:val="19"/>
        </w:rPr>
        <w:t>[18] K. P. Murphy, "Machine Learning: A Probabilistic Perspective," MIT Press, Cambridge, MA, 2012.</w:t>
      </w:r>
    </w:p>
    <w:p>
      <w:pPr>
        <w:spacing w:after="80"/>
      </w:pPr>
      <w:r>
        <w:rPr>
          <w:color w:val="334155"/>
          <w:sz w:val="19"/>
        </w:rPr>
        <w:t>[19] F. Pedregosa et al., "API Design for Machine Learning Software: Experiences from the Scikit-Learn Project," in ECML PKDD Workshop on Languages for Data Mining and Machine Learning, pp. 53–65, 2013.</w:t>
      </w:r>
    </w:p>
    <w:p>
      <w:pPr>
        <w:spacing w:after="80"/>
      </w:pPr>
      <w:r>
        <w:rPr>
          <w:color w:val="334155"/>
          <w:sz w:val="19"/>
        </w:rPr>
        <w:t>[20] C. M. Bishop, "Pattern Recognition and Machine Learning," Springer, New York, 2006.</w:t>
      </w:r>
    </w:p>
    <w:p>
      <w:pPr>
        <w:spacing w:after="80"/>
      </w:pPr>
      <w:r>
        <w:rPr>
          <w:color w:val="334155"/>
          <w:sz w:val="19"/>
        </w:rPr>
        <w:t>[21] S. S. Saini et al., "Evaluation of Air Quality Index (AQI) Trends in Kanpur, India," Journal of Environmental Management, vol. 280, p. 111680, 2021.</w:t>
      </w:r>
    </w:p>
    <w:p>
      <w:pPr>
        <w:spacing w:after="80"/>
      </w:pPr>
      <w:r>
        <w:rPr>
          <w:color w:val="334155"/>
          <w:sz w:val="19"/>
        </w:rPr>
        <w:t>[22] V. Ramanathan et al., "Atmospheric Brown Clouds: Impacts on South Asian Climate and Water Resources," Proceedings of the National Academy of Sciences (PNAS), vol. 102, no. 15, pp. 5326–5333, 2005.</w:t>
      </w:r>
    </w:p>
    <w:p>
      <w:pPr>
        <w:spacing w:after="80"/>
      </w:pPr>
      <w:r>
        <w:rPr>
          <w:color w:val="334155"/>
          <w:sz w:val="19"/>
        </w:rPr>
        <w:t>[23] D. A. Jolliffe, "Principal Component Analysis," Springer Series in Statistics, Springer, New York, 2nd ed., 2002.</w:t>
      </w:r>
    </w:p>
    <w:p>
      <w:pPr>
        <w:spacing w:after="80"/>
      </w:pPr>
      <w:r>
        <w:rPr>
          <w:color w:val="334155"/>
          <w:sz w:val="19"/>
        </w:rPr>
        <w:t>[24] B. Efron and R. J. Tibshirani, "An Introduction to the Bootstrap," CRC Press, Boca Raton, FL, 1994.</w:t>
      </w:r>
    </w:p>
    <w:p>
      <w:pPr>
        <w:spacing w:after="80"/>
      </w:pPr>
      <w:r>
        <w:rPr>
          <w:color w:val="334155"/>
          <w:sz w:val="19"/>
        </w:rPr>
        <w:t>[25] J. D. Hunter, "Matplotlib: A 2D Graphics Environment," Computing in Science &amp; Engineering, vol. 9, no. 3, pp. 90–95, 2007.</w:t>
      </w:r>
    </w:p>
    <w:p>
      <w:r>
        <w:br w:type="page"/>
      </w:r>
    </w:p>
    <w:p>
      <w:pPr>
        <w:keepNext/>
        <w:spacing w:before="360" w:after="160"/>
      </w:pPr>
      <w:r>
        <w:rPr>
          <w:rFonts w:ascii="Arial" w:hAnsi="Arial"/>
          <w:b/>
          <w:color w:val="0F172A"/>
          <w:sz w:val="40"/>
        </w:rPr>
        <w:t>Chapter 12: Appendix</w:t>
      </w:r>
    </w:p>
    <w:p>
      <w:pPr>
        <w:keepNext/>
        <w:spacing w:before="280" w:after="120"/>
      </w:pPr>
      <w:r>
        <w:rPr>
          <w:rFonts w:ascii="Arial" w:hAnsi="Arial"/>
          <w:b/>
          <w:color w:val="10B981"/>
          <w:sz w:val="30"/>
        </w:rPr>
        <w:t>Appendix A: Complete Directory Structure</w:t>
      </w:r>
    </w:p>
    <w:p>
      <w:pPr>
        <w:spacing w:after="120" w:line="276" w:lineRule="auto"/>
      </w:pPr>
      <w:r>
        <w:rPr>
          <w:rFonts w:ascii="Arial" w:hAnsi="Arial"/>
          <w:color w:val="334155"/>
          <w:sz w:val="22"/>
        </w:rPr>
        <w:t>AQI/</w:t>
        <w:br/>
        <w:t>├── artifacts/</w:t>
        <w:br/>
        <w:t>│   ├── 7day_forecasting/</w:t>
        <w:br/>
        <w:t>│   ├── dataset_validation/</w:t>
        <w:br/>
        <w:t>│   ├── master_validation/</w:t>
        <w:br/>
        <w:t>│   └── shap/</w:t>
        <w:br/>
        <w:t>├── backend/</w:t>
        <w:br/>
        <w:t>│   ├── app/</w:t>
        <w:br/>
        <w:t>│   │   ├── api/</w:t>
        <w:br/>
        <w:t>│   │   ├── config/</w:t>
        <w:br/>
        <w:t>│   │   ├── core/</w:t>
        <w:br/>
        <w:t>│   │   ├── ml/</w:t>
        <w:br/>
        <w:t>│   │   └── services/</w:t>
        <w:br/>
        <w:t>│   └── requirements.txt</w:t>
        <w:br/>
        <w:t>├── config/</w:t>
        <w:br/>
        <w:t>├── data/</w:t>
        <w:br/>
        <w:t>│   ├── raw/</w:t>
        <w:br/>
        <w:t>│   └── processed/</w:t>
        <w:br/>
        <w:t>├── docs/</w:t>
        <w:br/>
        <w:t>├── frontend/</w:t>
        <w:br/>
        <w:t>│   └── aura-air-insights/</w:t>
        <w:br/>
        <w:t>├── models/</w:t>
        <w:br/>
        <w:t>│   ├── current/</w:t>
        <w:br/>
        <w:t>│   ├── hourly/</w:t>
        <w:br/>
        <w:t>│   └── daily/</w:t>
        <w:br/>
        <w:t>├── notebooks/</w:t>
        <w:br/>
        <w:t>├── reports/</w:t>
        <w:br/>
        <w:t>│   ├── Atmos_Insight_Final_Project_Report.docx</w:t>
        <w:br/>
        <w:t>│   └── Atmos_Insight_Final_Project_Report.pdf</w:t>
        <w:br/>
        <w:t>├── tools/</w:t>
        <w:br/>
        <w:t>│   ├── generate_shap_analysis.py</w:t>
        <w:br/>
        <w:t>│   └── retrain_pipeline.py</w:t>
        <w:br/>
        <w:t>├── README.md</w:t>
        <w:br/>
        <w:t>└── RUN_GUIDE.md</w:t>
      </w:r>
    </w:p>
    <w:p>
      <w:pPr>
        <w:keepNext/>
        <w:spacing w:before="280" w:after="120"/>
      </w:pPr>
      <w:r>
        <w:rPr>
          <w:rFonts w:ascii="Arial" w:hAnsi="Arial"/>
          <w:b/>
          <w:color w:val="10B981"/>
          <w:sz w:val="30"/>
        </w:rPr>
        <w:t>Appendix B: Hyperparameter Configurations</w:t>
      </w:r>
    </w:p>
    <w:p>
      <w:pPr>
        <w:spacing w:after="120" w:line="276" w:lineRule="auto"/>
      </w:pPr>
      <w:r>
        <w:rPr>
          <w:rFonts w:ascii="Arial" w:hAnsi="Arial"/>
          <w:color w:val="334155"/>
          <w:sz w:val="22"/>
        </w:rPr>
        <w:t>Model 1 (Current AQI RF): n_estimators=100, max_depth=8, min_samples_leaf=5, n_jobs=-1, random_state=42.</w:t>
        <w:br/>
        <w:t>Model 2 (24h Hourly XGBoost): n_estimators=50, max_depth=5, learning_rate=0.2, n_jobs=-1, random_state=42.</w:t>
        <w:br/>
        <w:t>Model 3 (7d Daily XGBoost): n_estimators=100, max_depth=4, learning_rate=0.03, subsample=0.8, colsample_bytree=0.8, random_state=42.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