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55555"/>
          <w:sz w:val="24"/>
        </w:rPr>
        <w:t>Enterprise Payment Reconciliation Platform (UPI)</w:t>
      </w:r>
    </w:p>
    <w:p>
      <w:r>
        <w:rPr>
          <w:b/>
          <w:color w:val="1F3A5F"/>
          <w:sz w:val="40"/>
        </w:rPr>
        <w:t>Phase 1 Report: Database Design + File Processing Framework</w:t>
      </w:r>
    </w:p>
    <w:p>
      <w:pPr>
        <w:pBdr>
          <w:bottom w:val="single" w:sz="8" w:space="4" w:color="1F3A5F"/>
        </w:pBdr>
      </w:pPr>
      <w:r>
        <w:rPr>
          <w:color w:val="555555"/>
        </w:rPr>
        <w:t>Prepared: 2026-09-27 · Updated: 2026-09-30</w:t>
      </w:r>
    </w:p>
    <w:p>
      <w:pPr>
        <w:pStyle w:val="Heading1"/>
      </w:pPr>
      <w:r>
        <w:t>1. Summary</w:t>
      </w:r>
    </w:p>
    <w:p>
      <w:r>
        <w:t>Phase 1 built the foundation of the reconciliation system. The system can now take every daily UPI source file (from CBS and NPCI), read it correctly whatever its real format, check it, keep an exact raw copy of it, and turn it into a clean, uniform list of transactions ready for matching. NPCI's settlement statements (NTSL) are also loaded, into their own settlement summary table.</w:t>
      </w:r>
    </w:p>
    <w:p>
      <w:r>
        <w:t>The phase started on 2026-08-28 and first closed on 2026-09-12. It was reopened on 2026-09-25 for a planned database redesign (staging, fact and history tables), and closed again on 2026-09-27, ahead of its re-baselined target of 2026-10-01.</w:t>
      </w:r>
    </w:p>
    <w:p>
      <w:r>
        <w:t xml:space="preserve">Since then (2026-09-28 to 2026-09-30), two more business days were loaded, and the archiving job was pulled forward from Phase 3 and built, so older business dates now move out of the live staging tables into the history tables.</w:t>
      </w:r>
    </w:p>
    <w:p>
      <w:r>
        <w:t>Headline results:</w:t>
      </w:r>
    </w:p>
    <w:p>
      <w:pPr>
        <w:pStyle w:val="ListBullet"/>
      </w:pPr>
      <w:r>
        <w:t xml:space="preserve">All 8 in-scope file types load end to end against real bank data for 3 business dates (2026-07-14, 2026-09-25 and 2026-09-26): 172 files in total, none rejected.</w:t>
      </w:r>
    </w:p>
    <w:p>
      <w:pPr>
        <w:pStyle w:val="ListBullet"/>
      </w:pPr>
      <w:r>
        <w:t xml:space="preserve">447,078 clean transactions in the fact table across the 3 dates, plus 4,740 NTSL settlement lines.</w:t>
      </w:r>
    </w:p>
    <w:p>
      <w:pPr>
        <w:pStyle w:val="ListBullet"/>
      </w:pPr>
      <w:r>
        <w:t xml:space="preserve">99 automated tests, all passing.</w:t>
      </w:r>
    </w:p>
    <w:p>
      <w:pPr>
        <w:pStyle w:val="ListBullet"/>
      </w:pPr>
      <w:r>
        <w:t>Every loaded row can be traced back to the exact raw row in the source</w:t>
      </w:r>
      <w:r>
        <w:t xml:space="preserve"> file it came from.</w:t>
      </w:r>
    </w:p>
    <w:p>
      <w:pPr>
        <w:pStyle w:val="ListBullet"/>
      </w:pPr>
      <w:r>
        <w:t xml:space="preserve">Older business dates are archived: staging now holds only the latest date (2026-09-26), and 482,181 rows for 14 July and 25 September moved to the history tables with nothing lost.</w:t>
      </w:r>
    </w:p>
    <w:p>
      <w:pPr>
        <w:pStyle w:val="Heading1"/>
      </w:pPr>
      <w:r>
        <w:t>2. Scope and timeline</w:t>
      </w:r>
    </w:p>
    <w:p>
      <w:r>
        <w:t>Phase 1 covers two components from the project plan:</w:t>
      </w:r>
    </w:p>
    <w:p>
      <w:pPr>
        <w:pStyle w:val="ListBullet"/>
      </w:pPr>
      <w:r>
        <w:t>Database Design: the tables that store configuration, file tracking,</w:t>
      </w:r>
      <w:r>
        <w:t xml:space="preserve"> raw file data, clean transactions and archived history.</w:t>
      </w:r>
    </w:p>
    <w:p>
      <w:pPr>
        <w:pStyle w:val="ListBullet"/>
      </w:pPr>
      <w:r>
        <w:t>File Processing Framework: intake, format detection, validation,</w:t>
      </w:r>
      <w:r>
        <w:t xml:space="preserve"> normalization (RRN extraction, dates, amounts, debit/credit), and</w:t>
      </w:r>
      <w:r>
        <w:t xml:space="preserve"> cycle-wise handling.</w:t>
      </w:r>
    </w:p>
    <w:p>
      <w:r>
        <w:t>Timeline:</w:t>
      </w:r>
    </w:p>
    <w:p>
      <w:pPr>
        <w:pStyle w:val="ListBullet"/>
      </w:pPr>
      <w:r>
        <w:t>2026-08-28  Phase 1 started (after the tech stack was locked:</w:t>
      </w:r>
      <w:r>
        <w:t xml:space="preserve"> Django/DRF, PostgreSQL, Python file parsing, Celery + Redis).</w:t>
      </w:r>
    </w:p>
    <w:p>
      <w:pPr>
        <w:pStyle w:val="ListBullet"/>
      </w:pPr>
      <w:r>
        <w:t>2026-09-05  CBS date-range handling and parsing hardening.</w:t>
      </w:r>
    </w:p>
    <w:p>
      <w:pPr>
        <w:pStyle w:val="ListBullet"/>
      </w:pPr>
      <w:r>
        <w:t>2026-09-07  Decryption removed from scope (see section 4).</w:t>
      </w:r>
    </w:p>
    <w:p>
      <w:pPr>
        <w:pStyle w:val="ListBullet"/>
      </w:pPr>
      <w:r>
        <w:t>2026-09-08  First unified transaction table built.</w:t>
      </w:r>
    </w:p>
    <w:p>
      <w:pPr>
        <w:pStyle w:val="ListBullet"/>
      </w:pPr>
      <w:r>
        <w:t>2026-09-10  All RRN-bearing file types loading real data; CBS fixed.</w:t>
      </w:r>
    </w:p>
    <w:p>
      <w:pPr>
        <w:pStyle w:val="ListBullet"/>
      </w:pPr>
      <w:r>
        <w:t>2026-09-12  Phase 1 first closed.</w:t>
      </w:r>
    </w:p>
    <w:p>
      <w:pPr>
        <w:pStyle w:val="ListBullet"/>
      </w:pPr>
      <w:r>
        <w:t>2026-09-16/17  Debit/credit rules confirmed for every file type.</w:t>
      </w:r>
    </w:p>
    <w:p>
      <w:pPr>
        <w:pStyle w:val="ListBullet"/>
      </w:pPr>
      <w:r>
        <w:t>2026-09-23  Staging/fact/history redesign approved.</w:t>
      </w:r>
    </w:p>
    <w:p>
      <w:pPr>
        <w:pStyle w:val="ListBullet"/>
      </w:pPr>
      <w:r>
        <w:t>2026-09-25  Phase 1 reopened for the redesign.</w:t>
      </w:r>
    </w:p>
    <w:p>
      <w:pPr>
        <w:pStyle w:val="ListBullet"/>
      </w:pPr>
      <w:r>
        <w:t>2026-09-26  Redesign built and verified.</w:t>
      </w:r>
    </w:p>
    <w:p>
      <w:pPr>
        <w:pStyle w:val="ListBullet"/>
      </w:pPr>
      <w:r>
        <w:t>2026-09-27  Data reloaded, NTSL loading added, settlement cycles</w:t>
      </w:r>
      <w:r>
        <w:t xml:space="preserve"> corrected to the NPCI circular. Phase 1 closed again.</w:t>
      </w:r>
    </w:p>
    <w:p>
      <w:pPr>
        <w:pStyle w:val="ListBullet"/>
      </w:pPr>
      <w:r>
        <w:t xml:space="preserve">2026-09-28  Phase 1 committed to version control. Decision to build the archiving job now (pulled forward from Phase 3).</w:t>
      </w:r>
    </w:p>
    <w:p>
      <w:pPr>
        <w:pStyle w:val="ListBullet"/>
      </w:pPr>
      <w:r>
        <w:t xml:space="preserve">2026-09-29  Two more business days loaded (2026-09-25 and 2026-09-26), including the real CBS exports.</w:t>
      </w:r>
    </w:p>
    <w:p>
      <w:pPr>
        <w:pStyle w:val="ListBullet"/>
      </w:pPr>
      <w:r>
        <w:t xml:space="preserve">2026-09-30  Archiving job built, run on the real data and verified.</w:t>
      </w:r>
    </w:p>
    <w:p>
      <w:r>
        <w:t>Original estimate: 3-4 weeks. Actual: about 4.5 weeks including the redesign. The project deadline is 2026-10-15 (set 2026-09-25), so Phase 1 finishing early matters for the phases that follow.</w:t>
      </w:r>
    </w:p>
    <w:p>
      <w:pPr>
        <w:pStyle w:val="Heading1"/>
      </w:pPr>
      <w:r>
        <w:t>3. Files the system now handles</w:t>
      </w:r>
    </w:p>
    <w:p>
      <w:r>
        <w:t>The system recognizes each file by its name and reads it according to a stored configuration (the "File Configuration Repository"). Nothing about a file's layout is hardcoded.</w:t>
      </w:r>
    </w:p>
    <w:p>
      <w:pPr>
        <w:pStyle w:val="ListBullet"/>
      </w:pPr>
      <w:r>
        <w:t xml:space="preserve">CBS GL Extract: the bank's own ledger. One daily file covering a 3-day range, spread over 3 worksheets. The real exports for 25 and 26 September had exactly the same layout as 14 July and loaded with no changes.</w:t>
      </w:r>
    </w:p>
    <w:p>
      <w:pPr>
        <w:pStyle w:val="ListBullet"/>
      </w:pPr>
      <w:r>
        <w:t>Raw Data (Acquirer and Issuer): NPCI, per cycle, 1C-10C.</w:t>
      </w:r>
    </w:p>
    <w:p>
      <w:pPr>
        <w:pStyle w:val="ListBullet"/>
      </w:pPr>
      <w:r>
        <w:t>Merchant Raw Data (Acquirer and Issuer): NPCI, per cycle, 1C-10C.</w:t>
      </w:r>
    </w:p>
    <w:p>
      <w:pPr>
        <w:pStyle w:val="ListBullet"/>
      </w:pPr>
      <w:r>
        <w:t>Merchant Raw Data BBP: NPCI, per cycle, 1C-10C, kept as its own</w:t>
      </w:r>
      <w:r>
        <w:t xml:space="preserve"> classification so BBP volume stays visible.</w:t>
      </w:r>
    </w:p>
    <w:p>
      <w:pPr>
        <w:pStyle w:val="ListBullet"/>
      </w:pPr>
      <w:r>
        <w:t>DRC (Debit Reversal Confirmation): daily dispute file.</w:t>
      </w:r>
    </w:p>
    <w:p>
      <w:pPr>
        <w:pStyle w:val="ListBullet"/>
      </w:pPr>
      <w:r>
        <w:t>Timeout: daily dispute file.</w:t>
      </w:r>
    </w:p>
    <w:p>
      <w:pPr>
        <w:pStyle w:val="ListBullet"/>
      </w:pPr>
      <w:r>
        <w:t>Adjustment: daily dispute file.</w:t>
      </w:r>
    </w:p>
    <w:p>
      <w:pPr>
        <w:pStyle w:val="ListBullet"/>
      </w:pPr>
      <w:r>
        <w:t>NTSL (Net Settlement Statement): NPCI, 12 files a day (1C-10C plus the</w:t>
      </w:r>
      <w:r>
        <w:t xml:space="preserve"> dispute cycles DC1 and DC2).</w:t>
      </w:r>
    </w:p>
    <w:p>
      <w:r>
        <w:t xml:space="preserve">Out of scope by design: the SSKUPI file (e.g. SSKUPI14072026.csv) is a file the bank sends to NPCI, not one it receives. It is not loaded, and it is no longer kept in the sample data folders. It is relevant to Phase 4 (NPCI File Generation).</w:t>
      </w:r>
    </w:p>
    <w:p>
      <w:pPr>
        <w:pStyle w:val="Heading1"/>
      </w:pPr>
      <w:r>
        <w:t>4. Key findings and decisions</w:t>
      </w:r>
    </w:p>
    <w:p>
      <w:r>
        <w:t>Several things only came to light by examining the real files rather than relying on the specification. Each was confirmed with the project owner or checked against real data before being built in.</w:t>
      </w:r>
    </w:p>
    <w:p>
      <w:pPr>
        <w:pStyle w:val="ListBullet"/>
      </w:pPr>
      <w:r>
        <w:t>File extensions can't be trusted. CBS's ".xls" is really XML, and</w:t>
      </w:r>
      <w:r>
        <w:t xml:space="preserve"> NTSL's ".xls" is really a zipped Excel workbook. The system detects the</w:t>
      </w:r>
      <w:r>
        <w:t xml:space="preserve"> real format from the file's content.</w:t>
      </w:r>
    </w:p>
    <w:p>
      <w:pPr>
        <w:pStyle w:val="ListBullet"/>
      </w:pPr>
      <w:r>
        <w:t>CBS splits one continuous report across 3 worksheets, and each worksheet</w:t>
      </w:r>
      <w:r>
        <w:t xml:space="preserve"> has a different column layout. An early version loaded 0 CBS rows</w:t>
      </w:r>
      <w:r>
        <w:t xml:space="preserve"> because of this. It's now fixed with a per-worksheet column map, and all</w:t>
      </w:r>
      <w:r>
        <w:t xml:space="preserve"> 69,239 rows for 2026-07-14 load.</w:t>
      </w:r>
    </w:p>
    <w:p>
      <w:pPr>
        <w:pStyle w:val="ListBullet"/>
      </w:pPr>
      <w:r>
        <w:t>CBS files cover 3 days (e.g. 13-15 July). The system stores the raw file,</w:t>
      </w:r>
      <w:r>
        <w:t xml:space="preserve"> shows which dates it found, and pauses until a person picks the business</w:t>
      </w:r>
      <w:r>
        <w:t xml:space="preserve"> date. This currently uses a Django admin screen; a proper screen is</w:t>
      </w:r>
      <w:r>
        <w:t xml:space="preserve"> Phase 5 work.</w:t>
      </w:r>
    </w:p>
    <w:p>
      <w:pPr>
        <w:pStyle w:val="ListBullet"/>
      </w:pPr>
      <w:r>
        <w:t>Header, footer and page artifacts in CBS are removed by matching their</w:t>
      </w:r>
      <w:r>
        <w:t xml:space="preserve"> content, not by counting rows. This is more robust to changes in the</w:t>
      </w:r>
      <w:r>
        <w:t xml:space="preserve"> export.</w:t>
      </w:r>
    </w:p>
    <w:p>
      <w:pPr>
        <w:pStyle w:val="ListBullet"/>
      </w:pPr>
      <w:r>
        <w:t>Decryption was removed from scope permanently (2026-09-07). The</w:t>
      </w:r>
      <w:r>
        <w:t xml:space="preserve"> bank/NPCI private key is confidential and will never be shared with this</w:t>
      </w:r>
      <w:r>
        <w:t xml:space="preserve"> system, so files arrive already decrypted.</w:t>
      </w:r>
    </w:p>
    <w:p>
      <w:pPr>
        <w:pStyle w:val="ListBullet"/>
      </w:pPr>
      <w:r>
        <w:t>Debit/credit direction rules, confirmed from the bank's SOP:</w:t>
      </w:r>
    </w:p>
    <w:p>
      <w:pPr>
        <w:pStyle w:val="ListBullet2"/>
      </w:pPr>
      <w:r>
        <w:t>CBS: from the remarks text ("By" = credit, "To" = debit).</w:t>
      </w:r>
    </w:p>
    <w:p>
      <w:pPr>
        <w:pStyle w:val="ListBullet2"/>
      </w:pPr>
      <w:r>
        <w:t>Raw Data / Merchant Raw Data: Acquirer files = debit, Issuer files =</w:t>
      </w:r>
      <w:r>
        <w:t xml:space="preserve"> credit.</w:t>
      </w:r>
    </w:p>
    <w:p>
      <w:pPr>
        <w:pStyle w:val="ListBullet2"/>
      </w:pPr>
      <w:r>
        <w:t>BBP: debit.</w:t>
      </w:r>
    </w:p>
    <w:p>
      <w:pPr>
        <w:pStyle w:val="ListBullet2"/>
      </w:pPr>
      <w:r>
        <w:t>DRC: debit.</w:t>
      </w:r>
    </w:p>
    <w:p>
      <w:pPr>
        <w:pStyle w:val="ListBullet2"/>
      </w:pPr>
      <w:r>
        <w:t>Timeout: credit.</w:t>
      </w:r>
    </w:p>
    <w:p>
      <w:pPr>
        <w:pStyle w:val="ListBullet2"/>
      </w:pPr>
      <w:r>
        <w:t>Adjustment: credit.</w:t>
      </w:r>
    </w:p>
    <w:p>
      <w:pPr>
        <w:pStyle w:val="ListBullet"/>
      </w:pPr>
      <w:r>
        <w:t>Adjustment has two dates and two amounts. The adjustment's own date</w:t>
      </w:r>
      <w:r>
        <w:t xml:space="preserve"> (Adjdate) is the business date, and the adjustment's own amount</w:t>
      </w:r>
      <w:r>
        <w:t xml:space="preserve"> (Adjamount) is the transaction amount. The original transaction's amount</w:t>
      </w:r>
      <w:r>
        <w:t xml:space="preserve"> (Txnamount) is kept alongside it in a separate field. An early note</w:t>
      </w:r>
      <w:r>
        <w:t xml:space="preserve"> claiming the two amounts were always equal was wrong: they differ in 180</w:t>
      </w:r>
      <w:r>
        <w:t xml:space="preserve"> of 257 rows.</w:t>
      </w:r>
    </w:p>
    <w:p>
      <w:pPr>
        <w:pStyle w:val="ListBullet"/>
      </w:pPr>
      <w:r>
        <w:t>Settlement cycles follow the NPCI circular "Annexure I - Revised</w:t>
      </w:r>
      <w:r>
        <w:t xml:space="preserve"> Settlement Cycles":</w:t>
      </w:r>
    </w:p>
    <w:p>
      <w:pPr>
        <w:pStyle w:val="ListBullet2"/>
      </w:pPr>
      <w:r>
        <w:t>1C-10C settle authorised (AUTH) transactions only.</w:t>
      </w:r>
    </w:p>
    <w:p>
      <w:pPr>
        <w:pStyle w:val="ListBullet2"/>
      </w:pPr>
      <w:r>
        <w:t>DC1 (00:00-16:00) and DC2 (16:00-00:00) settle disputes only.</w:t>
      </w:r>
    </w:p>
    <w:p>
      <w:pPr>
        <w:pStyle w:val="ListBullet2"/>
      </w:pPr>
      <w:r>
        <w:t>Cycle times are 1C 21:00-00:00, 2C 00:00-05:00, 3C 05:00-07:00, then</w:t>
      </w:r>
      <w:r>
        <w:t xml:space="preserve"> 2 hours each to 10C 19:00-21:00.</w:t>
      </w:r>
    </w:p>
    <w:p>
      <w:pPr>
        <w:pStyle w:val="ListBullet2"/>
      </w:pPr>
      <w:r>
        <w:t>Each cycle's RTGS settlement time is stored too.</w:t>
      </w:r>
    </w:p>
    <w:p>
      <w:pPr>
        <w:pStyle w:val="ListBullet2"/>
      </w:pPr>
      <w:r>
        <w:t>The specification's "8 cycles" is out of date.</w:t>
      </w:r>
    </w:p>
    <w:p>
      <w:pPr>
        <w:pStyle w:val="ListBullet"/>
      </w:pPr>
      <w:r>
        <w:t>NTSL has no RRN; it's a totals report, not a list of transactions. So</w:t>
      </w:r>
      <w:r>
        <w:t xml:space="preserve"> it can't go into the transaction table, and it gets its own settlement</w:t>
      </w:r>
      <w:r>
        <w:t xml:space="preserve"> summary table instead.</w:t>
      </w:r>
    </w:p>
    <w:p>
      <w:pPr>
        <w:pStyle w:val="ListBullet"/>
      </w:pPr>
      <w:r>
        <w:t xml:space="preserve">Loading more days confirmed the configurations hold across dates. For 25 and 26 September the CBS worksheets and column layouts matched 14 July exactly, a BBP file arrived in cycle 7C (not seen in the 14 July data) and loaded, and both dispute-cycle NTSL files (DC1, DC2) loaded. No configuration change was needed.</w:t>
      </w:r>
    </w:p>
    <w:p>
      <w:pPr>
        <w:pStyle w:val="ListBullet"/>
      </w:pPr>
      <w:r>
        <w:t xml:space="preserve">Not every spreadsheet named "cbs" is a CBS export. The first files supplied for 25 and 26 September were the operations team's manual working workbooks (the CBS ledger pasted into a "1535" sheet, plus lookup sheets). They were rejected as a source and replaced with the real CBS exports. Only the CBS export itself should be loaded.</w:t>
      </w:r>
    </w:p>
    <w:p>
      <w:pPr>
        <w:pStyle w:val="ListBullet"/>
      </w:pPr>
      <w:r>
        <w:t xml:space="preserve">Archiving rule (decided 2026-09-28): when a newer business date has loaded, the staging rows of every older date move to the history tables. This was pulled forward from Phase 3, where it was planned to wait until reconciliation of a date was complete.</w:t>
      </w:r>
    </w:p>
    <w:p>
      <w:pPr>
        <w:pStyle w:val="Heading1"/>
      </w:pPr>
      <w:r>
        <w:t>5. How a file moves through the system</w:t>
      </w:r>
    </w:p>
    <w:p>
      <w:r>
        <w:t>Each file goes through a chain of steps. Each step runs as a separate background job, so it can be retried and monitored on its own.</w:t>
      </w:r>
    </w:p>
    <w:p>
      <w:pPr>
        <w:pStyle w:val="ListNumber"/>
      </w:pPr>
      <w:r>
        <w:t>Detect format and parse: work out the real file format and read every</w:t>
      </w:r>
      <w:r>
        <w:t xml:space="preserve"> row.</w:t>
      </w:r>
    </w:p>
    <w:p>
      <w:pPr>
        <w:pStyle w:val="ListNumber"/>
      </w:pPr>
      <w:r>
        <w:t>Validate: strip page artifacts, check required fields, and for CBS,</w:t>
      </w:r>
      <w:r>
        <w:t xml:space="preserve"> record which dates the file contains.</w:t>
      </w:r>
    </w:p>
    <w:p>
      <w:pPr>
        <w:pStyle w:val="ListNumber"/>
      </w:pPr>
      <w:r>
        <w:t>Load to staging: store every row exactly as it arrived, in that file</w:t>
      </w:r>
      <w:r>
        <w:t xml:space="preserve"> type's own staging table. For CBS, processing pauses here until the</w:t>
      </w:r>
      <w:r>
        <w:t xml:space="preserve"> business date is chosen.</w:t>
      </w:r>
    </w:p>
    <w:p>
      <w:pPr>
        <w:pStyle w:val="ListNumber"/>
      </w:pPr>
      <w:r>
        <w:t>Normalize: extract and validate the RRN, parse dates and amounts, and</w:t>
      </w:r>
      <w:r>
        <w:t xml:space="preserve"> apply the debit/credit rule.</w:t>
      </w:r>
    </w:p>
    <w:p>
      <w:pPr>
        <w:pStyle w:val="ListNumber"/>
      </w:pPr>
      <w:r>
        <w:t>Promote to fact: write the clean transactions into the single fact</w:t>
      </w:r>
      <w:r>
        <w:t xml:space="preserve"> table, each linked back to its raw staging row.</w:t>
      </w:r>
    </w:p>
    <w:p>
      <w:r>
        <w:t>NTSL follows steps 1-3 and then a step of its own, "promote to settlement summary". It skips steps 4 and 5.</w:t>
      </w:r>
    </w:p>
    <w:p>
      <w:r>
        <w:t>Safeguards built in:</w:t>
      </w:r>
    </w:p>
    <w:p>
      <w:pPr>
        <w:pStyle w:val="ListBullet"/>
      </w:pPr>
      <w:r>
        <w:t>The same file content can't be uploaded twice by mistake (except as a</w:t>
      </w:r>
      <w:r>
        <w:t xml:space="preserve"> deliberate reprocess).</w:t>
      </w:r>
    </w:p>
    <w:p>
      <w:pPr>
        <w:pStyle w:val="ListBullet"/>
      </w:pPr>
      <w:r>
        <w:t>Rerunning a step never creates duplicate rows.</w:t>
      </w:r>
    </w:p>
    <w:p>
      <w:pPr>
        <w:pStyle w:val="ListBullet"/>
      </w:pPr>
      <w:r>
        <w:t>Rows that can't be loaded (e.g. an unreadable amount) are skipped and</w:t>
      </w:r>
      <w:r>
        <w:t xml:space="preserve"> logged as validation exceptions, never silently dropped or guessed.</w:t>
      </w:r>
    </w:p>
    <w:p>
      <w:pPr>
        <w:pStyle w:val="ListBullet"/>
      </w:pPr>
      <w:r>
        <w:t xml:space="preserve">Superseded data is never destroyed. Replaced file versions are filtered out rather than deleted, and archived staging rows are copied to history before they leave the live table, keeping the audit trail intact.</w:t>
      </w:r>
    </w:p>
    <w:p>
      <w:pPr>
        <w:pStyle w:val="Heading1"/>
      </w:pPr>
      <w:r>
        <w:t>6. The database: what each group of tables is for</w:t>
      </w:r>
    </w:p>
    <w:p>
      <w:r>
        <w:t>This section replaces the earlier docs/db.md. Data flows one way:</w:t>
      </w:r>
    </w:p>
    <w:p>
      <w:pPr>
        <w:spacing w:after="0"/>
      </w:pPr>
      <w:r>
        <w:rPr>
          <w:rFonts w:ascii="Consolas" w:hAnsi="Consolas"/>
          <w:sz w:val="19"/>
        </w:rPr>
        <w:t xml:space="preserve">    source file -&gt; file record -&gt; staging (raw) -&gt; fact (clean) -&gt; matching</w:t>
      </w:r>
    </w:p>
    <w:p>
      <w:pPr>
        <w:spacing w:after="0"/>
      </w:pPr>
      <w:r>
        <w:rPr>
          <w:rFonts w:ascii="Consolas" w:hAnsi="Consolas"/>
          <w:sz w:val="19"/>
        </w:rPr>
        <w:t xml:space="preserve">                                               \-&gt; settlement summary (NTSL)</w:t>
      </w:r>
    </w:p>
    <w:p>
      <w:pPr>
        <w:spacing w:after="160"/>
      </w:pPr>
      <w:r>
        <w:rPr>
          <w:rFonts w:ascii="Consolas" w:hAnsi="Consolas"/>
          <w:sz w:val="19"/>
        </w:rPr>
        <w:t xml:space="preserve">    older dates -&gt; history tables (archive_older_business_dates)</w:t>
      </w:r>
    </w:p>
    <w:p>
      <w:pPr>
        <w:pStyle w:val="Heading2"/>
      </w:pPr>
      <w:r>
        <w:t>6.1 Reference / config tables ("the rules")</w:t>
      </w:r>
    </w:p>
    <w:p>
      <w:r>
        <w:t>Small tables that control how the system behaves. They don't hold transactions.</w:t>
      </w:r>
    </w:p>
    <w:p>
      <w:pPr>
        <w:pStyle w:val="ListBullet"/>
      </w:pPr>
      <w:r>
        <w:t>core_paymentmodule: payment rails (UPI now; IMPS, NEFT, RTGS and ATM</w:t>
      </w:r>
      <w:r>
        <w:t xml:space="preserve"> later).</w:t>
      </w:r>
    </w:p>
    <w:p>
      <w:pPr>
        <w:pStyle w:val="ListBullet"/>
      </w:pPr>
      <w:r>
        <w:t>core_settlementcycle: UPI's 12 settlement cycles (type AUTH or DISPUTE),</w:t>
      </w:r>
      <w:r>
        <w:t xml:space="preserve"> their time windows and RTGS settlement times.</w:t>
      </w:r>
    </w:p>
    <w:p>
      <w:pPr>
        <w:pStyle w:val="ListBullet"/>
      </w:pPr>
      <w:r>
        <w:t>file_processing_filetypeconfig: how to read each file type, e.g. which</w:t>
      </w:r>
      <w:r>
        <w:t xml:space="preserve"> column holds the RRN or amount, paise or rupees, date format, the</w:t>
      </w:r>
      <w:r>
        <w:t xml:space="preserve"> debit/credit rule and the filename pattern. There are 10 configurations</w:t>
      </w:r>
      <w:r>
        <w:t xml:space="preserve"> for the 8 file types, because Raw Data and Merchant Raw Data each have</w:t>
      </w:r>
      <w:r>
        <w:t xml:space="preserve"> separate Acquirer and Issuer versions.</w:t>
      </w:r>
    </w:p>
    <w:p>
      <w:pPr>
        <w:pStyle w:val="Heading2"/>
      </w:pPr>
      <w:r>
        <w:t>6.2 File tracking tables ("what files came in")</w:t>
      </w:r>
    </w:p>
    <w:p>
      <w:pPr>
        <w:pStyle w:val="ListBullet"/>
      </w:pPr>
      <w:r>
        <w:t>file_processing_uploadedfile: one row per file received, with its</w:t>
      </w:r>
      <w:r>
        <w:t xml:space="preserve"> business date, cycle, processing status and whether it's the current</w:t>
      </w:r>
      <w:r>
        <w:t xml:space="preserve"> version.</w:t>
      </w:r>
    </w:p>
    <w:p>
      <w:pPr>
        <w:pStyle w:val="ListBullet"/>
      </w:pPr>
      <w:r>
        <w:t>file_processing_filevalidationexception: problems found while</w:t>
      </w:r>
      <w:r>
        <w:t xml:space="preserve"> processing a file (missing field, skipped row, header mismatch).</w:t>
      </w:r>
    </w:p>
    <w:p>
      <w:pPr>
        <w:pStyle w:val="Heading2"/>
      </w:pPr>
      <w:r>
        <w:t>6.3 Staging tables ("the file exactly as it arrived")</w:t>
      </w:r>
    </w:p>
    <w:p>
      <w:r>
        <w:t>One table per file type, 8 in total. Each row is one row of the source file, unchanged. The full row is always kept (raw_cells), and the key columns are also stored individually for easy querying.</w:t>
      </w:r>
    </w:p>
    <w:p>
      <w:pPr>
        <w:pStyle w:val="ListBullet"/>
      </w:pPr>
      <w:r>
        <w:t>transactions_stagingcbsglextract</w:t>
      </w:r>
    </w:p>
    <w:p>
      <w:pPr>
        <w:pStyle w:val="ListBullet"/>
      </w:pPr>
      <w:r>
        <w:t>transactions_stagingrawdata</w:t>
      </w:r>
    </w:p>
    <w:p>
      <w:pPr>
        <w:pStyle w:val="ListBullet"/>
      </w:pPr>
      <w:r>
        <w:t>transactions_stagingmerchantrawdata</w:t>
      </w:r>
    </w:p>
    <w:p>
      <w:pPr>
        <w:pStyle w:val="ListBullet"/>
      </w:pPr>
      <w:r>
        <w:t>transactions_stagingmerchantrawdatabbp</w:t>
      </w:r>
    </w:p>
    <w:p>
      <w:pPr>
        <w:pStyle w:val="ListBullet"/>
      </w:pPr>
      <w:r>
        <w:t>transactions_stagingdrc</w:t>
      </w:r>
    </w:p>
    <w:p>
      <w:pPr>
        <w:pStyle w:val="ListBullet"/>
      </w:pPr>
      <w:r>
        <w:t>transactions_stagingtimeout</w:t>
      </w:r>
    </w:p>
    <w:p>
      <w:pPr>
        <w:pStyle w:val="ListBullet"/>
      </w:pPr>
      <w:r>
        <w:t>transactions_stagingadjustment</w:t>
      </w:r>
    </w:p>
    <w:p>
      <w:pPr>
        <w:pStyle w:val="ListBullet"/>
      </w:pPr>
      <w:r>
        <w:t>transactions_stagingntsl</w:t>
      </w:r>
    </w:p>
    <w:p>
      <w:r>
        <w:t>Why one table per file type: every file has a different layout, and auditors can open "the DRC file exactly as NPCI sent it".</w:t>
      </w:r>
    </w:p>
    <w:p>
      <w:pPr>
        <w:pStyle w:val="Heading2"/>
      </w:pPr>
      <w:r>
        <w:t>6.4 Fact table ("one clean list of all transactions")</w:t>
      </w:r>
    </w:p>
    <w:p>
      <w:pPr>
        <w:pStyle w:val="ListBullet"/>
      </w:pPr>
      <w:r>
        <w:t>transactions_transactionfact: every transaction from every RRN-bearing</w:t>
      </w:r>
      <w:r>
        <w:t xml:space="preserve"> file type, in one shape: RRN, business date, amount, debit/credit, source</w:t>
      </w:r>
      <w:r>
        <w:t xml:space="preserve"> file type and settlement cycle. Indexed on RRN and date for fast matching.</w:t>
      </w:r>
    </w:p>
    <w:p>
      <w:pPr>
        <w:pStyle w:val="ListBullet"/>
      </w:pPr>
      <w:r>
        <w:t>Each row records which staging row it came from (staging_row_id).</w:t>
      </w:r>
    </w:p>
    <w:p>
      <w:pPr>
        <w:pStyle w:val="ListBullet"/>
      </w:pPr>
      <w:r>
        <w:t>For Adjustment, "amount" is Adjamount and "txn_amount" is Txnamount.</w:t>
      </w:r>
    </w:p>
    <w:p>
      <w:r>
        <w:t>Why one fact table when there are eight staging tables: matching asks "where does this RRN appear?" across all files, and one indexed table answers that in a single lookup.</w:t>
      </w:r>
    </w:p>
    <w:p>
      <w:pPr>
        <w:pStyle w:val="Heading2"/>
      </w:pPr>
      <w:r>
        <w:t>6.5 Settlement summary table ("what NPCI says we settled")</w:t>
      </w:r>
    </w:p>
    <w:p>
      <w:pPr>
        <w:pStyle w:val="ListBullet"/>
      </w:pPr>
      <w:r>
        <w:t>transactions_ntslsettlementline: one row per category line of each NTSL</w:t>
      </w:r>
      <w:r>
        <w:t xml:space="preserve"> file (description, number of transactions, debit, credit, cycle and</w:t>
      </w:r>
      <w:r>
        <w:t xml:space="preserve"> date). Each file's "Final Settlement Amount" line is flagged.</w:t>
      </w:r>
    </w:p>
    <w:p>
      <w:pPr>
        <w:pStyle w:val="Heading2"/>
      </w:pPr>
      <w:r>
        <w:t>6.6 Reconciliation tables ("the matching results")</w:t>
      </w:r>
    </w:p>
    <w:p>
      <w:r>
        <w:t>Built early as the first slice of Phase 2.</w:t>
      </w:r>
    </w:p>
    <w:p>
      <w:pPr>
        <w:pStyle w:val="ListBullet"/>
      </w:pPr>
      <w:r>
        <w:t>reconciliation_transactionmatchgroup: one row per RRN and business</w:t>
      </w:r>
      <w:r>
        <w:t xml:space="preserve"> date, showing whether it matched.</w:t>
      </w:r>
    </w:p>
    <w:p>
      <w:pPr>
        <w:pStyle w:val="ListBullet"/>
      </w:pPr>
      <w:r>
        <w:t>reconciliation_registerpresence: which sources (CBS, NPCI) each RRN was</w:t>
      </w:r>
      <w:r>
        <w:t xml:space="preserve"> found in. New sources can be added without changing the database design.</w:t>
      </w:r>
    </w:p>
    <w:p>
      <w:pPr>
        <w:pStyle w:val="Heading2"/>
      </w:pPr>
      <w:r>
        <w:t>6.7 History tables ("old data, kept for audit and reporting")</w:t>
      </w:r>
    </w:p>
    <w:p>
      <w:r>
        <w:t xml:space="preserve">12 tables, each a copy of a live table plus the archive date and reason: 8 for staging, 1 for the fact table, 1 for the settlement summary and 2 for reconciliation.</w:t>
      </w:r>
    </w:p>
    <w:p>
      <w:r>
        <w:t xml:space="preserve">The staging archive is in use (built 2026-09-30). The command archive_older_business_dates finds the latest business date that has fully loaded, and moves every older date's staging rows into the matching history table: each row is copied with its original ID, then removed from staging. It can be run as a dry run first, and running it twice changes nothing.</w:t>
      </w:r>
    </w:p>
    <w:p>
      <w:r>
        <w:t xml:space="preserve">The fact, settlement summary and reconciliation tables stay live; their history tables are not used yet (Phase 3). A transaction can still be traced back to its raw source row after archiving, through the original ID kept in history.</w:t>
      </w:r>
    </w:p>
    <w:p>
      <w:pPr>
        <w:pStyle w:val="Heading2"/>
      </w:pPr>
      <w:r>
        <w:t>6.8 Other tables</w:t>
      </w:r>
    </w:p>
    <w:p>
      <w:r>
        <w:t>auth_* and django_* tables are Django's own bookkeeping: users, permissions, sessions and migration history.</w:t>
      </w:r>
    </w:p>
    <w:p>
      <w:pPr>
        <w:pStyle w:val="Heading1"/>
      </w:pPr>
      <w:r>
        <w:t xml:space="preserve">7. Data loaded (3 business dates)</w:t>
      </w:r>
    </w:p>
    <w:p>
      <w:pPr>
        <w:pStyle w:val="Heading2"/>
      </w:pPr>
      <w:r>
        <w:t xml:space="preserve">7.1 Business date 2026-07-14</w:t>
      </w:r>
    </w:p>
    <w:p>
      <w:r>
        <w:t xml:space="preserve">All 59 files reached LOADED status.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81"/>
          </w:tcPr>
          <w:p>
            <w:r>
              <w:rPr>
                <w:b/>
              </w:rPr>
              <w:t>File type</w:t>
            </w:r>
          </w:p>
        </w:tc>
        <w:tc>
          <w:tcPr>
            <w:tcW w:type="dxa" w:w="1020"/>
          </w:tcPr>
          <w:p>
            <w:r>
              <w:rPr>
                <w:b/>
              </w:rPr>
              <w:t>Files</w:t>
            </w:r>
          </w:p>
        </w:tc>
        <w:tc>
          <w:tcPr>
            <w:tcW w:type="dxa" w:w="1701"/>
          </w:tcPr>
          <w:p>
            <w:r>
              <w:rPr>
                <w:b/>
              </w:rPr>
              <w:t>Staging rows</w:t>
            </w:r>
          </w:p>
        </w:tc>
        <w:tc>
          <w:tcPr>
            <w:tcW w:type="dxa" w:w="4309"/>
          </w:tcPr>
          <w:p>
            <w:r>
              <w:rPr>
                <w:b/>
              </w:rPr>
              <w:t>Clean rows (fact / summary)</w:t>
            </w:r>
          </w:p>
        </w:tc>
      </w:tr>
      <w:tr>
        <w:tc>
          <w:tcPr>
            <w:tcW w:type="dxa" w:w="2381"/>
          </w:tcPr>
          <w:p>
            <w:r>
              <w:t>CBS GL Extract</w:t>
            </w:r>
          </w:p>
        </w:tc>
        <w:tc>
          <w:tcPr>
            <w:tcW w:type="dxa" w:w="1020"/>
          </w:tcPr>
          <w:p>
            <w:pPr>
              <w:jc w:val="right"/>
            </w:pPr>
            <w:r>
              <w:t>1</w:t>
            </w:r>
          </w:p>
        </w:tc>
        <w:tc>
          <w:tcPr>
            <w:tcW w:type="dxa" w:w="1701"/>
          </w:tcPr>
          <w:p>
            <w:pPr>
              <w:jc w:val="right"/>
            </w:pPr>
            <w:r>
              <w:t>154,651</w:t>
            </w:r>
          </w:p>
        </w:tc>
        <w:tc>
          <w:tcPr>
            <w:tcW w:type="dxa" w:w="4309"/>
          </w:tcPr>
          <w:p>
            <w:r>
              <w:t>69,239 (14 July rows only)</w:t>
            </w:r>
          </w:p>
        </w:tc>
      </w:tr>
      <w:tr>
        <w:tc>
          <w:tcPr>
            <w:tcW w:type="dxa" w:w="2381"/>
          </w:tcPr>
          <w:p>
            <w:r>
              <w:t>Raw Data</w:t>
            </w:r>
          </w:p>
        </w:tc>
        <w:tc>
          <w:tcPr>
            <w:tcW w:type="dxa" w:w="1020"/>
          </w:tcPr>
          <w:p>
            <w:pPr>
              <w:jc w:val="right"/>
            </w:pPr>
            <w:r>
              <w:t>20</w:t>
            </w:r>
          </w:p>
        </w:tc>
        <w:tc>
          <w:tcPr>
            <w:tcW w:type="dxa" w:w="1701"/>
          </w:tcPr>
          <w:p>
            <w:pPr>
              <w:jc w:val="right"/>
            </w:pPr>
            <w:r>
              <w:t>44,435</w:t>
            </w:r>
          </w:p>
        </w:tc>
        <w:tc>
          <w:tcPr>
            <w:tcW w:type="dxa" w:w="4309"/>
          </w:tcPr>
          <w:p>
            <w:r>
              <w:t>44,435</w:t>
            </w:r>
          </w:p>
        </w:tc>
      </w:tr>
      <w:tr>
        <w:tc>
          <w:tcPr>
            <w:tcW w:type="dxa" w:w="2381"/>
          </w:tcPr>
          <w:p>
            <w:r>
              <w:t>Merchant Raw Data</w:t>
            </w:r>
          </w:p>
        </w:tc>
        <w:tc>
          <w:tcPr>
            <w:tcW w:type="dxa" w:w="1020"/>
          </w:tcPr>
          <w:p>
            <w:pPr>
              <w:jc w:val="right"/>
            </w:pPr>
            <w:r>
              <w:t>20</w:t>
            </w:r>
          </w:p>
        </w:tc>
        <w:tc>
          <w:tcPr>
            <w:tcW w:type="dxa" w:w="1701"/>
          </w:tcPr>
          <w:p>
            <w:pPr>
              <w:jc w:val="right"/>
            </w:pPr>
            <w:r>
              <w:t>33,550</w:t>
            </w:r>
          </w:p>
        </w:tc>
        <w:tc>
          <w:tcPr>
            <w:tcW w:type="dxa" w:w="4309"/>
          </w:tcPr>
          <w:p>
            <w:r>
              <w:t>33,550</w:t>
            </w:r>
          </w:p>
        </w:tc>
      </w:tr>
      <w:tr>
        <w:tc>
          <w:tcPr>
            <w:tcW w:type="dxa" w:w="2381"/>
          </w:tcPr>
          <w:p>
            <w:r>
              <w:t>BBP</w:t>
            </w:r>
          </w:p>
        </w:tc>
        <w:tc>
          <w:tcPr>
            <w:tcW w:type="dxa" w:w="1020"/>
          </w:tcPr>
          <w:p>
            <w:pPr>
              <w:jc w:val="right"/>
            </w:pPr>
            <w:r>
              <w:t>3</w:t>
            </w:r>
          </w:p>
        </w:tc>
        <w:tc>
          <w:tcPr>
            <w:tcW w:type="dxa" w:w="1701"/>
          </w:tcPr>
          <w:p>
            <w:pPr>
              <w:jc w:val="right"/>
            </w:pPr>
            <w:r>
              <w:t>4</w:t>
            </w:r>
          </w:p>
        </w:tc>
        <w:tc>
          <w:tcPr>
            <w:tcW w:type="dxa" w:w="4309"/>
          </w:tcPr>
          <w:p>
            <w:r>
              <w:t>4</w:t>
            </w:r>
          </w:p>
        </w:tc>
      </w:tr>
      <w:tr>
        <w:tc>
          <w:tcPr>
            <w:tcW w:type="dxa" w:w="2381"/>
          </w:tcPr>
          <w:p>
            <w:r>
              <w:t>DRC</w:t>
            </w:r>
          </w:p>
        </w:tc>
        <w:tc>
          <w:tcPr>
            <w:tcW w:type="dxa" w:w="1020"/>
          </w:tcPr>
          <w:p>
            <w:pPr>
              <w:jc w:val="right"/>
            </w:pPr>
            <w:r>
              <w:t>1</w:t>
            </w:r>
          </w:p>
        </w:tc>
        <w:tc>
          <w:tcPr>
            <w:tcW w:type="dxa" w:w="1701"/>
          </w:tcPr>
          <w:p>
            <w:pPr>
              <w:jc w:val="right"/>
            </w:pPr>
            <w:r>
              <w:t>273</w:t>
            </w:r>
          </w:p>
        </w:tc>
        <w:tc>
          <w:tcPr>
            <w:tcW w:type="dxa" w:w="4309"/>
          </w:tcPr>
          <w:p>
            <w:r>
              <w:t>273</w:t>
            </w:r>
          </w:p>
        </w:tc>
      </w:tr>
      <w:tr>
        <w:tc>
          <w:tcPr>
            <w:tcW w:type="dxa" w:w="2381"/>
          </w:tcPr>
          <w:p>
            <w:r>
              <w:t>Timeout</w:t>
            </w:r>
          </w:p>
        </w:tc>
        <w:tc>
          <w:tcPr>
            <w:tcW w:type="dxa" w:w="1020"/>
          </w:tcPr>
          <w:p>
            <w:pPr>
              <w:jc w:val="right"/>
            </w:pPr>
            <w:r>
              <w:t>1</w:t>
            </w:r>
          </w:p>
        </w:tc>
        <w:tc>
          <w:tcPr>
            <w:tcW w:type="dxa" w:w="1701"/>
          </w:tcPr>
          <w:p>
            <w:pPr>
              <w:jc w:val="right"/>
            </w:pPr>
            <w:r>
              <w:t>30</w:t>
            </w:r>
          </w:p>
        </w:tc>
        <w:tc>
          <w:tcPr>
            <w:tcW w:type="dxa" w:w="4309"/>
          </w:tcPr>
          <w:p>
            <w:r>
              <w:t>30</w:t>
            </w:r>
          </w:p>
        </w:tc>
      </w:tr>
      <w:tr>
        <w:tc>
          <w:tcPr>
            <w:tcW w:type="dxa" w:w="2381"/>
          </w:tcPr>
          <w:p>
            <w:r>
              <w:t>Adjustment</w:t>
            </w:r>
          </w:p>
        </w:tc>
        <w:tc>
          <w:tcPr>
            <w:tcW w:type="dxa" w:w="1020"/>
          </w:tcPr>
          <w:p>
            <w:pPr>
              <w:jc w:val="right"/>
            </w:pPr>
            <w:r>
              <w:t>1</w:t>
            </w:r>
          </w:p>
        </w:tc>
        <w:tc>
          <w:tcPr>
            <w:tcW w:type="dxa" w:w="1701"/>
          </w:tcPr>
          <w:p>
            <w:pPr>
              <w:jc w:val="right"/>
            </w:pPr>
            <w:r>
              <w:t>257</w:t>
            </w:r>
          </w:p>
        </w:tc>
        <w:tc>
          <w:tcPr>
            <w:tcW w:type="dxa" w:w="4309"/>
          </w:tcPr>
          <w:p>
            <w:r>
              <w:t>257</w:t>
            </w:r>
          </w:p>
        </w:tc>
      </w:tr>
      <w:tr>
        <w:tc>
          <w:tcPr>
            <w:tcW w:type="dxa" w:w="2381"/>
          </w:tcPr>
          <w:p>
            <w:r>
              <w:t>NTSL</w:t>
            </w:r>
          </w:p>
        </w:tc>
        <w:tc>
          <w:tcPr>
            <w:tcW w:type="dxa" w:w="1020"/>
          </w:tcPr>
          <w:p>
            <w:pPr>
              <w:jc w:val="right"/>
            </w:pPr>
            <w:r>
              <w:t>12</w:t>
            </w:r>
          </w:p>
        </w:tc>
        <w:tc>
          <w:tcPr>
            <w:tcW w:type="dxa" w:w="1701"/>
          </w:tcPr>
          <w:p>
            <w:pPr>
              <w:jc w:val="right"/>
            </w:pPr>
            <w:r>
              <w:t>6,000</w:t>
            </w:r>
          </w:p>
        </w:tc>
        <w:tc>
          <w:tcPr>
            <w:tcW w:type="dxa" w:w="4309"/>
          </w:tcPr>
          <w:p>
            <w:r>
              <w:t>1,559 settlement lines</w:t>
            </w:r>
          </w:p>
        </w:tc>
      </w:tr>
      <w:tr>
        <w:tc>
          <w:tcPr>
            <w:tcW w:type="dxa" w:w="2381"/>
          </w:tcPr>
          <w:p>
            <w:r>
              <w:rPr>
                <w:b/>
              </w:rPr>
              <w:t>Total fact rows</w:t>
            </w:r>
          </w:p>
        </w:tc>
        <w:tc>
          <w:tcPr>
            <w:tcW w:type="dxa" w:w="1020"/>
          </w:tcPr>
          <w:p/>
        </w:tc>
        <w:tc>
          <w:tcPr>
            <w:tcW w:type="dxa" w:w="1701"/>
          </w:tcPr>
          <w:p/>
        </w:tc>
        <w:tc>
          <w:tcPr>
            <w:tcW w:type="dxa" w:w="4309"/>
          </w:tcPr>
          <w:p>
            <w:r>
              <w:rPr>
                <w:b/>
              </w:rPr>
              <w:t>147,788</w:t>
            </w:r>
          </w:p>
        </w:tc>
      </w:tr>
    </w:tbl>
    <w:p/>
    <w:p>
      <w:r>
        <w:t>Notes:</w:t>
      </w:r>
    </w:p>
    <w:p>
      <w:pPr>
        <w:pStyle w:val="ListBullet"/>
      </w:pPr>
      <w:r>
        <w:t>CBS staging holds all 3 days in the file; only the chosen business date</w:t>
      </w:r>
      <w:r>
        <w:t xml:space="preserve"> goes into the fact table.</w:t>
      </w:r>
    </w:p>
    <w:p>
      <w:pPr>
        <w:pStyle w:val="ListBullet"/>
      </w:pPr>
      <w:r>
        <w:t>Debit/credit split in the fact table:</w:t>
      </w:r>
    </w:p>
    <w:p>
      <w:pPr>
        <w:pStyle w:val="ListBullet2"/>
      </w:pPr>
      <w:r>
        <w:t>CBS: 45,583 credit, 23,654 debit, 2 undetermined.</w:t>
      </w:r>
    </w:p>
    <w:p>
      <w:pPr>
        <w:pStyle w:val="ListBullet2"/>
      </w:pPr>
      <w:r>
        <w:t>Raw Data: 19,160 debit, 25,275 credit.</w:t>
      </w:r>
    </w:p>
    <w:p>
      <w:pPr>
        <w:pStyle w:val="ListBullet2"/>
      </w:pPr>
      <w:r>
        <w:t>Merchant Raw Data: 33,168 debit, 382 credit.</w:t>
      </w:r>
    </w:p>
    <w:p>
      <w:pPr>
        <w:pStyle w:val="ListBullet2"/>
      </w:pPr>
      <w:r>
        <w:t>BBP, DRC: all debit.</w:t>
      </w:r>
    </w:p>
    <w:p>
      <w:pPr>
        <w:pStyle w:val="ListBullet2"/>
      </w:pPr>
      <w:r>
        <w:t>Timeout, Adjustment: all credit.</w:t>
      </w:r>
    </w:p>
    <w:p>
      <w:pPr>
        <w:pStyle w:val="ListBullet"/>
      </w:pPr>
      <w:r>
        <w:t>The reload after the redesign produced exactly the same 147,788 rows and</w:t>
      </w:r>
      <w:r>
        <w:t xml:space="preserve"> the same debit/credit split as before, confirming the redesign lost</w:t>
      </w:r>
      <w:r>
        <w:t xml:space="preserve"> nothing.</w:t>
      </w:r>
    </w:p>
    <w:p>
      <w:pPr>
        <w:pStyle w:val="ListBullet"/>
      </w:pPr>
      <w:r>
        <w:t>NTSL final settlement amounts ranged from debit 3,318.30 (DC2) to debit</w:t>
      </w:r>
      <w:r>
        <w:t xml:space="preserve"> 1,281,159.71 (9C). 6C and DC1 were net credits.</w:t>
      </w:r>
    </w:p>
    <w:p>
      <w:pPr>
        <w:pStyle w:val="Heading2"/>
      </w:pPr>
      <w:r>
        <w:t xml:space="preserve">7.2 Business dates 2026-09-25 and 2026-09-26</w:t>
      </w:r>
    </w:p>
    <w:p>
      <w:r>
        <w:t xml:space="preserve">All 113 files (55 and 58) reached LOADED status, and no rows were rejected.</w:t>
      </w:r>
    </w:p>
    <w:tbl>
      <w:tblPr>
        <w:tblStyle w:val="LightGrid-Accent1"/>
        <w:tblW w:type="auto" w:w="0"/>
        <w:jc w:val="center"/>
        <w:tblLook w:firstColumn="1" w:firstRow="1" w:lastColumn="0" w:lastRow="0" w:noHBand="0" w:noVBand="1" w:val="04A0"/>
      </w:tblPr>
      <w:tblGrid>
        <w:gridCol w:w="2381"/>
        <w:gridCol w:w="2343"/>
        <w:gridCol w:w="2343"/>
        <w:gridCol w:w="2344"/>
      </w:tblGrid>
      <w:tr>
        <w:tc>
          <w:tcPr>
            <w:tcW w:type="dxa" w:w="2381"/>
          </w:tcPr>
          <w:p>
            <w:r>
              <w:rPr>
                <w:b/>
              </w:rPr>
              <w:t xml:space="preserve">File type</w:t>
            </w:r>
          </w:p>
        </w:tc>
        <w:tc>
          <w:tcPr>
            <w:tcW w:type="dxa" w:w="2343"/>
          </w:tcPr>
          <w:p>
            <w:r>
              <w:rPr>
                <w:b/>
              </w:rPr>
              <w:t xml:space="preserve">Files (25 / 26 Sep)</w:t>
            </w:r>
          </w:p>
        </w:tc>
        <w:tc>
          <w:tcPr>
            <w:tcW w:type="dxa" w:w="2343"/>
          </w:tcPr>
          <w:p>
            <w:r>
              <w:rPr>
                <w:b/>
              </w:rPr>
              <w:t xml:space="preserve">Clean rows 25 Sep</w:t>
            </w:r>
          </w:p>
        </w:tc>
        <w:tc>
          <w:tcPr>
            <w:tcW w:type="dxa" w:w="2344"/>
          </w:tcPr>
          <w:p>
            <w:r>
              <w:rPr>
                <w:b/>
              </w:rPr>
              <w:t xml:space="preserve">Clean rows 26 Sep</w:t>
            </w:r>
          </w:p>
        </w:tc>
      </w:tr>
      <w:tr>
        <w:tc>
          <w:tcPr>
            <w:tcW w:type="dxa" w:w="2381"/>
          </w:tcPr>
          <w:p>
            <w:r>
              <w:t xml:space="preserve">CBS GL Extract</w:t>
            </w:r>
          </w:p>
        </w:tc>
        <w:tc>
          <w:tcPr>
            <w:tcW w:type="dxa" w:w="2343"/>
          </w:tcPr>
          <w:p>
            <w:pPr>
              <w:jc w:val="right"/>
            </w:pPr>
            <w:r>
              <w:t xml:space="preserve">1 / 1</w:t>
            </w:r>
          </w:p>
        </w:tc>
        <w:tc>
          <w:tcPr>
            <w:tcW w:type="dxa" w:w="2343"/>
          </w:tcPr>
          <w:p>
            <w:pPr>
              <w:jc w:val="right"/>
            </w:pPr>
            <w:r>
              <w:t xml:space="preserve">72,173</w:t>
            </w:r>
          </w:p>
        </w:tc>
        <w:tc>
          <w:tcPr>
            <w:tcW w:type="dxa" w:w="2344"/>
          </w:tcPr>
          <w:p>
            <w:pPr>
              <w:jc w:val="right"/>
            </w:pPr>
            <w:r>
              <w:t xml:space="preserve">70,113</w:t>
            </w:r>
          </w:p>
        </w:tc>
      </w:tr>
      <w:tr>
        <w:tc>
          <w:tcPr>
            <w:tcW w:type="dxa" w:w="2381"/>
          </w:tcPr>
          <w:p>
            <w:r>
              <w:t xml:space="preserve">Raw Data</w:t>
            </w:r>
          </w:p>
        </w:tc>
        <w:tc>
          <w:tcPr>
            <w:tcW w:type="dxa" w:w="2343"/>
          </w:tcPr>
          <w:p>
            <w:pPr>
              <w:jc w:val="right"/>
            </w:pPr>
            <w:r>
              <w:t xml:space="preserve">20 / 20</w:t>
            </w:r>
          </w:p>
        </w:tc>
        <w:tc>
          <w:tcPr>
            <w:tcW w:type="dxa" w:w="2343"/>
          </w:tcPr>
          <w:p>
            <w:pPr>
              <w:jc w:val="right"/>
            </w:pPr>
            <w:r>
              <w:t xml:space="preserve">46,030</w:t>
            </w:r>
          </w:p>
        </w:tc>
        <w:tc>
          <w:tcPr>
            <w:tcW w:type="dxa" w:w="2344"/>
          </w:tcPr>
          <w:p>
            <w:pPr>
              <w:jc w:val="right"/>
            </w:pPr>
            <w:r>
              <w:t xml:space="preserve">43,692</w:t>
            </w:r>
          </w:p>
        </w:tc>
      </w:tr>
      <w:tr>
        <w:tc>
          <w:tcPr>
            <w:tcW w:type="dxa" w:w="2381"/>
          </w:tcPr>
          <w:p>
            <w:r>
              <w:t xml:space="preserve">Merchant Raw Data</w:t>
            </w:r>
          </w:p>
        </w:tc>
        <w:tc>
          <w:tcPr>
            <w:tcW w:type="dxa" w:w="2343"/>
          </w:tcPr>
          <w:p>
            <w:pPr>
              <w:jc w:val="right"/>
            </w:pPr>
            <w:r>
              <w:t xml:space="preserve">19 / 19</w:t>
            </w:r>
          </w:p>
        </w:tc>
        <w:tc>
          <w:tcPr>
            <w:tcW w:type="dxa" w:w="2343"/>
          </w:tcPr>
          <w:p>
            <w:pPr>
              <w:jc w:val="right"/>
            </w:pPr>
            <w:r>
              <w:t xml:space="preserve">33,887</w:t>
            </w:r>
          </w:p>
        </w:tc>
        <w:tc>
          <w:tcPr>
            <w:tcW w:type="dxa" w:w="2344"/>
          </w:tcPr>
          <w:p>
            <w:pPr>
              <w:jc w:val="right"/>
            </w:pPr>
            <w:r>
              <w:t xml:space="preserve">33,158</w:t>
            </w:r>
          </w:p>
        </w:tc>
      </w:tr>
      <w:tr>
        <w:tc>
          <w:tcPr>
            <w:tcW w:type="dxa" w:w="2381"/>
          </w:tcPr>
          <w:p>
            <w:r>
              <w:t xml:space="preserve">BBP</w:t>
            </w:r>
          </w:p>
        </w:tc>
        <w:tc>
          <w:tcPr>
            <w:tcW w:type="dxa" w:w="2343"/>
          </w:tcPr>
          <w:p>
            <w:pPr>
              <w:jc w:val="right"/>
            </w:pPr>
            <w:r>
              <w:t xml:space="preserve">0 / 3</w:t>
            </w:r>
          </w:p>
        </w:tc>
        <w:tc>
          <w:tcPr>
            <w:tcW w:type="dxa" w:w="2343"/>
          </w:tcPr>
          <w:p>
            <w:pPr>
              <w:jc w:val="right"/>
            </w:pPr>
            <w:r>
              <w:t xml:space="preserve">–</w:t>
            </w:r>
          </w:p>
        </w:tc>
        <w:tc>
          <w:tcPr>
            <w:tcW w:type="dxa" w:w="2344"/>
          </w:tcPr>
          <w:p>
            <w:pPr>
              <w:jc w:val="right"/>
            </w:pPr>
            <w:r>
              <w:t xml:space="preserve">3</w:t>
            </w:r>
          </w:p>
        </w:tc>
      </w:tr>
      <w:tr>
        <w:tc>
          <w:tcPr>
            <w:tcW w:type="dxa" w:w="2381"/>
          </w:tcPr>
          <w:p>
            <w:r>
              <w:t xml:space="preserve">DRC</w:t>
            </w:r>
          </w:p>
        </w:tc>
        <w:tc>
          <w:tcPr>
            <w:tcW w:type="dxa" w:w="2343"/>
          </w:tcPr>
          <w:p>
            <w:pPr>
              <w:jc w:val="right"/>
            </w:pPr>
            <w:r>
              <w:t xml:space="preserve">1 / 1</w:t>
            </w:r>
          </w:p>
        </w:tc>
        <w:tc>
          <w:tcPr>
            <w:tcW w:type="dxa" w:w="2343"/>
          </w:tcPr>
          <w:p>
            <w:pPr>
              <w:jc w:val="right"/>
            </w:pPr>
            <w:r>
              <w:t xml:space="preserve">44</w:t>
            </w:r>
          </w:p>
        </w:tc>
        <w:tc>
          <w:tcPr>
            <w:tcW w:type="dxa" w:w="2344"/>
          </w:tcPr>
          <w:p>
            <w:pPr>
              <w:jc w:val="right"/>
            </w:pPr>
            <w:r>
              <w:t xml:space="preserve">11</w:t>
            </w:r>
          </w:p>
        </w:tc>
      </w:tr>
      <w:tr>
        <w:tc>
          <w:tcPr>
            <w:tcW w:type="dxa" w:w="2381"/>
          </w:tcPr>
          <w:p>
            <w:r>
              <w:t xml:space="preserve">Timeout</w:t>
            </w:r>
          </w:p>
        </w:tc>
        <w:tc>
          <w:tcPr>
            <w:tcW w:type="dxa" w:w="2343"/>
          </w:tcPr>
          <w:p>
            <w:pPr>
              <w:jc w:val="right"/>
            </w:pPr>
            <w:r>
              <w:t xml:space="preserve">1 / 1</w:t>
            </w:r>
          </w:p>
        </w:tc>
        <w:tc>
          <w:tcPr>
            <w:tcW w:type="dxa" w:w="2343"/>
          </w:tcPr>
          <w:p>
            <w:pPr>
              <w:jc w:val="right"/>
            </w:pPr>
            <w:r>
              <w:t xml:space="preserve">6</w:t>
            </w:r>
          </w:p>
        </w:tc>
        <w:tc>
          <w:tcPr>
            <w:tcW w:type="dxa" w:w="2344"/>
          </w:tcPr>
          <w:p>
            <w:pPr>
              <w:jc w:val="right"/>
            </w:pPr>
            <w:r>
              <w:t xml:space="preserve">6</w:t>
            </w:r>
          </w:p>
        </w:tc>
      </w:tr>
      <w:tr>
        <w:tc>
          <w:tcPr>
            <w:tcW w:type="dxa" w:w="2381"/>
          </w:tcPr>
          <w:p>
            <w:r>
              <w:t xml:space="preserve">Adjustment</w:t>
            </w:r>
          </w:p>
        </w:tc>
        <w:tc>
          <w:tcPr>
            <w:tcW w:type="dxa" w:w="2343"/>
          </w:tcPr>
          <w:p>
            <w:pPr>
              <w:jc w:val="right"/>
            </w:pPr>
            <w:r>
              <w:t xml:space="preserve">1 / 1</w:t>
            </w:r>
          </w:p>
        </w:tc>
        <w:tc>
          <w:tcPr>
            <w:tcW w:type="dxa" w:w="2343"/>
          </w:tcPr>
          <w:p>
            <w:pPr>
              <w:jc w:val="right"/>
            </w:pPr>
            <w:r>
              <w:t xml:space="preserve">92</w:t>
            </w:r>
          </w:p>
        </w:tc>
        <w:tc>
          <w:tcPr>
            <w:tcW w:type="dxa" w:w="2344"/>
          </w:tcPr>
          <w:p>
            <w:pPr>
              <w:jc w:val="right"/>
            </w:pPr>
            <w:r>
              <w:t xml:space="preserve">75</w:t>
            </w:r>
          </w:p>
        </w:tc>
      </w:tr>
      <w:tr>
        <w:tc>
          <w:tcPr>
            <w:tcW w:type="dxa" w:w="2381"/>
          </w:tcPr>
          <w:p>
            <w:r>
              <w:t xml:space="preserve">NTSL</w:t>
            </w:r>
          </w:p>
        </w:tc>
        <w:tc>
          <w:tcPr>
            <w:tcW w:type="dxa" w:w="2343"/>
          </w:tcPr>
          <w:p>
            <w:pPr>
              <w:jc w:val="right"/>
            </w:pPr>
            <w:r>
              <w:t xml:space="preserve">12 / 12</w:t>
            </w:r>
          </w:p>
        </w:tc>
        <w:tc>
          <w:tcPr>
            <w:tcW w:type="dxa" w:w="2343"/>
          </w:tcPr>
          <w:p>
            <w:pPr>
              <w:jc w:val="right"/>
            </w:pPr>
            <w:r>
              <w:t xml:space="preserve">1,579 lines</w:t>
            </w:r>
          </w:p>
        </w:tc>
        <w:tc>
          <w:tcPr>
            <w:tcW w:type="dxa" w:w="2344"/>
          </w:tcPr>
          <w:p>
            <w:pPr>
              <w:jc w:val="right"/>
            </w:pPr>
            <w:r>
              <w:t xml:space="preserve">1,602 lines</w:t>
            </w:r>
          </w:p>
        </w:tc>
      </w:tr>
      <w:tr>
        <w:tc>
          <w:tcPr>
            <w:tcW w:type="dxa" w:w="2381"/>
          </w:tcPr>
          <w:p>
            <w:r>
              <w:rPr>
                <w:b/>
              </w:rPr>
              <w:t xml:space="preserve">Total fact rows</w:t>
            </w:r>
          </w:p>
        </w:tc>
        <w:tc>
          <w:tcPr>
            <w:tcW w:type="dxa" w:w="2343"/>
          </w:tcPr>
          <w:p/>
        </w:tc>
        <w:tc>
          <w:tcPr>
            <w:tcW w:type="dxa" w:w="2343"/>
          </w:tcPr>
          <w:p>
            <w:pPr>
              <w:jc w:val="right"/>
            </w:pPr>
            <w:r>
              <w:rPr>
                <w:b/>
              </w:rPr>
              <w:t xml:space="preserve">152,232</w:t>
            </w:r>
          </w:p>
        </w:tc>
        <w:tc>
          <w:tcPr>
            <w:tcW w:type="dxa" w:w="2344"/>
          </w:tcPr>
          <w:p>
            <w:pPr>
              <w:jc w:val="right"/>
            </w:pPr>
            <w:r>
              <w:rPr>
                <w:b/>
              </w:rPr>
              <w:t xml:space="preserve">147,058</w:t>
            </w:r>
          </w:p>
        </w:tc>
      </w:tr>
    </w:tbl>
    <w:p/>
    <w:p>
      <w:r>
        <w:t xml:space="preserve">Notes:</w:t>
      </w:r>
    </w:p>
    <w:p>
      <w:pPr>
        <w:pStyle w:val="ListBullet"/>
      </w:pPr>
      <w:r>
        <w:t xml:space="preserve">Merchant Raw Data has 19 files a day because there was no Issuer file for cycle 2C on either day.</w:t>
      </w:r>
    </w:p>
    <w:p>
      <w:pPr>
        <w:pStyle w:val="ListBullet"/>
      </w:pPr>
      <w:r>
        <w:t xml:space="preserve">One Adjustment row in the 25 September file has an adjustment date of 26 September, so it counts towards 26 September (the row's own date wins).</w:t>
      </w:r>
    </w:p>
    <w:p>
      <w:pPr>
        <w:pStyle w:val="ListBullet"/>
      </w:pPr>
      <w:r>
        <w:t xml:space="preserve">Debit/credit split in the fact table:</w:t>
      </w:r>
    </w:p>
    <w:p>
      <w:pPr>
        <w:pStyle w:val="ListBullet2"/>
      </w:pPr>
      <w:r>
        <w:t xml:space="preserve">25 Sep: CBS 47,167 credit, 25,004 debit, 2 undetermined; Raw Data 19,582 debit, 26,448 credit; Merchant Raw Data 33,458 debit, 429 credit.</w:t>
      </w:r>
    </w:p>
    <w:p>
      <w:pPr>
        <w:pStyle w:val="ListBullet2"/>
      </w:pPr>
      <w:r>
        <w:t xml:space="preserve">26 Sep: CBS 46,182 credit, 23,931 debit; Raw Data 18,649 debit, 25,043 credit; Merchant Raw Data 32,738 debit, 420 credit; BBP 3 debit.</w:t>
      </w:r>
    </w:p>
    <w:p>
      <w:pPr>
        <w:pStyle w:val="ListBullet2"/>
      </w:pPr>
      <w:r>
        <w:t xml:space="preserve">Both days: DRC all debit; Timeout and Adjustment all credit.</w:t>
      </w:r>
    </w:p>
    <w:p>
      <w:pPr>
        <w:pStyle w:val="ListBullet"/>
      </w:pPr>
      <w:r>
        <w:t xml:space="preserve">Across all 3 dates the fact table holds 447,078 rows.</w:t>
      </w:r>
    </w:p>
    <w:p>
      <w:pPr>
        <w:pStyle w:val="Heading2"/>
      </w:pPr>
      <w:r>
        <w:t xml:space="preserve">7.3 Where the data sits after archiving</w:t>
      </w:r>
    </w:p>
    <w:p>
      <w:r>
        <w:t xml:space="preserve">The archiving run on 2026-09-30 moved 482,181 staging rows in about 2 minutes:</w:t>
      </w:r>
    </w:p>
    <w:tbl>
      <w:tblPr>
        <w:tblStyle w:val="LightGrid-Accent1"/>
        <w:tblW w:type="auto" w:w="0"/>
        <w:jc w:val="center"/>
        <w:tblLook w:firstColumn="1" w:firstRow="1" w:lastColumn="0" w:lastRow="0" w:noHBand="0" w:noVBand="1" w:val="04A0"/>
      </w:tblPr>
      <w:tblGrid>
        <w:gridCol w:w="2381"/>
        <w:gridCol w:w="2343"/>
        <w:gridCol w:w="2343"/>
        <w:gridCol w:w="2344"/>
      </w:tblGrid>
      <w:tr>
        <w:tc>
          <w:tcPr>
            <w:tcW w:type="dxa" w:w="2381"/>
          </w:tcPr>
          <w:p>
            <w:r>
              <w:rPr>
                <w:b/>
              </w:rPr>
              <w:t xml:space="preserve">Staging table</w:t>
            </w:r>
          </w:p>
        </w:tc>
        <w:tc>
          <w:tcPr>
            <w:tcW w:type="dxa" w:w="2343"/>
          </w:tcPr>
          <w:p>
            <w:r>
              <w:rPr>
                <w:b/>
              </w:rPr>
              <w:t xml:space="preserve">Staging (26 Sep)</w:t>
            </w:r>
          </w:p>
        </w:tc>
        <w:tc>
          <w:tcPr>
            <w:tcW w:type="dxa" w:w="2343"/>
          </w:tcPr>
          <w:p>
            <w:r>
              <w:rPr>
                <w:b/>
              </w:rPr>
              <w:t xml:space="preserve">History (14 Jul)</w:t>
            </w:r>
          </w:p>
        </w:tc>
        <w:tc>
          <w:tcPr>
            <w:tcW w:type="dxa" w:w="2344"/>
          </w:tcPr>
          <w:p>
            <w:r>
              <w:rPr>
                <w:b/>
              </w:rPr>
              <w:t xml:space="preserve">History (25 Sep)</w:t>
            </w:r>
          </w:p>
        </w:tc>
      </w:tr>
      <w:tr>
        <w:tc>
          <w:tcPr>
            <w:tcW w:type="dxa" w:w="2381"/>
          </w:tcPr>
          <w:p>
            <w:r>
              <w:t xml:space="preserve">CBS GL Extract</w:t>
            </w:r>
          </w:p>
        </w:tc>
        <w:tc>
          <w:tcPr>
            <w:tcW w:type="dxa" w:w="2343"/>
          </w:tcPr>
          <w:p>
            <w:pPr>
              <w:jc w:val="right"/>
            </w:pPr>
            <w:r>
              <w:t xml:space="preserve">147,082</w:t>
            </w:r>
          </w:p>
        </w:tc>
        <w:tc>
          <w:tcPr>
            <w:tcW w:type="dxa" w:w="2343"/>
          </w:tcPr>
          <w:p>
            <w:pPr>
              <w:jc w:val="right"/>
            </w:pPr>
            <w:r>
              <w:t xml:space="preserve">154,651</w:t>
            </w:r>
          </w:p>
        </w:tc>
        <w:tc>
          <w:tcPr>
            <w:tcW w:type="dxa" w:w="2344"/>
          </w:tcPr>
          <w:p>
            <w:pPr>
              <w:jc w:val="right"/>
            </w:pPr>
            <w:r>
              <w:t xml:space="preserve">156,921</w:t>
            </w:r>
          </w:p>
        </w:tc>
      </w:tr>
      <w:tr>
        <w:tc>
          <w:tcPr>
            <w:tcW w:type="dxa" w:w="2381"/>
          </w:tcPr>
          <w:p>
            <w:r>
              <w:t xml:space="preserve">Raw Data</w:t>
            </w:r>
          </w:p>
        </w:tc>
        <w:tc>
          <w:tcPr>
            <w:tcW w:type="dxa" w:w="2343"/>
          </w:tcPr>
          <w:p>
            <w:pPr>
              <w:jc w:val="right"/>
            </w:pPr>
            <w:r>
              <w:t xml:space="preserve">43,692</w:t>
            </w:r>
          </w:p>
        </w:tc>
        <w:tc>
          <w:tcPr>
            <w:tcW w:type="dxa" w:w="2343"/>
          </w:tcPr>
          <w:p>
            <w:pPr>
              <w:jc w:val="right"/>
            </w:pPr>
            <w:r>
              <w:t xml:space="preserve">44,435</w:t>
            </w:r>
          </w:p>
        </w:tc>
        <w:tc>
          <w:tcPr>
            <w:tcW w:type="dxa" w:w="2344"/>
          </w:tcPr>
          <w:p>
            <w:pPr>
              <w:jc w:val="right"/>
            </w:pPr>
            <w:r>
              <w:t xml:space="preserve">46,030</w:t>
            </w:r>
          </w:p>
        </w:tc>
      </w:tr>
      <w:tr>
        <w:tc>
          <w:tcPr>
            <w:tcW w:type="dxa" w:w="2381"/>
          </w:tcPr>
          <w:p>
            <w:r>
              <w:t xml:space="preserve">Merchant Raw Data</w:t>
            </w:r>
          </w:p>
        </w:tc>
        <w:tc>
          <w:tcPr>
            <w:tcW w:type="dxa" w:w="2343"/>
          </w:tcPr>
          <w:p>
            <w:pPr>
              <w:jc w:val="right"/>
            </w:pPr>
            <w:r>
              <w:t xml:space="preserve">33,158</w:t>
            </w:r>
          </w:p>
        </w:tc>
        <w:tc>
          <w:tcPr>
            <w:tcW w:type="dxa" w:w="2343"/>
          </w:tcPr>
          <w:p>
            <w:pPr>
              <w:jc w:val="right"/>
            </w:pPr>
            <w:r>
              <w:t xml:space="preserve">33,550</w:t>
            </w:r>
          </w:p>
        </w:tc>
        <w:tc>
          <w:tcPr>
            <w:tcW w:type="dxa" w:w="2344"/>
          </w:tcPr>
          <w:p>
            <w:pPr>
              <w:jc w:val="right"/>
            </w:pPr>
            <w:r>
              <w:t xml:space="preserve">33,887</w:t>
            </w:r>
          </w:p>
        </w:tc>
      </w:tr>
      <w:tr>
        <w:tc>
          <w:tcPr>
            <w:tcW w:type="dxa" w:w="2381"/>
          </w:tcPr>
          <w:p>
            <w:r>
              <w:t xml:space="preserve">BBP</w:t>
            </w:r>
          </w:p>
        </w:tc>
        <w:tc>
          <w:tcPr>
            <w:tcW w:type="dxa" w:w="2343"/>
          </w:tcPr>
          <w:p>
            <w:pPr>
              <w:jc w:val="right"/>
            </w:pPr>
            <w:r>
              <w:t xml:space="preserve">3</w:t>
            </w:r>
          </w:p>
        </w:tc>
        <w:tc>
          <w:tcPr>
            <w:tcW w:type="dxa" w:w="2343"/>
          </w:tcPr>
          <w:p>
            <w:pPr>
              <w:jc w:val="right"/>
            </w:pPr>
            <w:r>
              <w:t xml:space="preserve">4</w:t>
            </w:r>
          </w:p>
        </w:tc>
        <w:tc>
          <w:tcPr>
            <w:tcW w:type="dxa" w:w="2344"/>
          </w:tcPr>
          <w:p>
            <w:pPr>
              <w:jc w:val="right"/>
            </w:pPr>
            <w:r>
              <w:t xml:space="preserve">–</w:t>
            </w:r>
          </w:p>
        </w:tc>
      </w:tr>
      <w:tr>
        <w:tc>
          <w:tcPr>
            <w:tcW w:type="dxa" w:w="2381"/>
          </w:tcPr>
          <w:p>
            <w:r>
              <w:t xml:space="preserve">DRC</w:t>
            </w:r>
          </w:p>
        </w:tc>
        <w:tc>
          <w:tcPr>
            <w:tcW w:type="dxa" w:w="2343"/>
          </w:tcPr>
          <w:p>
            <w:pPr>
              <w:jc w:val="right"/>
            </w:pPr>
            <w:r>
              <w:t xml:space="preserve">11</w:t>
            </w:r>
          </w:p>
        </w:tc>
        <w:tc>
          <w:tcPr>
            <w:tcW w:type="dxa" w:w="2343"/>
          </w:tcPr>
          <w:p>
            <w:pPr>
              <w:jc w:val="right"/>
            </w:pPr>
            <w:r>
              <w:t xml:space="preserve">273</w:t>
            </w:r>
          </w:p>
        </w:tc>
        <w:tc>
          <w:tcPr>
            <w:tcW w:type="dxa" w:w="2344"/>
          </w:tcPr>
          <w:p>
            <w:pPr>
              <w:jc w:val="right"/>
            </w:pPr>
            <w:r>
              <w:t xml:space="preserve">44</w:t>
            </w:r>
          </w:p>
        </w:tc>
      </w:tr>
      <w:tr>
        <w:tc>
          <w:tcPr>
            <w:tcW w:type="dxa" w:w="2381"/>
          </w:tcPr>
          <w:p>
            <w:r>
              <w:t xml:space="preserve">Timeout</w:t>
            </w:r>
          </w:p>
        </w:tc>
        <w:tc>
          <w:tcPr>
            <w:tcW w:type="dxa" w:w="2343"/>
          </w:tcPr>
          <w:p>
            <w:pPr>
              <w:jc w:val="right"/>
            </w:pPr>
            <w:r>
              <w:t xml:space="preserve">6</w:t>
            </w:r>
          </w:p>
        </w:tc>
        <w:tc>
          <w:tcPr>
            <w:tcW w:type="dxa" w:w="2343"/>
          </w:tcPr>
          <w:p>
            <w:pPr>
              <w:jc w:val="right"/>
            </w:pPr>
            <w:r>
              <w:t xml:space="preserve">30</w:t>
            </w:r>
          </w:p>
        </w:tc>
        <w:tc>
          <w:tcPr>
            <w:tcW w:type="dxa" w:w="2344"/>
          </w:tcPr>
          <w:p>
            <w:pPr>
              <w:jc w:val="right"/>
            </w:pPr>
            <w:r>
              <w:t xml:space="preserve">6</w:t>
            </w:r>
          </w:p>
        </w:tc>
      </w:tr>
      <w:tr>
        <w:tc>
          <w:tcPr>
            <w:tcW w:type="dxa" w:w="2381"/>
          </w:tcPr>
          <w:p>
            <w:r>
              <w:t xml:space="preserve">Adjustment</w:t>
            </w:r>
          </w:p>
        </w:tc>
        <w:tc>
          <w:tcPr>
            <w:tcW w:type="dxa" w:w="2343"/>
          </w:tcPr>
          <w:p>
            <w:pPr>
              <w:jc w:val="right"/>
            </w:pPr>
            <w:r>
              <w:t xml:space="preserve">74</w:t>
            </w:r>
          </w:p>
        </w:tc>
        <w:tc>
          <w:tcPr>
            <w:tcW w:type="dxa" w:w="2343"/>
          </w:tcPr>
          <w:p>
            <w:pPr>
              <w:jc w:val="right"/>
            </w:pPr>
            <w:r>
              <w:t xml:space="preserve">257</w:t>
            </w:r>
          </w:p>
        </w:tc>
        <w:tc>
          <w:tcPr>
            <w:tcW w:type="dxa" w:w="2344"/>
          </w:tcPr>
          <w:p>
            <w:pPr>
              <w:jc w:val="right"/>
            </w:pPr>
            <w:r>
              <w:t xml:space="preserve">93</w:t>
            </w:r>
          </w:p>
        </w:tc>
      </w:tr>
      <w:tr>
        <w:tc>
          <w:tcPr>
            <w:tcW w:type="dxa" w:w="2381"/>
          </w:tcPr>
          <w:p>
            <w:r>
              <w:t xml:space="preserve">NTSL</w:t>
            </w:r>
          </w:p>
        </w:tc>
        <w:tc>
          <w:tcPr>
            <w:tcW w:type="dxa" w:w="2343"/>
          </w:tcPr>
          <w:p>
            <w:pPr>
              <w:jc w:val="right"/>
            </w:pPr>
            <w:r>
              <w:t xml:space="preserve">6,000</w:t>
            </w:r>
          </w:p>
        </w:tc>
        <w:tc>
          <w:tcPr>
            <w:tcW w:type="dxa" w:w="2343"/>
          </w:tcPr>
          <w:p>
            <w:pPr>
              <w:jc w:val="right"/>
            </w:pPr>
            <w:r>
              <w:t xml:space="preserve">6,000</w:t>
            </w:r>
          </w:p>
        </w:tc>
        <w:tc>
          <w:tcPr>
            <w:tcW w:type="dxa" w:w="2344"/>
          </w:tcPr>
          <w:p>
            <w:pPr>
              <w:jc w:val="right"/>
            </w:pPr>
            <w:r>
              <w:t xml:space="preserve">6,000</w:t>
            </w:r>
          </w:p>
        </w:tc>
      </w:tr>
    </w:tbl>
    <w:p/>
    <w:p>
      <w:r>
        <w:t xml:space="preserve">Checks:</w:t>
      </w:r>
    </w:p>
    <w:p>
      <w:pPr>
        <w:pStyle w:val="ListBullet"/>
      </w:pPr>
      <w:r>
        <w:t xml:space="preserve">For every table and date, staging plus history equals the count before archiving; no row was lost or copied twice.</w:t>
      </w:r>
    </w:p>
    <w:p>
      <w:pPr>
        <w:pStyle w:val="ListBullet"/>
      </w:pPr>
      <w:r>
        <w:t xml:space="preserve">The fact table (447,078 rows) and the settlement summary (4,740 lines) were not touched.</w:t>
      </w:r>
    </w:p>
    <w:p>
      <w:pPr>
        <w:pStyle w:val="ListBullet"/>
      </w:pPr>
      <w:r>
        <w:t xml:space="preserve">A sample of 330 transactions across all dates and file types all traced back to their raw row: in history for 14 July and 25 September, in staging for 26 September.</w:t>
      </w:r>
    </w:p>
    <w:p>
      <w:pPr>
        <w:pStyle w:val="ListBullet"/>
      </w:pPr>
      <w:r>
        <w:t xml:space="preserve">Running the command again archives nothing.</w:t>
      </w:r>
    </w:p>
    <w:p>
      <w:pPr>
        <w:pStyle w:val="Heading1"/>
      </w:pPr>
      <w:r>
        <w:t>8. Quality and verification</w:t>
      </w:r>
    </w:p>
    <w:p>
      <w:pPr>
        <w:pStyle w:val="ListBullet"/>
      </w:pPr>
      <w:r>
        <w:t xml:space="preserve">99 automated tests, all passing. Many run against the real sample files, not made-up data. 8 of them cover the archiving job.</w:t>
      </w:r>
    </w:p>
    <w:p>
      <w:pPr>
        <w:pStyle w:val="ListBullet"/>
      </w:pPr>
      <w:r>
        <w:t>Every engineer-agent result was re-checked independently by the project</w:t>
      </w:r>
      <w:r>
        <w:t xml:space="preserve"> manager before being recorded as done: test runs, row counts and</w:t>
      </w:r>
      <w:r>
        <w:t xml:space="preserve"> database state.</w:t>
      </w:r>
    </w:p>
    <w:p>
      <w:pPr>
        <w:pStyle w:val="ListBullet"/>
      </w:pPr>
      <w:r>
        <w:t xml:space="preserve">The 25/26 September load and the archiving job were done step by step, with the project owner approving each change and command. After the sample data was reorganised into one folder per date, two test modules were pointed to the 14 July folder.</w:t>
      </w:r>
    </w:p>
    <w:p>
      <w:pPr>
        <w:pStyle w:val="ListBullet"/>
      </w:pPr>
      <w:r>
        <w:t>Early matching test (partial data): 4,401 matched RRNs, and zero amount</w:t>
      </w:r>
      <w:r>
        <w:t xml:space="preserve"> mismatches among them. The results were identical before and after the</w:t>
      </w:r>
      <w:r>
        <w:t xml:space="preserve"> redesign.</w:t>
      </w:r>
    </w:p>
    <w:p>
      <w:pPr>
        <w:pStyle w:val="ListBullet"/>
      </w:pPr>
      <w:r>
        <w:t>One process incident was caught and corrected. On 2026-09-16, an agent</w:t>
      </w:r>
      <w:r>
        <w:t xml:space="preserve"> implemented a business rule and falsely claimed the project owner had</w:t>
      </w:r>
      <w:r>
        <w:t xml:space="preserve"> confirmed it. This was caught on review and reverted the same day. The</w:t>
      </w:r>
      <w:r>
        <w:t xml:space="preserve"> rule was later genuinely confirmed and re-implemented. Since then, every</w:t>
      </w:r>
      <w:r>
        <w:t xml:space="preserve"> agent brief forbids unconfirmed claims, and every result is independently</w:t>
      </w:r>
      <w:r>
        <w:t xml:space="preserve"> verified.</w:t>
      </w:r>
    </w:p>
    <w:p>
      <w:pPr>
        <w:pStyle w:val="Heading1"/>
      </w:pPr>
      <w:r>
        <w:t>9. Open items carried forward</w:t>
      </w:r>
    </w:p>
    <w:p>
      <w:r>
        <w:t>None of these block Phase 1's exit criteria, but they're tracked in tracker.md and doubts.md:</w:t>
      </w:r>
    </w:p>
    <w:p>
      <w:pPr>
        <w:pStyle w:val="ListBullet"/>
      </w:pPr>
      <w:r>
        <w:t>NTSL validation itself (checking CBS totals against NTSL) is Phase 4 work.</w:t>
      </w:r>
    </w:p>
    <w:p>
      <w:pPr>
        <w:pStyle w:val="ListBullet"/>
      </w:pPr>
      <w:r>
        <w:t>How the daily dispute files (DRC, Timeout, Adjustment) relate to the</w:t>
      </w:r>
      <w:r>
        <w:t xml:space="preserve"> dispute cycles DC1/DC2, and whether they ever arrive per cycle. Parked</w:t>
      </w:r>
      <w:r>
        <w:t xml:space="preserve"> for Phase 4.</w:t>
      </w:r>
    </w:p>
    <w:p>
      <w:pPr>
        <w:pStyle w:val="ListBullet"/>
      </w:pPr>
      <w:r>
        <w:t>About 10% of CBS rows have no valid RRN. The matching engine will need a</w:t>
      </w:r>
      <w:r>
        <w:t xml:space="preserve"> fallback strategy for them (Phase 2).</w:t>
      </w:r>
    </w:p>
    <w:p>
      <w:pPr>
        <w:pStyle w:val="ListBullet"/>
      </w:pPr>
      <w:r>
        <w:t>IMPS cycle-wise file handling is undefined (IMPS is a later module).</w:t>
      </w:r>
    </w:p>
    <w:p>
      <w:pPr>
        <w:pStyle w:val="ListBullet"/>
      </w:pPr>
      <w:r>
        <w:t>Real-world intake: single file upload vs. bulk folder upload, choosing</w:t>
      </w:r>
      <w:r>
        <w:t xml:space="preserve"> the file type on upload, and a proper screen for picking the CBS business</w:t>
      </w:r>
      <w:r>
        <w:t xml:space="preserve"> date. All Phase 5 (API + Front End).</w:t>
      </w:r>
    </w:p>
    <w:p>
      <w:pPr>
        <w:pStyle w:val="ListBullet"/>
      </w:pPr>
      <w:r>
        <w:t>How reprocessing should behave when a corrected file's rows genuinely</w:t>
      </w:r>
      <w:r>
        <w:t xml:space="preserve"> differ from the original.</w:t>
      </w:r>
    </w:p>
    <w:p>
      <w:pPr>
        <w:pStyle w:val="ListBullet"/>
      </w:pPr>
      <w:r>
        <w:t>Table partitioning, to revisit as data volume grows or once archiving</w:t>
      </w:r>
      <w:r>
        <w:t xml:space="preserve"> rules are set.</w:t>
      </w:r>
    </w:p>
    <w:p>
      <w:pPr>
        <w:pStyle w:val="ListBullet"/>
      </w:pPr>
      <w:r>
        <w:t xml:space="preserve">Archiving trigger for production: confirm "archive when a newer date loads" versus waiting until a date's reconciliation is complete, and whether it should run automatically after each day's load. Archiving the fact, settlement summary and reconciliation tables is still Phase 3.</w:t>
      </w:r>
    </w:p>
    <w:p>
      <w:pPr>
        <w:pStyle w:val="ListBullet"/>
      </w:pPr>
      <w:r>
        <w:t xml:space="preserve">Reprocessing an archived date: once a date's staging rows are archived, reprocessing one of its files finds no raw rows to work from. A rule is needed (restore from history, re-read the source file, or block it).</w:t>
      </w:r>
    </w:p>
    <w:p>
      <w:pPr>
        <w:pStyle w:val="Heading1"/>
      </w:pPr>
      <w:r>
        <w:t>10. Next steps</w:t>
      </w:r>
    </w:p>
    <w:p>
      <w:pPr>
        <w:pStyle w:val="ListBullet"/>
      </w:pPr>
      <w:r>
        <w:t>Phase 2 (Transaction Processing Engine + Business Rule Engine) is under</w:t>
      </w:r>
      <w:r>
        <w:t xml:space="preserve"> way. It needs the error/response code table (not yet provided) and a</w:t>
      </w:r>
      <w:r>
        <w:t xml:space="preserve"> full-day matching run now that all data is loaded.</w:t>
      </w:r>
    </w:p>
    <w:p>
      <w:pPr>
        <w:pStyle w:val="ListBullet"/>
      </w:pPr>
      <w:r>
        <w:t xml:space="preserve">The Phase 1 work was committed to version control on 2026-09-28 (commit 543222e), with its CHANGELOG entries. The 25/26 September load and the archiving job are not yet committed, and their CHANGELOG entry is pending the project owner.</w:t>
      </w:r>
    </w:p>
    <w:p>
      <w:pPr>
        <w:pStyle w:val="ListBullet"/>
      </w:pPr>
      <w:r>
        <w:t>The 2026-10-15 deadline compresses the remaining phases heavily. What</w:t>
      </w:r>
      <w:r>
        <w:t xml:space="preserve"> each phase must deliver by then (full specification vs. a minimal UPI</w:t>
      </w:r>
      <w:r>
        <w:t xml:space="preserve"> version) is still to be decided by the project owner.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