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4620"/>
          <w:sz w:val="48"/>
        </w:rPr>
        <w:t>PLASTIC WASTE AUDIT &amp; REGULATORY</w:t>
        <w:br/>
        <w:t>COMPLIANCE REPORT</w:t>
      </w:r>
    </w:p>
    <w:p>
      <w:pPr>
        <w:jc w:val="center"/>
      </w:pPr>
      <w:r>
        <w:rPr>
          <w:i/>
          <w:sz w:val="24"/>
        </w:rPr>
        <w:t>Extended Producer Responsibility (EPR) &amp; PWM Rules 2016 Evaluation</w:t>
      </w:r>
    </w:p>
    <w:p>
      <w:pPr>
        <w:spacing w:after="2000"/>
      </w:pPr>
    </w:p>
    <w:p>
      <w:pPr>
        <w:jc w:val="center"/>
      </w:pPr>
      <w:r>
        <w:rPr>
          <w:b/>
        </w:rPr>
        <w:t xml:space="preserve">AUDITED INSTITUTION: </w:t>
      </w:r>
      <w:r>
        <w:t>KIET Group of Institutions</w:t>
        <w:br/>
      </w:r>
      <w:r>
        <w:rPr>
          <w:b/>
        </w:rPr>
        <w:t xml:space="preserve">REPORT CYCLE: </w:t>
      </w:r>
      <w:r>
        <w:t>Q2 FY 2026-27 Compliance Evaluation</w:t>
        <w:br/>
      </w:r>
      <w:r>
        <w:rPr>
          <w:b/>
        </w:rPr>
        <w:t xml:space="preserve">DATE GENERATED: </w:t>
      </w:r>
      <w:r>
        <w:t>31 May, 2026</w:t>
        <w:br/>
      </w:r>
      <w:r>
        <w:rPr>
          <w:b/>
        </w:rPr>
        <w:t xml:space="preserve">COMPLIANCE STANDARDS: </w:t>
      </w:r>
      <w:r>
        <w:t>Ministry of Environment, Forest &amp; Climate Change (MoEFCC), India</w:t>
      </w:r>
    </w:p>
    <w:p>
      <w:r>
        <w:br w:type="page"/>
      </w:r>
    </w:p>
    <w:p>
      <w:r>
        <w:rPr>
          <w:b/>
          <w:color w:val="1E4620"/>
          <w:sz w:val="28"/>
        </w:rPr>
        <w:t>1. Executive Summary</w:t>
      </w:r>
    </w:p>
    <w:p>
      <w:r>
        <w:t>This audit report analyzes institutional plastic waste generation and compliance profiles. During the current audit cycle, the system registered 78 waste audits, tracking a total quantity of 1,549.5 kg of plastic packaging materials. Overall Sustainability Rating Index is calculated at 48.9/100 (Red Tier (Non-Compliant / High Risk)).</w:t>
      </w:r>
    </w:p>
    <w:p>
      <w:r>
        <w:t>This RAG-grounded audit report provides a regulatory compliance and waste inventory evaluation for KIET Group of Institutions in Bengaluru Urban, Karnataka. The audit tracked 1,549.5 kg of plastic packaging. With a 66.6% recycling rate, the campus achieves a Sustainability Score of 48.9/100 (Red Tier (Non-Compliant / High Risk)). Major gaps in Rule 4/15 carry bag thickness and cafeteria single-use plastics require immediate remediation to satisfy CPCB and State Pollution Control Board mandates.</w:t>
      </w:r>
    </w:p>
    <w:p/>
    <w:p>
      <w:r>
        <w:rPr>
          <w:b/>
          <w:color w:val="1E4620"/>
          <w:sz w:val="28"/>
        </w:rPr>
        <w:t>2. Institution Profile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Institution Name</w:t>
            </w:r>
          </w:p>
        </w:tc>
        <w:tc>
          <w:tcPr>
            <w:tcW w:type="dxa" w:w="4680"/>
          </w:tcPr>
          <w:p>
            <w:r>
              <w:t>KIET Group of Institutions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Pollution Control Board State</w:t>
            </w:r>
          </w:p>
        </w:tc>
        <w:tc>
          <w:tcPr>
            <w:tcW w:type="dxa" w:w="4680"/>
          </w:tcPr>
          <w:p>
            <w:r>
              <w:t>Karnataka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Municipal Corporation / District</w:t>
            </w:r>
          </w:p>
        </w:tc>
        <w:tc>
          <w:tcPr>
            <w:tcW w:type="dxa" w:w="4680"/>
          </w:tcPr>
          <w:p>
            <w:r>
              <w:t>Bengaluru Urban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Cycle</w:t>
            </w:r>
          </w:p>
        </w:tc>
        <w:tc>
          <w:tcPr>
            <w:tcW w:type="dxa" w:w="4680"/>
          </w:tcPr>
          <w:p>
            <w:r>
              <w:t>Q2 FY 2026-27 Compliance Evaluation</w:t>
            </w:r>
          </w:p>
        </w:tc>
      </w:tr>
    </w:tbl>
    <w:p/>
    <w:p>
      <w:r>
        <w:rPr>
          <w:b/>
          <w:color w:val="1E4620"/>
          <w:sz w:val="28"/>
        </w:rPr>
        <w:t>3. Waste Inventory Summary</w:t>
      </w:r>
    </w:p>
    <w:p>
      <w:r>
        <w:t>The table below compiles active audit values categorised under plastic packaging types: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620"/>
          </w:tcPr>
          <w:p>
            <w:r>
              <w:rPr>
                <w:b/>
                <w:color w:val="FFFFFF"/>
              </w:rPr>
              <w:t>EPR Category</w:t>
            </w:r>
          </w:p>
        </w:tc>
        <w:tc>
          <w:tcPr>
            <w:tcW w:type="dxa" w:w="3120"/>
            <w:shd w:fill="1E4620"/>
          </w:tcPr>
          <w:p>
            <w:r>
              <w:rPr>
                <w:b/>
                <w:color w:val="FFFFFF"/>
              </w:rPr>
              <w:t>Audited Volume (kg)</w:t>
            </w:r>
          </w:p>
        </w:tc>
        <w:tc>
          <w:tcPr>
            <w:tcW w:type="dxa" w:w="3120"/>
            <w:shd w:fill="1E4620"/>
          </w:tcPr>
          <w:p>
            <w:r>
              <w:rPr>
                <w:b/>
                <w:color w:val="FFFFFF"/>
              </w:rPr>
              <w:t>Disposal Target Rate (%)</w:t>
            </w:r>
          </w:p>
        </w:tc>
      </w:tr>
      <w:tr>
        <w:tc>
          <w:tcPr>
            <w:tcW w:type="dxa" w:w="3120"/>
          </w:tcPr>
          <w:p>
            <w:r>
              <w:t>Category I (Rigid)</w:t>
            </w:r>
          </w:p>
        </w:tc>
        <w:tc>
          <w:tcPr>
            <w:tcW w:type="dxa" w:w="3120"/>
          </w:tcPr>
          <w:p>
            <w:r>
              <w:t>554.5 kg</w:t>
            </w:r>
          </w:p>
        </w:tc>
        <w:tc>
          <w:tcPr>
            <w:tcW w:type="dxa" w:w="3120"/>
          </w:tcPr>
          <w:p>
            <w:r>
              <w:t>70%</w:t>
            </w:r>
          </w:p>
        </w:tc>
      </w:tr>
      <w:tr>
        <w:tc>
          <w:tcPr>
            <w:tcW w:type="dxa" w:w="3120"/>
          </w:tcPr>
          <w:p>
            <w:r>
              <w:t>Category II (Flexible)</w:t>
            </w:r>
          </w:p>
        </w:tc>
        <w:tc>
          <w:tcPr>
            <w:tcW w:type="dxa" w:w="3120"/>
          </w:tcPr>
          <w:p>
            <w:r>
              <w:t>209.0 kg</w:t>
            </w:r>
          </w:p>
        </w:tc>
        <w:tc>
          <w:tcPr>
            <w:tcW w:type="dxa" w:w="3120"/>
          </w:tcPr>
          <w:p>
            <w:r>
              <w:t>70%</w:t>
            </w:r>
          </w:p>
        </w:tc>
      </w:tr>
      <w:tr>
        <w:tc>
          <w:tcPr>
            <w:tcW w:type="dxa" w:w="3120"/>
          </w:tcPr>
          <w:p>
            <w:r>
              <w:t>Category III (Multilayered)</w:t>
            </w:r>
          </w:p>
        </w:tc>
        <w:tc>
          <w:tcPr>
            <w:tcW w:type="dxa" w:w="3120"/>
          </w:tcPr>
          <w:p>
            <w:r>
              <w:t>786.0 kg</w:t>
            </w:r>
          </w:p>
        </w:tc>
        <w:tc>
          <w:tcPr>
            <w:tcW w:type="dxa" w:w="3120"/>
          </w:tcPr>
          <w:p>
            <w:r>
              <w:t>70%</w:t>
            </w:r>
          </w:p>
        </w:tc>
      </w:tr>
      <w:tr>
        <w:tc>
          <w:tcPr>
            <w:tcW w:type="dxa" w:w="3120"/>
          </w:tcPr>
          <w:p>
            <w:r>
              <w:t>Category IV (Compostable)</w:t>
            </w:r>
          </w:p>
        </w:tc>
        <w:tc>
          <w:tcPr>
            <w:tcW w:type="dxa" w:w="3120"/>
          </w:tcPr>
          <w:p>
            <w:r>
              <w:t>0.0 kg</w:t>
            </w:r>
          </w:p>
        </w:tc>
        <w:tc>
          <w:tcPr>
            <w:tcW w:type="dxa" w:w="3120"/>
          </w:tcPr>
          <w:p>
            <w:r>
              <w:t>70%</w:t>
            </w:r>
          </w:p>
        </w:tc>
      </w:tr>
    </w:tbl>
    <w:p/>
    <w:p>
      <w:r>
        <w:rPr>
          <w:b/>
          <w:color w:val="1E4620"/>
          <w:sz w:val="28"/>
        </w:rPr>
        <w:t>4. Statutory Compliance Gap Analysis (PWM Rules 2016)</w:t>
      </w:r>
    </w:p>
    <w:p>
      <w:r>
        <w:t>The rule engine executed checks against India's national plastic guidelines: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4620"/>
          </w:tcPr>
          <w:p>
            <w:r>
              <w:rPr>
                <w:b/>
                <w:color w:val="FFFFFF"/>
              </w:rPr>
              <w:t>Rule Ref</w:t>
            </w:r>
          </w:p>
        </w:tc>
        <w:tc>
          <w:tcPr>
            <w:tcW w:type="dxa" w:w="1560"/>
            <w:shd w:fill="1E4620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560"/>
            <w:shd w:fill="1E4620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1560"/>
            <w:shd w:fill="1E4620"/>
          </w:tcPr>
          <w:p>
            <w:r>
              <w:rPr>
                <w:b/>
                <w:color w:val="FFFFFF"/>
              </w:rPr>
              <w:t>Gap Identified</w:t>
            </w:r>
          </w:p>
        </w:tc>
        <w:tc>
          <w:tcPr>
            <w:tcW w:type="dxa" w:w="1560"/>
            <w:shd w:fill="1E4620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560"/>
            <w:shd w:fill="1E4620"/>
          </w:tcPr>
          <w:p>
            <w:r>
              <w:rPr>
                <w:b/>
                <w:color w:val="FFFFFF"/>
              </w:rPr>
              <w:t>Corrective Action</w:t>
            </w:r>
          </w:p>
        </w:tc>
      </w:tr>
      <w:tr>
        <w:tc>
          <w:tcPr>
            <w:tcW w:type="dxa" w:w="1560"/>
          </w:tcPr>
          <w:p>
            <w:r>
              <w:t>Rule 4(c)</w:t>
            </w:r>
          </w:p>
        </w:tc>
        <w:tc>
          <w:tcPr>
            <w:tcW w:type="dxa" w:w="1560"/>
          </w:tcPr>
          <w:p>
            <w:r>
              <w:t>Min carry bag thickness of 120 microns</w:t>
            </w:r>
          </w:p>
        </w:tc>
        <w:tc>
          <w:tcPr>
            <w:tcW w:type="dxa" w:w="1560"/>
          </w:tcPr>
          <w:p>
            <w:r>
              <w:t>⚠️ NON-CONFORMANT</w:t>
            </w:r>
          </w:p>
        </w:tc>
        <w:tc>
          <w:tcPr>
            <w:tcW w:type="dxa" w:w="1560"/>
          </w:tcPr>
          <w:p>
            <w:r>
              <w:t>Detected carry bags/packaging sheets with thickness below the legal limit of 120 microns (Total: 401.0 kg).</w:t>
            </w:r>
          </w:p>
        </w:tc>
        <w:tc>
          <w:tcPr>
            <w:tcW w:type="dxa" w:w="1560"/>
          </w:tcPr>
          <w:p>
            <w:r>
              <w:t>Critical</w:t>
            </w:r>
          </w:p>
        </w:tc>
        <w:tc>
          <w:tcPr>
            <w:tcW w:type="dxa" w:w="1560"/>
          </w:tcPr>
          <w:p>
            <w:r>
              <w:t>Replace carry bags and sheets immediately with &gt;120 microns or certified compostables.</w:t>
            </w:r>
          </w:p>
        </w:tc>
      </w:tr>
      <w:tr>
        <w:tc>
          <w:tcPr>
            <w:tcW w:type="dxa" w:w="1560"/>
          </w:tcPr>
          <w:p>
            <w:r>
              <w:t>Rule 16 / NGT</w:t>
            </w:r>
          </w:p>
        </w:tc>
        <w:tc>
          <w:tcPr>
            <w:tcW w:type="dxa" w:w="1560"/>
          </w:tcPr>
          <w:p>
            <w:r>
              <w:t>Strict ban on open burning of plastic waste</w:t>
            </w:r>
          </w:p>
        </w:tc>
        <w:tc>
          <w:tcPr>
            <w:tcW w:type="dxa" w:w="1560"/>
          </w:tcPr>
          <w:p>
            <w:r>
              <w:t>⚠️ NON-CONFORMANT</w:t>
            </w:r>
          </w:p>
        </w:tc>
        <w:tc>
          <w:tcPr>
            <w:tcW w:type="dxa" w:w="1560"/>
          </w:tcPr>
          <w:p>
            <w:r>
              <w:t>Plastic waste is being incinerated via open burning, which is prohibited under NGT directives and PWM Rule 16 (Total: 62.0 kg).</w:t>
            </w:r>
          </w:p>
        </w:tc>
        <w:tc>
          <w:tcPr>
            <w:tcW w:type="dxa" w:w="1560"/>
          </w:tcPr>
          <w:p>
            <w:r>
              <w:t>Critical</w:t>
            </w:r>
          </w:p>
        </w:tc>
        <w:tc>
          <w:tcPr>
            <w:tcW w:type="dxa" w:w="1560"/>
          </w:tcPr>
          <w:p>
            <w:r>
              <w:t>Cease open waste burning immediately; formalize secure recycling collections.</w:t>
            </w:r>
          </w:p>
        </w:tc>
      </w:tr>
      <w:tr>
        <w:tc>
          <w:tcPr>
            <w:tcW w:type="dxa" w:w="1560"/>
          </w:tcPr>
          <w:p>
            <w:r>
              <w:t>Rule 15 / SUP Ban</w:t>
            </w:r>
          </w:p>
        </w:tc>
        <w:tc>
          <w:tcPr>
            <w:tcW w:type="dxa" w:w="1560"/>
          </w:tcPr>
          <w:p>
            <w:r>
              <w:t>Prohibition of banned single-use polystyrene cutlery/plates</w:t>
            </w:r>
          </w:p>
        </w:tc>
        <w:tc>
          <w:tcPr>
            <w:tcW w:type="dxa" w:w="1560"/>
          </w:tcPr>
          <w:p>
            <w:r>
              <w:t>✅ Compliant</w:t>
            </w:r>
          </w:p>
        </w:tc>
        <w:tc>
          <w:tcPr>
            <w:tcW w:type="dxa" w:w="1560"/>
          </w:tcPr>
          <w:p>
            <w:r>
              <w:t>None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Maintain segregation checklists.</w:t>
            </w:r>
          </w:p>
        </w:tc>
      </w:tr>
    </w:tbl>
    <w:p/>
    <w:p>
      <w:r>
        <w:rPr>
          <w:b/>
          <w:color w:val="1E4620"/>
          <w:sz w:val="28"/>
        </w:rPr>
        <w:t>5. Extended Producer Responsibility (EPR) Assessment</w:t>
      </w:r>
    </w:p>
    <w:p>
      <w:r>
        <w:t>Under CPCB guidelines, the institution is classified as: BULK WASTE GENERATOR. Audit calculations register a total required recycling offset target weight of 1084.6 kg.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Audited Qty (kg)</w:t>
            </w:r>
          </w:p>
        </w:tc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Target Offset (%)</w:t>
            </w:r>
          </w:p>
        </w:tc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Target Weight (kg)</w:t>
            </w:r>
          </w:p>
        </w:tc>
      </w:tr>
      <w:tr>
        <w:tc>
          <w:tcPr>
            <w:tcW w:type="dxa" w:w="2340"/>
          </w:tcPr>
          <w:p>
            <w:r>
              <w:t>Category I (Rigid)</w:t>
            </w:r>
          </w:p>
        </w:tc>
        <w:tc>
          <w:tcPr>
            <w:tcW w:type="dxa" w:w="2340"/>
          </w:tcPr>
          <w:p>
            <w:r>
              <w:t>554.5</w:t>
            </w:r>
          </w:p>
        </w:tc>
        <w:tc>
          <w:tcPr>
            <w:tcW w:type="dxa" w:w="2340"/>
          </w:tcPr>
          <w:p>
            <w:r>
              <w:t>70%</w:t>
            </w:r>
          </w:p>
        </w:tc>
        <w:tc>
          <w:tcPr>
            <w:tcW w:type="dxa" w:w="2340"/>
          </w:tcPr>
          <w:p>
            <w:r>
              <w:t>388.1</w:t>
            </w:r>
          </w:p>
        </w:tc>
      </w:tr>
      <w:tr>
        <w:tc>
          <w:tcPr>
            <w:tcW w:type="dxa" w:w="2340"/>
          </w:tcPr>
          <w:p>
            <w:r>
              <w:t>Category II (Flexible)</w:t>
            </w:r>
          </w:p>
        </w:tc>
        <w:tc>
          <w:tcPr>
            <w:tcW w:type="dxa" w:w="2340"/>
          </w:tcPr>
          <w:p>
            <w:r>
              <w:t>209.0</w:t>
            </w:r>
          </w:p>
        </w:tc>
        <w:tc>
          <w:tcPr>
            <w:tcW w:type="dxa" w:w="2340"/>
          </w:tcPr>
          <w:p>
            <w:r>
              <w:t>70%</w:t>
            </w:r>
          </w:p>
        </w:tc>
        <w:tc>
          <w:tcPr>
            <w:tcW w:type="dxa" w:w="2340"/>
          </w:tcPr>
          <w:p>
            <w:r>
              <w:t>146.3</w:t>
            </w:r>
          </w:p>
        </w:tc>
      </w:tr>
      <w:tr>
        <w:tc>
          <w:tcPr>
            <w:tcW w:type="dxa" w:w="2340"/>
          </w:tcPr>
          <w:p>
            <w:r>
              <w:t>Category III (Multilayered)</w:t>
            </w:r>
          </w:p>
        </w:tc>
        <w:tc>
          <w:tcPr>
            <w:tcW w:type="dxa" w:w="2340"/>
          </w:tcPr>
          <w:p>
            <w:r>
              <w:t>786.0</w:t>
            </w:r>
          </w:p>
        </w:tc>
        <w:tc>
          <w:tcPr>
            <w:tcW w:type="dxa" w:w="2340"/>
          </w:tcPr>
          <w:p>
            <w:r>
              <w:t>70%</w:t>
            </w:r>
          </w:p>
        </w:tc>
        <w:tc>
          <w:tcPr>
            <w:tcW w:type="dxa" w:w="2340"/>
          </w:tcPr>
          <w:p>
            <w:r>
              <w:t>550.2</w:t>
            </w:r>
          </w:p>
        </w:tc>
      </w:tr>
      <w:tr>
        <w:tc>
          <w:tcPr>
            <w:tcW w:type="dxa" w:w="2340"/>
          </w:tcPr>
          <w:p>
            <w:r>
              <w:t>Category IV (Compostable)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70%</w:t>
            </w:r>
          </w:p>
        </w:tc>
        <w:tc>
          <w:tcPr>
            <w:tcW w:type="dxa" w:w="2340"/>
          </w:tcPr>
          <w:p>
            <w:r>
              <w:t>0.0</w:t>
            </w:r>
          </w:p>
        </w:tc>
      </w:tr>
    </w:tbl>
    <w:p/>
    <w:p>
      <w:r>
        <w:rPr>
          <w:b/>
          <w:color w:val="1E4620"/>
          <w:sz w:val="28"/>
        </w:rPr>
        <w:t>6. Dataset Driven Benchmark Analysis</w:t>
      </w:r>
    </w:p>
    <w:p>
      <w:r>
        <w:t>• Current Institutional average: 46485.0 kg/month.</w:t>
        <w:br/>
        <w:t>• SPCB Regional average for Karnataka: 195.0 kg/month.</w:t>
        <w:br/>
        <w:t>• Municipal baseline for Bengaluru Urban: 180.0 kg/month.</w:t>
        <w:br/>
        <w:t>The institution waste footprint rating is 'ABOVE_AVERAGE' compared to local municipal averages.</w:t>
      </w:r>
    </w:p>
    <w:p/>
    <w:p>
      <w:r>
        <w:rPr>
          <w:b/>
          <w:color w:val="1E4620"/>
          <w:sz w:val="28"/>
        </w:rPr>
        <w:t>7. Sustainability Score</w:t>
      </w:r>
    </w:p>
    <w:p>
      <w:r>
        <w:t>Sustainability Index: 48.9/100 | Grade: Red Tier (Non-Compliant / High Risk)</w:t>
        <w:br/>
        <w:t>Details: None</w:t>
      </w:r>
    </w:p>
    <w:p/>
    <w:p>
      <w:r>
        <w:rPr>
          <w:b/>
          <w:color w:val="1E4620"/>
          <w:sz w:val="28"/>
        </w:rPr>
        <w:t>8. 12-Month Action Roadmap</w:t>
      </w:r>
    </w:p>
    <w:p>
      <w:r>
        <w:t>A structured transition schedule is plotted horizontally as a milestone flowchart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4620"/>
          </w:tcPr>
          <w:p>
            <w:r>
              <w:rPr>
                <w:b/>
                <w:color w:val="FFFFFF"/>
              </w:rPr>
              <w:t>Months 1-3</w:t>
              <w:br/>
              <w:t>Policy &amp; Setup</w:t>
              <w:br/>
              <w:br/>
              <w:t>• Policy Setup</w:t>
              <w:br/>
              <w:t>• SUP Ban</w:t>
              <w:br/>
              <w:t>• Vendor Reg</w:t>
            </w:r>
          </w:p>
        </w:tc>
        <w:tc>
          <w:tcPr>
            <w:tcW w:type="dxa" w:w="1337"/>
          </w:tcPr>
          <w:p>
            <w:r>
              <w:rPr>
                <w:b/>
                <w:color w:val="5C8D89"/>
                <w:sz w:val="40"/>
              </w:rPr>
              <w:br/>
              <w:br/>
              <w:t xml:space="preserve">  ➔</w:t>
            </w:r>
          </w:p>
        </w:tc>
        <w:tc>
          <w:tcPr>
            <w:tcW w:type="dxa" w:w="1337"/>
            <w:shd w:fill="5C8D89"/>
          </w:tcPr>
          <w:p>
            <w:r>
              <w:rPr>
                <w:b/>
                <w:color w:val="FFFFFF"/>
              </w:rPr>
              <w:t>Months 4-6</w:t>
              <w:br/>
              <w:t>Segregation Infra</w:t>
              <w:br/>
              <w:br/>
              <w:t>• Bins Setup</w:t>
              <w:br/>
              <w:t>• Staff Training</w:t>
              <w:br/>
              <w:t>• Logging</w:t>
            </w:r>
          </w:p>
        </w:tc>
        <w:tc>
          <w:tcPr>
            <w:tcW w:type="dxa" w:w="1337"/>
          </w:tcPr>
          <w:p>
            <w:r>
              <w:rPr>
                <w:b/>
                <w:color w:val="5C8D89"/>
                <w:sz w:val="40"/>
              </w:rPr>
              <w:br/>
              <w:br/>
              <w:t xml:space="preserve">  ➔</w:t>
            </w:r>
          </w:p>
        </w:tc>
        <w:tc>
          <w:tcPr>
            <w:tcW w:type="dxa" w:w="1337"/>
            <w:shd w:fill="8FBC8F"/>
          </w:tcPr>
          <w:p>
            <w:r>
              <w:rPr>
                <w:b/>
                <w:color w:val="FFFFFF"/>
              </w:rPr>
              <w:t>Months 7-9</w:t>
              <w:br/>
              <w:t>Partnerships</w:t>
              <w:br/>
              <w:br/>
              <w:t>• Recycler MoUs</w:t>
              <w:br/>
              <w:t>• Tracking logs</w:t>
              <w:br/>
              <w:t>• EPR Target</w:t>
            </w:r>
          </w:p>
        </w:tc>
        <w:tc>
          <w:tcPr>
            <w:tcW w:type="dxa" w:w="1337"/>
          </w:tcPr>
          <w:p>
            <w:r>
              <w:rPr>
                <w:b/>
                <w:color w:val="5C8D89"/>
                <w:sz w:val="40"/>
              </w:rPr>
              <w:br/>
              <w:br/>
              <w:t xml:space="preserve">  ➔</w:t>
            </w:r>
          </w:p>
        </w:tc>
        <w:tc>
          <w:tcPr>
            <w:tcW w:type="dxa" w:w="1337"/>
            <w:shd w:fill="D9822B"/>
          </w:tcPr>
          <w:p>
            <w:r>
              <w:rPr>
                <w:b/>
                <w:color w:val="FFFFFF"/>
              </w:rPr>
              <w:t>Months 10-12</w:t>
              <w:br/>
              <w:t>Certification</w:t>
              <w:br/>
              <w:br/>
              <w:t>• Final Audit</w:t>
              <w:br/>
              <w:t>• Green Campus</w:t>
              <w:br/>
              <w:t>• 100% Target</w:t>
            </w:r>
          </w:p>
        </w:tc>
      </w:tr>
    </w:tbl>
    <w:p/>
    <w:p>
      <w:r>
        <w:rPr>
          <w:b/>
          <w:color w:val="1E4620"/>
          <w:sz w:val="28"/>
        </w:rPr>
        <w:t>9. Strategic Waste Reduction Recommendations</w:t>
      </w:r>
    </w:p>
    <w:p>
      <w:pPr>
        <w:ind w:left="360"/>
      </w:pPr>
      <w:r>
        <w:rPr>
          <w:b/>
        </w:rPr>
        <w:t xml:space="preserve">• Transition cafetaria cups to wooden or ceramic mugs. </w:t>
      </w:r>
      <w:r>
        <w:t>(Expected Impact: Eliminates Category II PS waste volume by 15%)</w:t>
      </w:r>
    </w:p>
    <w:p>
      <w:pPr>
        <w:ind w:left="360"/>
      </w:pPr>
      <w:r>
        <w:rPr>
          <w:b/>
        </w:rPr>
        <w:t xml:space="preserve">• Instate color-coded waste bins at all common spaces. </w:t>
      </w:r>
      <w:r>
        <w:t>(Expected Impact: Improves source segregation efficiency by 40%)</w:t>
      </w:r>
    </w:p>
    <w:p>
      <w:pPr>
        <w:ind w:left="360"/>
      </w:pPr>
      <w:r>
        <w:rPr>
          <w:b/>
        </w:rPr>
        <w:t xml:space="preserve">• Formalize PRO MoUs for waste disposal tracking. </w:t>
      </w:r>
      <w:r>
        <w:t>(Expected Impact: Achieves 100% verifiable EPR target compliance)</w:t>
      </w:r>
    </w:p>
    <w:p/>
    <w:p>
      <w:r>
        <w:rPr>
          <w:b/>
          <w:color w:val="1E4620"/>
          <w:sz w:val="28"/>
        </w:rPr>
        <w:t>10. Final Auditor Conclusion</w:t>
      </w:r>
    </w:p>
    <w:p>
      <w:r>
        <w:t>In conclusion, KIET Group of Institutions has established a baseline for plastic waste tracking. However, critical statutory compliance gaps under the PWM Rules 2016 and significant EPR recycling liabilities remain unaddressed. Executing the recommended 12-month roadmap will mitigate operational and legal risks, aligning the institution with the national Swachh Bharat mission benchmarks.</w:t>
      </w:r>
    </w:p>
    <w:p>
      <w:r>
        <w:br w:type="page"/>
      </w:r>
    </w:p>
    <w:p>
      <w:r>
        <w:rPr>
          <w:b/>
          <w:color w:val="1E4620"/>
          <w:sz w:val="32"/>
        </w:rPr>
        <w:t>Annexures Section</w:t>
      </w:r>
    </w:p>
    <w:p>
      <w:r>
        <w:rPr>
          <w:b/>
          <w:sz w:val="24"/>
        </w:rPr>
        <w:t>Annexure A: Raw Monitored Audit Dataset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4620"/>
          </w:tcPr>
          <w:p>
            <w:r>
              <w:rPr>
                <w:b/>
                <w:color w:val="FFFFFF"/>
              </w:rPr>
              <w:t>Date Logged</w:t>
            </w:r>
          </w:p>
        </w:tc>
        <w:tc>
          <w:tcPr>
            <w:tcW w:type="dxa" w:w="1872"/>
            <w:shd w:fill="1E4620"/>
          </w:tcPr>
          <w:p>
            <w:r>
              <w:rPr>
                <w:b/>
                <w:color w:val="FFFFFF"/>
              </w:rPr>
              <w:t>Resin Code</w:t>
            </w:r>
          </w:p>
        </w:tc>
        <w:tc>
          <w:tcPr>
            <w:tcW w:type="dxa" w:w="1872"/>
            <w:shd w:fill="1E4620"/>
          </w:tcPr>
          <w:p>
            <w:r>
              <w:rPr>
                <w:b/>
                <w:color w:val="FFFFFF"/>
              </w:rPr>
              <w:t>Weight (kg)</w:t>
            </w:r>
          </w:p>
        </w:tc>
        <w:tc>
          <w:tcPr>
            <w:tcW w:type="dxa" w:w="1872"/>
            <w:shd w:fill="1E4620"/>
          </w:tcPr>
          <w:p>
            <w:r>
              <w:rPr>
                <w:b/>
                <w:color w:val="FFFFFF"/>
              </w:rPr>
              <w:t>Pathway</w:t>
            </w:r>
          </w:p>
        </w:tc>
        <w:tc>
          <w:tcPr>
            <w:tcW w:type="dxa" w:w="1872"/>
            <w:shd w:fill="1E4620"/>
          </w:tcPr>
          <w:p>
            <w:r>
              <w:rPr>
                <w:b/>
                <w:color w:val="FFFFFF"/>
              </w:rPr>
              <w:t>Thickness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45.0</w:t>
            </w:r>
          </w:p>
        </w:tc>
        <w:tc>
          <w:tcPr>
            <w:tcW w:type="dxa" w:w="1872"/>
          </w:tcPr>
          <w:p>
            <w:r>
              <w:t>RECYCLED</w:t>
            </w:r>
          </w:p>
        </w:tc>
        <w:tc>
          <w:tcPr>
            <w:tcW w:type="dxa" w:w="1872"/>
          </w:tcPr>
          <w:p>
            <w:r>
              <w:t>250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32.5</w:t>
            </w:r>
          </w:p>
        </w:tc>
        <w:tc>
          <w:tcPr>
            <w:tcW w:type="dxa" w:w="1872"/>
          </w:tcPr>
          <w:p>
            <w:r>
              <w:t>RECYCLED</w:t>
            </w:r>
          </w:p>
        </w:tc>
        <w:tc>
          <w:tcPr>
            <w:tcW w:type="dxa" w:w="1872"/>
          </w:tcPr>
          <w:p>
            <w:r>
              <w:t>250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18.0</w:t>
            </w:r>
          </w:p>
        </w:tc>
        <w:tc>
          <w:tcPr>
            <w:tcW w:type="dxa" w:w="1872"/>
          </w:tcPr>
          <w:p>
            <w:r>
              <w:t>LANDFILLED</w:t>
            </w:r>
          </w:p>
        </w:tc>
        <w:tc>
          <w:tcPr>
            <w:tcW w:type="dxa" w:w="1872"/>
          </w:tcPr>
          <w:p>
            <w:r>
              <w:t>40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22.0</w:t>
            </w:r>
          </w:p>
        </w:tc>
        <w:tc>
          <w:tcPr>
            <w:tcW w:type="dxa" w:w="1872"/>
          </w:tcPr>
          <w:p>
            <w:r>
              <w:t>LANDFILLED</w:t>
            </w:r>
          </w:p>
        </w:tc>
        <w:tc>
          <w:tcPr>
            <w:tcW w:type="dxa" w:w="1872"/>
          </w:tcPr>
          <w:p>
            <w:r>
              <w:t>40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15.0</w:t>
            </w:r>
          </w:p>
        </w:tc>
        <w:tc>
          <w:tcPr>
            <w:tcW w:type="dxa" w:w="1872"/>
          </w:tcPr>
          <w:p>
            <w:r>
              <w:t>INCINERATED</w:t>
            </w:r>
          </w:p>
        </w:tc>
        <w:tc>
          <w:tcPr>
            <w:tcW w:type="dxa" w:w="1872"/>
          </w:tcPr>
          <w:p>
            <w:r>
              <w:t>80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28.0</w:t>
            </w:r>
          </w:p>
        </w:tc>
        <w:tc>
          <w:tcPr>
            <w:tcW w:type="dxa" w:w="1872"/>
          </w:tcPr>
          <w:p>
            <w:r>
              <w:t>RECYCLED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19.5</w:t>
            </w:r>
          </w:p>
        </w:tc>
        <w:tc>
          <w:tcPr>
            <w:tcW w:type="dxa" w:w="1872"/>
          </w:tcPr>
          <w:p>
            <w:r>
              <w:t>RECYCLED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12.0</w:t>
            </w:r>
          </w:p>
        </w:tc>
        <w:tc>
          <w:tcPr>
            <w:tcW w:type="dxa" w:w="1872"/>
          </w:tcPr>
          <w:p>
            <w:r>
              <w:t>LANDFILLED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8.5</w:t>
            </w:r>
          </w:p>
        </w:tc>
        <w:tc>
          <w:tcPr>
            <w:tcW w:type="dxa" w:w="1872"/>
          </w:tcPr>
          <w:p>
            <w:r>
              <w:t>LANDFILLED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7.0</w:t>
            </w:r>
          </w:p>
        </w:tc>
        <w:tc>
          <w:tcPr>
            <w:tcW w:type="dxa" w:w="1872"/>
          </w:tcPr>
          <w:p>
            <w:r>
              <w:t>LANDFILLED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38.0</w:t>
            </w:r>
          </w:p>
        </w:tc>
        <w:tc>
          <w:tcPr>
            <w:tcW w:type="dxa" w:w="1872"/>
          </w:tcPr>
          <w:p>
            <w:r>
              <w:t>RECYCLED</w:t>
            </w:r>
          </w:p>
        </w:tc>
        <w:tc>
          <w:tcPr>
            <w:tcW w:type="dxa" w:w="1872"/>
          </w:tcPr>
          <w:p>
            <w:r>
              <w:t>250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10.0</w:t>
            </w:r>
          </w:p>
        </w:tc>
        <w:tc>
          <w:tcPr>
            <w:tcW w:type="dxa" w:w="1872"/>
          </w:tcPr>
          <w:p>
            <w:r>
              <w:t>LANDFILLED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14.0</w:t>
            </w:r>
          </w:p>
        </w:tc>
        <w:tc>
          <w:tcPr>
            <w:tcW w:type="dxa" w:w="1872"/>
          </w:tcPr>
          <w:p>
            <w:r>
              <w:t>OPEN_BURNT</w:t>
            </w:r>
          </w:p>
        </w:tc>
        <w:tc>
          <w:tcPr>
            <w:tcW w:type="dxa" w:w="1872"/>
          </w:tcPr>
          <w:p>
            <w:r>
              <w:t>40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20.0</w:t>
            </w:r>
          </w:p>
        </w:tc>
        <w:tc>
          <w:tcPr>
            <w:tcW w:type="dxa" w:w="1872"/>
          </w:tcPr>
          <w:p>
            <w:r>
              <w:t>INCINERATED</w:t>
            </w:r>
          </w:p>
        </w:tc>
        <w:tc>
          <w:tcPr>
            <w:tcW w:type="dxa" w:w="1872"/>
          </w:tcPr>
          <w:p>
            <w:r>
              <w:t>80</w:t>
            </w:r>
          </w:p>
        </w:tc>
      </w:tr>
      <w:tr>
        <w:tc>
          <w:tcPr>
            <w:tcW w:type="dxa" w:w="1872"/>
          </w:tcPr>
          <w:p>
            <w:r>
              <w:t>2026-05-31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25.5</w:t>
            </w:r>
          </w:p>
        </w:tc>
        <w:tc>
          <w:tcPr>
            <w:tcW w:type="dxa" w:w="1872"/>
          </w:tcPr>
          <w:p>
            <w:r>
              <w:t>RECYCLED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</w:tr>
    </w:tbl>
    <w:p/>
    <w:p>
      <w:r>
        <w:rPr>
          <w:b/>
          <w:sz w:val="24"/>
        </w:rPr>
        <w:t>Annexure B: Statutory Checklist Registry</w:t>
      </w:r>
    </w:p>
    <w:p>
      <w:r>
        <w:t>1. Rule 4(c) carry bag thickness &gt;= 120 microns: Evaluated.</w:t>
        <w:br/>
        <w:t>2. Rule 15 single-use plastic ban compliance: Evaluated.</w:t>
        <w:br/>
        <w:t>3. Rule 16 ban on open facility waste incineration: Evaluated.</w:t>
      </w:r>
    </w:p>
    <w:p/>
    <w:p>
      <w:r>
        <w:rPr>
          <w:b/>
          <w:sz w:val="24"/>
        </w:rPr>
        <w:t>Annexure C: CPCB EPR Benchmark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Category Name</w:t>
            </w:r>
          </w:p>
        </w:tc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Registered Brands</w:t>
            </w:r>
          </w:p>
        </w:tc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Recycling Target</w:t>
            </w:r>
          </w:p>
        </w:tc>
        <w:tc>
          <w:tcPr>
            <w:tcW w:type="dxa" w:w="2340"/>
            <w:shd w:fill="1E4620"/>
          </w:tcPr>
          <w:p>
            <w:r>
              <w:rPr>
                <w:b/>
                <w:color w:val="FFFFFF"/>
              </w:rPr>
              <w:t>CPCB Sector Offset</w:t>
            </w:r>
          </w:p>
        </w:tc>
      </w:tr>
      <w:tr>
        <w:tc>
          <w:tcPr>
            <w:tcW w:type="dxa" w:w="2340"/>
          </w:tcPr>
          <w:p>
            <w:r>
              <w:t>Category I (Rigid)</w:t>
            </w:r>
          </w:p>
        </w:tc>
        <w:tc>
          <w:tcPr>
            <w:tcW w:type="dxa" w:w="2340"/>
          </w:tcPr>
          <w:p>
            <w:r>
              <w:t>1,240</w:t>
            </w:r>
          </w:p>
        </w:tc>
        <w:tc>
          <w:tcPr>
            <w:tcW w:type="dxa" w:w="2340"/>
          </w:tcPr>
          <w:p>
            <w:r>
              <w:t>70%</w:t>
            </w:r>
          </w:p>
        </w:tc>
        <w:tc>
          <w:tcPr>
            <w:tcW w:type="dxa" w:w="2340"/>
          </w:tcPr>
          <w:p>
            <w:r>
              <w:t>25,000 tonnes</w:t>
            </w:r>
          </w:p>
        </w:tc>
      </w:tr>
      <w:tr>
        <w:tc>
          <w:tcPr>
            <w:tcW w:type="dxa" w:w="2340"/>
          </w:tcPr>
          <w:p>
            <w:r>
              <w:t>Category II (Flexible)</w:t>
            </w:r>
          </w:p>
        </w:tc>
        <w:tc>
          <w:tcPr>
            <w:tcW w:type="dxa" w:w="2340"/>
          </w:tcPr>
          <w:p>
            <w:r>
              <w:t>850</w:t>
            </w:r>
          </w:p>
        </w:tc>
        <w:tc>
          <w:tcPr>
            <w:tcW w:type="dxa" w:w="2340"/>
          </w:tcPr>
          <w:p>
            <w:r>
              <w:t>70%</w:t>
            </w:r>
          </w:p>
        </w:tc>
        <w:tc>
          <w:tcPr>
            <w:tcW w:type="dxa" w:w="2340"/>
          </w:tcPr>
          <w:p>
            <w:r>
              <w:t>18,000 tonnes</w:t>
            </w:r>
          </w:p>
        </w:tc>
      </w:tr>
      <w:tr>
        <w:tc>
          <w:tcPr>
            <w:tcW w:type="dxa" w:w="2340"/>
          </w:tcPr>
          <w:p>
            <w:r>
              <w:t>Category III (Multilayered)</w:t>
            </w:r>
          </w:p>
        </w:tc>
        <w:tc>
          <w:tcPr>
            <w:tcW w:type="dxa" w:w="2340"/>
          </w:tcPr>
          <w:p>
            <w:r>
              <w:t>430</w:t>
            </w:r>
          </w:p>
        </w:tc>
        <w:tc>
          <w:tcPr>
            <w:tcW w:type="dxa" w:w="2340"/>
          </w:tcPr>
          <w:p>
            <w:r>
              <w:t>60%</w:t>
            </w:r>
          </w:p>
        </w:tc>
        <w:tc>
          <w:tcPr>
            <w:tcW w:type="dxa" w:w="2340"/>
          </w:tcPr>
          <w:p>
            <w:r>
              <w:t>12,000 tonnes</w:t>
            </w:r>
          </w:p>
        </w:tc>
      </w:tr>
      <w:tr>
        <w:tc>
          <w:tcPr>
            <w:tcW w:type="dxa" w:w="2340"/>
          </w:tcPr>
          <w:p>
            <w:r>
              <w:t>Category IV (Compostable)</w:t>
            </w:r>
          </w:p>
        </w:tc>
        <w:tc>
          <w:tcPr>
            <w:tcW w:type="dxa" w:w="2340"/>
          </w:tcPr>
          <w:p>
            <w:r>
              <w:t>150</w:t>
            </w:r>
          </w:p>
        </w:tc>
        <w:tc>
          <w:tcPr>
            <w:tcW w:type="dxa" w:w="2340"/>
          </w:tcPr>
          <w:p>
            <w:r>
              <w:t>80%</w:t>
            </w:r>
          </w:p>
        </w:tc>
        <w:tc>
          <w:tcPr>
            <w:tcW w:type="dxa" w:w="2340"/>
          </w:tcPr>
          <w:p>
            <w:r>
              <w:t>2,000 tonnes</w:t>
            </w:r>
          </w:p>
        </w:tc>
      </w:tr>
    </w:tbl>
    <w:p/>
    <w:p>
      <w:r>
        <w:rPr>
          <w:b/>
          <w:sz w:val="24"/>
        </w:rPr>
        <w:t>Annexure D: Regulatory Dataset References</w:t>
      </w:r>
    </w:p>
    <w:p>
      <w:r>
        <w:t>• Dataset 1: CPCB Plastic Waste Management State statistics (https://cpcb.nic.in/plastic-waste-management/)</w:t>
        <w:br/>
        <w:t>• Dataset 2: Swachh Bharat Mission (Urban) Municipal waste records (https://sbmurban.org/)</w:t>
        <w:br/>
        <w:t>• Dataset 3: CPCB Extended Producer Responsibility portal registry (https://eprplastic.cpcb.gov.in/)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