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Calibri" w:cs="Calibri" w:eastAsia="Calibri" w:hAnsi="Calibri"/>
          <w:color w:val="4A5568"/>
          <w:sz w:val="22"/>
          <w:szCs w:val="22"/>
        </w:rPr>
        <w:t xml:space="preserve"/>
      </w:r>
    </w:p>
    <w:p>
      <w:pPr>
        <w:spacing w:after="100" w:before="0"/>
        <w:jc w:val="center"/>
      </w:pPr>
      <w:r>
        <w:rPr>
          <w:rFonts w:ascii="Calibri" w:cs="Calibri" w:eastAsia="Calibri" w:hAnsi="Calibri"/>
          <w:b/>
          <w:bCs/>
          <w:caps/>
          <w:color w:val="1B2A4A"/>
          <w:sz w:val="56"/>
          <w:szCs w:val="56"/>
        </w:rPr>
        <w:t xml:space="preserve">ENTERPRISE BLUEPRINT</w:t>
      </w:r>
    </w:p>
    <w:p>
      <w:pPr>
        <w:spacing w:after="160" w:before="0"/>
        <w:jc w:val="center"/>
      </w:pPr>
      <w:r>
        <w:rPr>
          <w:rFonts w:ascii="Calibri" w:cs="Calibri" w:eastAsia="Calibri" w:hAnsi="Calibri"/>
          <w:b/>
          <w:bCs/>
          <w:color w:val="2D5FA0"/>
          <w:sz w:val="36"/>
          <w:szCs w:val="36"/>
        </w:rPr>
        <w:t xml:space="preserve">Agentic Cyber-Battery Intelligence Platform</w:t>
      </w:r>
    </w:p>
    <w:p>
      <w:pPr>
        <w:spacing w:after="80" w:before="0"/>
        <w:jc w:val="center"/>
      </w:pPr>
      <w:r>
        <w:rPr>
          <w:rFonts w:ascii="Calibri" w:cs="Calibri" w:eastAsia="Calibri" w:hAnsi="Calibri"/>
          <w:i/>
          <w:iCs/>
          <w:color w:val="4A5568"/>
          <w:sz w:val="22"/>
          <w:szCs w:val="22"/>
        </w:rPr>
        <w:t xml:space="preserve">GAN  ·  RAG  ·  MCP  ·  Agentic AI  ·  Predictive Modeling  ·  XAI</w:t>
      </w:r>
    </w:p>
    <w:p>
      <w:pPr>
        <w:pBdr>
          <w:bottom w:val="thick" w:color="1E88E5" w:sz="10"/>
        </w:pBdr>
        <w:spacing w:after="0" w:before="160"/>
      </w:pPr>
    </w:p>
    <w:p>
      <w:pPr>
        <w:spacing w:after="0" w:before="800"/>
      </w:pPr>
      <w:r>
        <w:rPr>
          <w:rFonts w:ascii="Calibri" w:cs="Calibri" w:eastAsia="Calibri" w:hAnsi="Calibri"/>
          <w:color w:val="4A5568"/>
          <w:sz w:val="22"/>
          <w:szCs w:val="22"/>
        </w:rPr>
        <w:t xml:space="preserve"/>
      </w:r>
    </w:p>
    <w:p>
      <w:pPr>
        <w:pStyle w:val="Heading1"/>
        <w:pBdr>
          <w:bottom w:val="thick" w:color="1E88E5" w:sz="6" w:space="6"/>
        </w:pBdr>
        <w:spacing w:after="200" w:before="480"/>
      </w:pPr>
      <w:r>
        <w:rPr>
          <w:rFonts w:ascii="Calibri" w:cs="Calibri" w:eastAsia="Calibri" w:hAnsi="Calibri"/>
          <w:b/>
          <w:bCs/>
          <w:color w:val="1B2A4A"/>
          <w:sz w:val="36"/>
          <w:szCs w:val="36"/>
        </w:rPr>
        <w:t xml:space="preserve">1. Executive Vision</w:t>
      </w:r>
    </w:p>
    <w:p>
      <w:pPr>
        <w:spacing w:after="120" w:before="120"/>
      </w:pPr>
      <w:r>
        <w:rPr>
          <w:rFonts w:ascii="Calibri" w:cs="Calibri" w:eastAsia="Calibri" w:hAnsi="Calibri"/>
          <w:color w:val="4A5568"/>
          <w:sz w:val="22"/>
          <w:szCs w:val="22"/>
        </w:rPr>
        <w:t xml:space="preserve">This platform is an enterprise-grade cyber-physical intelligence system that unifies battery health telemetry and network security analytics into a single, continuously learning decision engine. Rather than treating power reliability and network trust as separate operational domains — as most organizations do today — this platform detects cross-domain risk patterns that neither system could surface alone.</w:t>
      </w:r>
    </w:p>
    <w:p>
      <w:pPr>
        <w:spacing w:after="0" w:before="160"/>
      </w:pPr>
      <w:r>
        <w:rPr>
          <w:rFonts w:ascii="Calibri" w:cs="Calibri" w:eastAsia="Calibri" w:hAnsi="Calibri"/>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E88E5" w:sz="12"/>
              <w:bottom w:val="none" w:color="FFFFFF" w:sz="0"/>
              <w:right w:val="none" w:color="FFFFFF" w:sz="0"/>
            </w:tcBorders>
            <w:shd w:fill="E3F2FD" w:val="clear"/>
            <w:tcMar>
              <w:top w:type="dxa" w:w="120"/>
              <w:left w:type="dxa" w:w="200"/>
              <w:bottom w:type="dxa" w:w="120"/>
              <w:right w:type="dxa" w:w="120"/>
            </w:tcMar>
          </w:tcPr>
          <w:p>
            <w:r>
              <w:rPr>
                <w:rFonts w:ascii="Calibri" w:cs="Calibri" w:eastAsia="Calibri" w:hAnsi="Calibri"/>
                <w:b/>
                <w:bCs/>
                <w:color w:val="1E88E5"/>
                <w:sz w:val="22"/>
                <w:szCs w:val="22"/>
              </w:rPr>
              <w:t xml:space="preserve">Mission:  </w:t>
            </w:r>
            <w:r>
              <w:rPr>
                <w:rFonts w:ascii="Calibri" w:cs="Calibri" w:eastAsia="Calibri" w:hAnsi="Calibri"/>
                <w:color w:val="4A5568"/>
                <w:sz w:val="22"/>
                <w:szCs w:val="22"/>
              </w:rPr>
              <w:t xml:space="preserve">Deliver autonomous, explainable, and auditable intelligence across the full spectrum of cyber-physical asset risk — from thermal runaway prediction to adversarial network intrusion detection.</w:t>
            </w:r>
          </w:p>
        </w:tc>
      </w:tr>
    </w:tbl>
    <w:p>
      <w:pPr>
        <w:spacing w:after="0" w:before="200"/>
      </w:pPr>
      <w:r>
        <w:rPr>
          <w:rFonts w:ascii="Calibri" w:cs="Calibri" w:eastAsia="Calibri" w:hAnsi="Calibri"/>
          <w:color w:val="4A5568"/>
          <w:sz w:val="22"/>
          <w:szCs w:val="22"/>
        </w:rPr>
        <w:t xml:space="preserve"/>
      </w:r>
    </w:p>
    <w:p>
      <w:pPr>
        <w:pStyle w:val="Heading3"/>
        <w:spacing w:after="120" w:before="240"/>
      </w:pPr>
      <w:r>
        <w:rPr>
          <w:rFonts w:ascii="Calibri" w:cs="Calibri" w:eastAsia="Calibri" w:hAnsi="Calibri"/>
          <w:b/>
          <w:bCs/>
          <w:color w:val="00897B"/>
          <w:sz w:val="24"/>
          <w:szCs w:val="24"/>
        </w:rPr>
        <w:t xml:space="preserve">Core Detection Capabilities</w:t>
      </w:r>
    </w:p>
    <w:p>
      <w:pPr>
        <w:pStyle w:val="ListParagraph"/>
        <w:numPr>
          <w:ilvl w:val="0"/>
          <w:numId w:val="2"/>
        </w:numPr>
        <w:spacing w:after="60" w:before="60"/>
        <w:ind w:left="640" w:hanging="320"/>
      </w:pPr>
      <w:r>
        <w:rPr>
          <w:rFonts w:ascii="Calibri" w:cs="Calibri" w:eastAsia="Calibri" w:hAnsi="Calibri"/>
          <w:color w:val="4A5568"/>
          <w:sz w:val="22"/>
          <w:szCs w:val="22"/>
        </w:rPr>
        <w:t xml:space="preserve">Battery degradation and State-of-Health (SOH) decline forecasting</w:t>
      </w:r>
    </w:p>
    <w:p>
      <w:pPr>
        <w:pStyle w:val="ListParagraph"/>
        <w:numPr>
          <w:ilvl w:val="0"/>
          <w:numId w:val="2"/>
        </w:numPr>
        <w:spacing w:after="60" w:before="60"/>
        <w:ind w:left="640" w:hanging="320"/>
      </w:pPr>
      <w:r>
        <w:rPr>
          <w:rFonts w:ascii="Calibri" w:cs="Calibri" w:eastAsia="Calibri" w:hAnsi="Calibri"/>
          <w:color w:val="4A5568"/>
          <w:sz w:val="22"/>
          <w:szCs w:val="22"/>
        </w:rPr>
        <w:t xml:space="preserve">Cyber-induced battery stress (e.g., unauthorized polling increasing thermal load)</w:t>
      </w:r>
    </w:p>
    <w:p>
      <w:pPr>
        <w:pStyle w:val="ListParagraph"/>
        <w:numPr>
          <w:ilvl w:val="0"/>
          <w:numId w:val="2"/>
        </w:numPr>
        <w:spacing w:after="60" w:before="60"/>
        <w:ind w:left="640" w:hanging="320"/>
      </w:pPr>
      <w:r>
        <w:rPr>
          <w:rFonts w:ascii="Calibri" w:cs="Calibri" w:eastAsia="Calibri" w:hAnsi="Calibri"/>
          <w:color w:val="4A5568"/>
          <w:sz w:val="22"/>
          <w:szCs w:val="22"/>
        </w:rPr>
        <w:t xml:space="preserve">Battery-driven security weakness (e.g., power instability disabling firewalls)</w:t>
      </w:r>
    </w:p>
    <w:p>
      <w:pPr>
        <w:pStyle w:val="ListParagraph"/>
        <w:numPr>
          <w:ilvl w:val="0"/>
          <w:numId w:val="2"/>
        </w:numPr>
        <w:spacing w:after="60" w:before="60"/>
        <w:ind w:left="640" w:hanging="320"/>
      </w:pPr>
      <w:r>
        <w:rPr>
          <w:rFonts w:ascii="Calibri" w:cs="Calibri" w:eastAsia="Calibri" w:hAnsi="Calibri"/>
          <w:color w:val="4A5568"/>
          <w:sz w:val="22"/>
          <w:szCs w:val="22"/>
        </w:rPr>
        <w:t xml:space="preserve">Advanced persistent threat (APT) detection across IoT and OT networks</w:t>
      </w:r>
    </w:p>
    <w:p>
      <w:pPr>
        <w:pStyle w:val="ListParagraph"/>
        <w:numPr>
          <w:ilvl w:val="0"/>
          <w:numId w:val="2"/>
        </w:numPr>
        <w:spacing w:after="60" w:before="60"/>
        <w:ind w:left="640" w:hanging="320"/>
      </w:pPr>
      <w:r>
        <w:rPr>
          <w:rFonts w:ascii="Calibri" w:cs="Calibri" w:eastAsia="Calibri" w:hAnsi="Calibri"/>
          <w:color w:val="4A5568"/>
          <w:sz w:val="22"/>
          <w:szCs w:val="22"/>
        </w:rPr>
        <w:t xml:space="preserve">Predictive failure classification with Remaining Useful Life (RUL) estimation</w:t>
      </w:r>
    </w:p>
    <w:p>
      <w:pPr>
        <w:spacing w:after="0" w:before="160"/>
      </w:pPr>
      <w:r>
        <w:rPr>
          <w:rFonts w:ascii="Calibri" w:cs="Calibri" w:eastAsia="Calibri" w:hAnsi="Calibri"/>
          <w:color w:val="4A5568"/>
          <w:sz w:val="22"/>
          <w:szCs w:val="22"/>
        </w:rPr>
        <w:t xml:space="preserve"/>
      </w:r>
    </w:p>
    <w:p>
      <w:pPr>
        <w:pStyle w:val="Heading3"/>
        <w:spacing w:after="120" w:before="240"/>
      </w:pPr>
      <w:r>
        <w:rPr>
          <w:rFonts w:ascii="Calibri" w:cs="Calibri" w:eastAsia="Calibri" w:hAnsi="Calibri"/>
          <w:b/>
          <w:bCs/>
          <w:color w:val="00897B"/>
          <w:sz w:val="24"/>
          <w:szCs w:val="24"/>
        </w:rPr>
        <w:t xml:space="preserve">Technology Foundation</w:t>
      </w:r>
    </w:p>
    <w:p>
      <w:pPr>
        <w:spacing w:after="120" w:before="120"/>
      </w:pPr>
      <w:r>
        <w:rPr>
          <w:rFonts w:ascii="Calibri" w:cs="Calibri" w:eastAsia="Calibri" w:hAnsi="Calibri"/>
          <w:color w:val="4A5568"/>
          <w:sz w:val="22"/>
          <w:szCs w:val="22"/>
        </w:rPr>
        <w:t xml:space="preserve">The platform integrates eight distinct AI and engineering disciplines into a single coherent stack:</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Classical ML: </w:t>
      </w:r>
      <w:r>
        <w:rPr>
          <w:rFonts w:ascii="Calibri" w:cs="Calibri" w:eastAsia="Calibri" w:hAnsi="Calibri"/>
          <w:color w:val="4A5568"/>
          <w:sz w:val="22"/>
          <w:szCs w:val="22"/>
        </w:rPr>
        <w:t xml:space="preserve">XGBoost, Random Forest, Isolation Forest for structured data</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Deep Learning: </w:t>
      </w:r>
      <w:r>
        <w:rPr>
          <w:rFonts w:ascii="Calibri" w:cs="Calibri" w:eastAsia="Calibri" w:hAnsi="Calibri"/>
          <w:color w:val="4A5568"/>
          <w:sz w:val="22"/>
          <w:szCs w:val="22"/>
        </w:rPr>
        <w:t xml:space="preserve">LSTM networks for time-series RUL forecasting</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Generative AI (GAN): </w:t>
      </w:r>
      <w:r>
        <w:rPr>
          <w:rFonts w:ascii="Calibri" w:cs="Calibri" w:eastAsia="Calibri" w:hAnsi="Calibri"/>
          <w:color w:val="4A5568"/>
          <w:sz w:val="22"/>
          <w:szCs w:val="22"/>
        </w:rPr>
        <w:t xml:space="preserve">Synthetic rare-event simulation via TimeGAN and CTGAN</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Retrieval-Augmented Generation (RAG): </w:t>
      </w:r>
      <w:r>
        <w:rPr>
          <w:rFonts w:ascii="Calibri" w:cs="Calibri" w:eastAsia="Calibri" w:hAnsi="Calibri"/>
          <w:color w:val="4A5568"/>
          <w:sz w:val="22"/>
          <w:szCs w:val="22"/>
        </w:rPr>
        <w:t xml:space="preserve">Knowledge grounding from incident reports, OEM manuals, CVEs</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Explainable AI (XAI): </w:t>
      </w:r>
      <w:r>
        <w:rPr>
          <w:rFonts w:ascii="Calibri" w:cs="Calibri" w:eastAsia="Calibri" w:hAnsi="Calibri"/>
          <w:color w:val="4A5568"/>
          <w:sz w:val="22"/>
          <w:szCs w:val="22"/>
        </w:rPr>
        <w:t xml:space="preserve">LIME-based per-alert justification for every critical decision</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Autonomous Agents: </w:t>
      </w:r>
      <w:r>
        <w:rPr>
          <w:rFonts w:ascii="Calibri" w:cs="Calibri" w:eastAsia="Calibri" w:hAnsi="Calibri"/>
          <w:color w:val="4A5568"/>
          <w:sz w:val="22"/>
          <w:szCs w:val="22"/>
        </w:rPr>
        <w:t xml:space="preserve">Multi-agent orchestration for diagnosis, response, and compliance</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MCP Orchestration: </w:t>
      </w:r>
      <w:r>
        <w:rPr>
          <w:rFonts w:ascii="Calibri" w:cs="Calibri" w:eastAsia="Calibri" w:hAnsi="Calibri"/>
          <w:color w:val="4A5568"/>
          <w:sz w:val="22"/>
          <w:szCs w:val="22"/>
        </w:rPr>
        <w:t xml:space="preserve">Secure, audited tool execution via Model Context Protocol</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Modern UI: </w:t>
      </w:r>
      <w:r>
        <w:rPr>
          <w:rFonts w:ascii="Calibri" w:cs="Calibri" w:eastAsia="Calibri" w:hAnsi="Calibri"/>
          <w:color w:val="4A5568"/>
          <w:sz w:val="22"/>
          <w:szCs w:val="22"/>
        </w:rPr>
        <w:t xml:space="preserve">Real-time command center and conversational AI copilot</w:t>
      </w:r>
    </w:p>
    <w:p>
      <w:pPr>
        <w:pStyle w:val="Heading1"/>
        <w:pBdr>
          <w:bottom w:val="thick" w:color="1E88E5" w:sz="6" w:space="6"/>
        </w:pBdr>
        <w:spacing w:after="200" w:before="480"/>
      </w:pPr>
      <w:r>
        <w:rPr>
          <w:rFonts w:ascii="Calibri" w:cs="Calibri" w:eastAsia="Calibri" w:hAnsi="Calibri"/>
          <w:b/>
          <w:bCs/>
          <w:color w:val="1B2A4A"/>
          <w:sz w:val="36"/>
          <w:szCs w:val="36"/>
        </w:rPr>
        <w:t xml:space="preserve">2. Core Business Problem</w:t>
      </w:r>
    </w:p>
    <w:p>
      <w:pPr>
        <w:spacing w:after="120" w:before="120"/>
      </w:pPr>
      <w:r>
        <w:rPr>
          <w:rFonts w:ascii="Calibri" w:cs="Calibri" w:eastAsia="Calibri" w:hAnsi="Calibri"/>
          <w:color w:val="4A5568"/>
          <w:sz w:val="22"/>
          <w:szCs w:val="22"/>
        </w:rPr>
        <w:t xml:space="preserve">Critical infrastructure assets are increasingly dependent on both power reliability and network integrity — yet these domains are managed by separate teams with separate tools, creating dangerous blind spots. An adversary who understands this gap can craft attacks that exploit the interaction between cyber and physical systems.</w:t>
      </w:r>
    </w:p>
    <w:p>
      <w:pPr>
        <w:spacing w:after="0" w:before="160"/>
      </w:pPr>
      <w:r>
        <w:rPr>
          <w:rFonts w:ascii="Calibri" w:cs="Calibri" w:eastAsia="Calibri" w:hAnsi="Calibri"/>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240"/>
            </w:tcMar>
          </w:tcPr>
          <w:p>
            <w:pPr>
              <w:pStyle w:val="Heading3"/>
              <w:spacing w:after="120" w:before="240"/>
            </w:pPr>
            <w:r>
              <w:rPr>
                <w:rFonts w:ascii="Calibri" w:cs="Calibri" w:eastAsia="Calibri" w:hAnsi="Calibri"/>
                <w:b/>
                <w:bCs/>
                <w:color w:val="00897B"/>
                <w:sz w:val="24"/>
                <w:szCs w:val="24"/>
              </w:rPr>
              <w:t xml:space="preserve">Asset Classes at Risk</w:t>
            </w:r>
          </w:p>
          <w:p>
            <w:pPr>
              <w:pStyle w:val="ListParagraph"/>
              <w:numPr>
                <w:ilvl w:val="0"/>
                <w:numId w:val="2"/>
              </w:numPr>
              <w:spacing w:after="60" w:before="60"/>
              <w:ind w:left="640" w:hanging="320"/>
            </w:pPr>
            <w:r>
              <w:rPr>
                <w:rFonts w:ascii="Calibri" w:cs="Calibri" w:eastAsia="Calibri" w:hAnsi="Calibri"/>
                <w:color w:val="4A5568"/>
                <w:sz w:val="22"/>
                <w:szCs w:val="22"/>
              </w:rPr>
              <w:t xml:space="preserve">Electric vehicle (EV) fleets</w:t>
            </w:r>
          </w:p>
          <w:p>
            <w:pPr>
              <w:pStyle w:val="ListParagraph"/>
              <w:numPr>
                <w:ilvl w:val="0"/>
                <w:numId w:val="2"/>
              </w:numPr>
              <w:spacing w:after="60" w:before="60"/>
              <w:ind w:left="640" w:hanging="320"/>
            </w:pPr>
            <w:r>
              <w:rPr>
                <w:rFonts w:ascii="Calibri" w:cs="Calibri" w:eastAsia="Calibri" w:hAnsi="Calibri"/>
                <w:color w:val="4A5568"/>
                <w:sz w:val="22"/>
                <w:szCs w:val="22"/>
              </w:rPr>
              <w:t xml:space="preserve">Telecom towers and base stations</w:t>
            </w:r>
          </w:p>
          <w:p>
            <w:pPr>
              <w:pStyle w:val="ListParagraph"/>
              <w:numPr>
                <w:ilvl w:val="0"/>
                <w:numId w:val="2"/>
              </w:numPr>
              <w:spacing w:after="60" w:before="60"/>
              <w:ind w:left="640" w:hanging="320"/>
            </w:pPr>
            <w:r>
              <w:rPr>
                <w:rFonts w:ascii="Calibri" w:cs="Calibri" w:eastAsia="Calibri" w:hAnsi="Calibri"/>
                <w:color w:val="4A5568"/>
                <w:sz w:val="22"/>
                <w:szCs w:val="22"/>
              </w:rPr>
              <w:t xml:space="preserve">Smart grid nodes and substations</w:t>
            </w:r>
          </w:p>
          <w:p>
            <w:pPr>
              <w:pStyle w:val="ListParagraph"/>
              <w:numPr>
                <w:ilvl w:val="0"/>
                <w:numId w:val="2"/>
              </w:numPr>
              <w:spacing w:after="60" w:before="60"/>
              <w:ind w:left="640" w:hanging="320"/>
            </w:pPr>
            <w:r>
              <w:rPr>
                <w:rFonts w:ascii="Calibri" w:cs="Calibri" w:eastAsia="Calibri" w:hAnsi="Calibri"/>
                <w:color w:val="4A5568"/>
                <w:sz w:val="22"/>
                <w:szCs w:val="22"/>
              </w:rPr>
              <w:t xml:space="preserve">Industrial IoT and SCADA devices</w:t>
            </w:r>
          </w:p>
          <w:p>
            <w:pPr>
              <w:pStyle w:val="ListParagraph"/>
              <w:numPr>
                <w:ilvl w:val="0"/>
                <w:numId w:val="2"/>
              </w:numPr>
              <w:spacing w:after="60" w:before="60"/>
              <w:ind w:left="640" w:hanging="320"/>
            </w:pPr>
            <w:r>
              <w:rPr>
                <w:rFonts w:ascii="Calibri" w:cs="Calibri" w:eastAsia="Calibri" w:hAnsi="Calibri"/>
                <w:color w:val="4A5568"/>
                <w:sz w:val="22"/>
                <w:szCs w:val="22"/>
              </w:rPr>
              <w:t xml:space="preserve">Data center UPS and power systems</w:t>
            </w:r>
          </w:p>
          <w:p>
            <w:pPr>
              <w:pStyle w:val="ListParagraph"/>
              <w:numPr>
                <w:ilvl w:val="0"/>
                <w:numId w:val="2"/>
              </w:numPr>
              <w:spacing w:after="60" w:before="60"/>
              <w:ind w:left="640" w:hanging="320"/>
            </w:pPr>
            <w:r>
              <w:rPr>
                <w:rFonts w:ascii="Calibri" w:cs="Calibri" w:eastAsia="Calibri" w:hAnsi="Calibri"/>
                <w:color w:val="4A5568"/>
                <w:sz w:val="22"/>
                <w:szCs w:val="22"/>
              </w:rPr>
              <w:t xml:space="preserve">Autonomous drones and UAV platforms</w:t>
            </w:r>
          </w:p>
        </w:tc>
        <w:tc>
          <w:tcPr>
            <w:tcW w:type="dxa" w:w="4800"/>
            <w:tcBorders>
              <w:top w:val="none" w:color="FFFFFF" w:sz="0"/>
              <w:left w:val="none" w:color="FFFFFF" w:sz="0"/>
              <w:bottom w:val="none" w:color="FFFFFF" w:sz="0"/>
              <w:right w:val="none" w:color="FFFFFF" w:sz="0"/>
            </w:tcBorders>
            <w:tcMar>
              <w:top w:type="dxa" w:w="80"/>
              <w:left w:type="dxa" w:w="240"/>
              <w:bottom w:type="dxa" w:w="80"/>
              <w:right w:type="dxa" w:w="0"/>
            </w:tcMar>
          </w:tcPr>
          <w:p>
            <w:pPr>
              <w:pStyle w:val="Heading3"/>
              <w:spacing w:after="120" w:before="240"/>
            </w:pPr>
            <w:r>
              <w:rPr>
                <w:rFonts w:ascii="Calibri" w:cs="Calibri" w:eastAsia="Calibri" w:hAnsi="Calibri"/>
                <w:b/>
                <w:bCs/>
                <w:color w:val="00897B"/>
                <w:sz w:val="24"/>
                <w:szCs w:val="24"/>
              </w:rPr>
              <w:t xml:space="preserve">The Monitoring Gap</w:t>
            </w:r>
          </w:p>
          <w:p>
            <w:pPr>
              <w:spacing w:after="120" w:before="120"/>
            </w:pPr>
            <w:r>
              <w:rPr>
                <w:rFonts w:ascii="Calibri" w:cs="Calibri" w:eastAsia="Calibri" w:hAnsi="Calibri"/>
                <w:color w:val="4A5568"/>
                <w:sz w:val="22"/>
                <w:szCs w:val="22"/>
              </w:rPr>
              <w:t xml:space="preserve">Organizations today use:</w:t>
            </w:r>
          </w:p>
          <w:p>
            <w:pPr>
              <w:pStyle w:val="ListParagraph"/>
              <w:numPr>
                <w:ilvl w:val="0"/>
                <w:numId w:val="2"/>
              </w:numPr>
              <w:spacing w:after="60" w:before="60"/>
              <w:ind w:left="640" w:hanging="320"/>
            </w:pPr>
            <w:r>
              <w:rPr>
                <w:rFonts w:ascii="Calibri" w:cs="Calibri" w:eastAsia="Calibri" w:hAnsi="Calibri"/>
                <w:color w:val="4A5568"/>
                <w:sz w:val="22"/>
                <w:szCs w:val="22"/>
              </w:rPr>
              <w:t xml:space="preserve">Battery management systems (BMS) — isolated</w:t>
            </w:r>
          </w:p>
          <w:p>
            <w:pPr>
              <w:pStyle w:val="ListParagraph"/>
              <w:numPr>
                <w:ilvl w:val="0"/>
                <w:numId w:val="2"/>
              </w:numPr>
              <w:spacing w:after="60" w:before="60"/>
              <w:ind w:left="640" w:hanging="320"/>
            </w:pPr>
            <w:r>
              <w:rPr>
                <w:rFonts w:ascii="Calibri" w:cs="Calibri" w:eastAsia="Calibri" w:hAnsi="Calibri"/>
                <w:color w:val="4A5568"/>
                <w:sz w:val="22"/>
                <w:szCs w:val="22"/>
              </w:rPr>
              <w:t xml:space="preserve">Security Information &amp; Event Management (SIEM) — isolated</w:t>
            </w:r>
          </w:p>
          <w:p>
            <w:pPr>
              <w:spacing w:after="0" w:before="120"/>
            </w:pPr>
            <w:r>
              <w:rPr>
                <w:rFonts w:ascii="Calibri" w:cs="Calibri" w:eastAsia="Calibri" w:hAnsi="Calibri"/>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F9A825" w:sz="12"/>
                    <w:bottom w:val="none" w:color="FFFFFF" w:sz="0"/>
                    <w:right w:val="none" w:color="FFFFFF" w:sz="0"/>
                  </w:tcBorders>
                  <w:shd w:fill="FFF8E1" w:val="clear"/>
                  <w:tcMar>
                    <w:top w:type="dxa" w:w="120"/>
                    <w:left w:type="dxa" w:w="200"/>
                    <w:bottom w:type="dxa" w:w="120"/>
                    <w:right w:type="dxa" w:w="120"/>
                  </w:tcMar>
                </w:tcPr>
                <w:p>
                  <w:r>
                    <w:rPr>
                      <w:rFonts w:ascii="Calibri" w:cs="Calibri" w:eastAsia="Calibri" w:hAnsi="Calibri"/>
                      <w:b/>
                      <w:bCs/>
                      <w:color w:val="F9A825"/>
                      <w:sz w:val="22"/>
                      <w:szCs w:val="22"/>
                    </w:rPr>
                    <w:t xml:space="preserve">Problem:  </w:t>
                  </w:r>
                  <w:r>
                    <w:rPr>
                      <w:rFonts w:ascii="Calibri" w:cs="Calibri" w:eastAsia="Calibri" w:hAnsi="Calibri"/>
                      <w:color w:val="4A5568"/>
                      <w:sz w:val="22"/>
                      <w:szCs w:val="22"/>
                    </w:rPr>
                    <w:t xml:space="preserve">Neither system can detect cross-domain threats. A DDoS attack that spikes battery temperature is invisible to both.</w:t>
                  </w:r>
                </w:p>
              </w:tc>
            </w:tr>
          </w:tbl>
          <w:p/>
        </w:tc>
      </w:tr>
    </w:tbl>
    <w:p>
      <w:pPr>
        <w:spacing w:after="0" w:before="240"/>
      </w:pPr>
      <w:r>
        <w:rPr>
          <w:rFonts w:ascii="Calibri" w:cs="Calibri" w:eastAsia="Calibri" w:hAnsi="Calibri"/>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00897B" w:sz="12"/>
              <w:bottom w:val="none" w:color="FFFFFF" w:sz="0"/>
              <w:right w:val="none" w:color="FFFFFF" w:sz="0"/>
            </w:tcBorders>
            <w:shd w:fill="E0F2F1" w:val="clear"/>
            <w:tcMar>
              <w:top w:type="dxa" w:w="120"/>
              <w:left w:type="dxa" w:w="200"/>
              <w:bottom w:type="dxa" w:w="120"/>
              <w:right w:type="dxa" w:w="120"/>
            </w:tcMar>
          </w:tcPr>
          <w:p>
            <w:r>
              <w:rPr>
                <w:rFonts w:ascii="Calibri" w:cs="Calibri" w:eastAsia="Calibri" w:hAnsi="Calibri"/>
                <w:b/>
                <w:bCs/>
                <w:color w:val="00897B"/>
                <w:sz w:val="22"/>
                <w:szCs w:val="22"/>
              </w:rPr>
              <w:t xml:space="preserve">Platform Differentiator:  </w:t>
            </w:r>
            <w:r>
              <w:rPr>
                <w:rFonts w:ascii="Calibri" w:cs="Calibri" w:eastAsia="Calibri" w:hAnsi="Calibri"/>
                <w:color w:val="4A5568"/>
                <w:sz w:val="22"/>
                <w:szCs w:val="22"/>
              </w:rPr>
              <w:t xml:space="preserve">This system is the unification layer. It detects causally linked events across both domains in real time, with explainable reasoning and autonomous response capability.</w:t>
            </w:r>
          </w:p>
        </w:tc>
      </w:tr>
    </w:tbl>
    <w:p>
      <w:pPr>
        <w:pStyle w:val="Heading1"/>
        <w:pBdr>
          <w:bottom w:val="thick" w:color="1E88E5" w:sz="6" w:space="6"/>
        </w:pBdr>
        <w:spacing w:after="200" w:before="480"/>
      </w:pPr>
      <w:r>
        <w:rPr>
          <w:rFonts w:ascii="Calibri" w:cs="Calibri" w:eastAsia="Calibri" w:hAnsi="Calibri"/>
          <w:b/>
          <w:bCs/>
          <w:color w:val="1B2A4A"/>
          <w:sz w:val="36"/>
          <w:szCs w:val="36"/>
        </w:rPr>
        <w:t xml:space="preserve">3. System Architecture Overview</w:t>
      </w:r>
    </w:p>
    <w:p>
      <w:pPr>
        <w:spacing w:after="120" w:before="120"/>
      </w:pPr>
      <w:r>
        <w:rPr>
          <w:rFonts w:ascii="Calibri" w:cs="Calibri" w:eastAsia="Calibri" w:hAnsi="Calibri"/>
          <w:color w:val="4A5568"/>
          <w:sz w:val="22"/>
          <w:szCs w:val="22"/>
        </w:rPr>
        <w:t xml:space="preserve">The platform is structured as nine vertically integrated layers, each with a distinct function and clear data contract with adjacent layers. Data flows downward from raw ingestion to intelligent action; control signals and audit records flow upward to governance and UI.</w:t>
      </w:r>
    </w:p>
    <w:p>
      <w:pPr>
        <w:spacing w:after="0" w:before="240"/>
      </w:pPr>
      <w:r>
        <w:rPr>
          <w:rFonts w:ascii="Calibri" w:cs="Calibri" w:eastAsia="Calibri" w:hAnsi="Calibri"/>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LAYER</w:t>
            </w:r>
            <w:r>
              <w:br/>
              <w:t xml:space="preserve">
</w:t>
            </w:r>
            <w:r>
              <w:rPr>
                <w:rFonts w:ascii="Calibri" w:cs="Calibri" w:eastAsia="Calibri" w:hAnsi="Calibri"/>
                <w:b/>
                <w:bCs/>
                <w:color w:val="F9A825"/>
                <w:sz w:val="32"/>
                <w:szCs w:val="32"/>
              </w:rPr>
              <w:t xml:space="preserve">01</w:t>
            </w:r>
          </w:p>
        </w:tc>
        <w:tc>
          <w:tcPr>
            <w:tcW w:type="dxa" w:w="8160"/>
            <w:tcBorders>
              <w:top w:val="single" w:color="BDC3CF" w:sz="1"/>
              <w:left w:val="single" w:color="BDC3CF" w:sz="1"/>
              <w:bottom w:val="single" w:color="BDC3CF" w:sz="1"/>
              <w:right w:val="single" w:color="BDC3CF" w:sz="1"/>
            </w:tcBorders>
            <w:shd w:fill="E3F2FD" w:val="clear"/>
            <w:tcMar>
              <w:top w:type="dxa" w:w="100"/>
              <w:left w:type="dxa" w:w="200"/>
              <w:bottom w:type="dxa" w:w="100"/>
              <w:right w:type="dxa" w:w="120"/>
            </w:tcMar>
          </w:tcPr>
          <w:p>
            <w:r>
              <w:rPr>
                <w:rFonts w:ascii="Calibri" w:cs="Calibri" w:eastAsia="Calibri" w:hAnsi="Calibri"/>
                <w:b/>
                <w:bCs/>
                <w:color w:val="1B2A4A"/>
                <w:sz w:val="26"/>
                <w:szCs w:val="26"/>
              </w:rPr>
              <w:t xml:space="preserve">Dataset Layer</w:t>
            </w:r>
          </w:p>
          <w:p>
            <w:r>
              <w:rPr>
                <w:rFonts w:ascii="Calibri" w:cs="Calibri" w:eastAsia="Calibri" w:hAnsi="Calibri"/>
                <w:color w:val="4A5568"/>
                <w:sz w:val="20"/>
                <w:szCs w:val="20"/>
              </w:rPr>
              <w:t xml:space="preserve">Multi-source ingestion: NASA/CALCE battery aging data, CIC-IDS2017/UNSW-NB15 cyber logs, OEM manuals, CVEs, and SOPs</w:t>
            </w:r>
          </w:p>
        </w:tc>
      </w:tr>
    </w:tbl>
    <w:p>
      <w:pPr>
        <w:spacing w:after="0" w:before="120"/>
      </w:pPr>
      <w:r>
        <w:rPr>
          <w:rFonts w:ascii="Calibri" w:cs="Calibri" w:eastAsia="Calibri" w:hAnsi="Calibri"/>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LAYER</w:t>
            </w:r>
            <w:r>
              <w:br/>
              <w:t xml:space="preserve">
</w:t>
            </w:r>
            <w:r>
              <w:rPr>
                <w:rFonts w:ascii="Calibri" w:cs="Calibri" w:eastAsia="Calibri" w:hAnsi="Calibri"/>
                <w:b/>
                <w:bCs/>
                <w:color w:val="F9A825"/>
                <w:sz w:val="32"/>
                <w:szCs w:val="32"/>
              </w:rPr>
              <w:t xml:space="preserve">02</w:t>
            </w:r>
          </w:p>
        </w:tc>
        <w:tc>
          <w:tcPr>
            <w:tcW w:type="dxa" w:w="8160"/>
            <w:tcBorders>
              <w:top w:val="single" w:color="BDC3CF" w:sz="1"/>
              <w:left w:val="single" w:color="BDC3CF" w:sz="1"/>
              <w:bottom w:val="single" w:color="BDC3CF" w:sz="1"/>
              <w:right w:val="single" w:color="BDC3CF" w:sz="1"/>
            </w:tcBorders>
            <w:shd w:fill="E3F2FD" w:val="clear"/>
            <w:tcMar>
              <w:top w:type="dxa" w:w="100"/>
              <w:left w:type="dxa" w:w="200"/>
              <w:bottom w:type="dxa" w:w="100"/>
              <w:right w:type="dxa" w:w="120"/>
            </w:tcMar>
          </w:tcPr>
          <w:p>
            <w:r>
              <w:rPr>
                <w:rFonts w:ascii="Calibri" w:cs="Calibri" w:eastAsia="Calibri" w:hAnsi="Calibri"/>
                <w:b/>
                <w:bCs/>
                <w:color w:val="1B2A4A"/>
                <w:sz w:val="26"/>
                <w:szCs w:val="26"/>
              </w:rPr>
              <w:t xml:space="preserve">Data Engineering Layer</w:t>
            </w:r>
          </w:p>
          <w:p>
            <w:r>
              <w:rPr>
                <w:rFonts w:ascii="Calibri" w:cs="Calibri" w:eastAsia="Calibri" w:hAnsi="Calibri"/>
                <w:color w:val="4A5568"/>
                <w:sz w:val="20"/>
                <w:szCs w:val="20"/>
              </w:rPr>
              <w:t xml:space="preserve">Cleaning, time-alignment, schema fusion, and cross-domain feature engineering across battery and cyber signals</w:t>
            </w:r>
          </w:p>
        </w:tc>
      </w:tr>
    </w:tbl>
    <w:p>
      <w:pPr>
        <w:spacing w:after="0" w:before="120"/>
      </w:pPr>
      <w:r>
        <w:rPr>
          <w:rFonts w:ascii="Calibri" w:cs="Calibri" w:eastAsia="Calibri" w:hAnsi="Calibri"/>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LAYER</w:t>
            </w:r>
            <w:r>
              <w:br/>
              <w:t xml:space="preserve">
</w:t>
            </w:r>
            <w:r>
              <w:rPr>
                <w:rFonts w:ascii="Calibri" w:cs="Calibri" w:eastAsia="Calibri" w:hAnsi="Calibri"/>
                <w:b/>
                <w:bCs/>
                <w:color w:val="F9A825"/>
                <w:sz w:val="32"/>
                <w:szCs w:val="32"/>
              </w:rPr>
              <w:t xml:space="preserve">03</w:t>
            </w:r>
          </w:p>
        </w:tc>
        <w:tc>
          <w:tcPr>
            <w:tcW w:type="dxa" w:w="8160"/>
            <w:tcBorders>
              <w:top w:val="single" w:color="BDC3CF" w:sz="1"/>
              <w:left w:val="single" w:color="BDC3CF" w:sz="1"/>
              <w:bottom w:val="single" w:color="BDC3CF" w:sz="1"/>
              <w:right w:val="single" w:color="BDC3CF" w:sz="1"/>
            </w:tcBorders>
            <w:shd w:fill="E3F2FD" w:val="clear"/>
            <w:tcMar>
              <w:top w:type="dxa" w:w="100"/>
              <w:left w:type="dxa" w:w="200"/>
              <w:bottom w:type="dxa" w:w="100"/>
              <w:right w:type="dxa" w:w="120"/>
            </w:tcMar>
          </w:tcPr>
          <w:p>
            <w:r>
              <w:rPr>
                <w:rFonts w:ascii="Calibri" w:cs="Calibri" w:eastAsia="Calibri" w:hAnsi="Calibri"/>
                <w:b/>
                <w:bCs/>
                <w:color w:val="1B2A4A"/>
                <w:sz w:val="26"/>
                <w:szCs w:val="26"/>
              </w:rPr>
              <w:t xml:space="preserve">GAN Intelligence Layer</w:t>
            </w:r>
          </w:p>
          <w:p>
            <w:r>
              <w:rPr>
                <w:rFonts w:ascii="Calibri" w:cs="Calibri" w:eastAsia="Calibri" w:hAnsi="Calibri"/>
                <w:color w:val="4A5568"/>
                <w:sz w:val="20"/>
                <w:szCs w:val="20"/>
              </w:rPr>
              <w:t xml:space="preserve">TimeGAN and CTGAN synthetic data generation to address rare catastrophic event scarcity in training sets</w:t>
            </w:r>
          </w:p>
        </w:tc>
      </w:tr>
    </w:tbl>
    <w:p>
      <w:pPr>
        <w:spacing w:after="0" w:before="120"/>
      </w:pPr>
      <w:r>
        <w:rPr>
          <w:rFonts w:ascii="Calibri" w:cs="Calibri" w:eastAsia="Calibri" w:hAnsi="Calibri"/>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LAYER</w:t>
            </w:r>
            <w:r>
              <w:br/>
              <w:t xml:space="preserve">
</w:t>
            </w:r>
            <w:r>
              <w:rPr>
                <w:rFonts w:ascii="Calibri" w:cs="Calibri" w:eastAsia="Calibri" w:hAnsi="Calibri"/>
                <w:b/>
                <w:bCs/>
                <w:color w:val="F9A825"/>
                <w:sz w:val="32"/>
                <w:szCs w:val="32"/>
              </w:rPr>
              <w:t xml:space="preserve">04</w:t>
            </w:r>
          </w:p>
        </w:tc>
        <w:tc>
          <w:tcPr>
            <w:tcW w:type="dxa" w:w="8160"/>
            <w:tcBorders>
              <w:top w:val="single" w:color="BDC3CF" w:sz="1"/>
              <w:left w:val="single" w:color="BDC3CF" w:sz="1"/>
              <w:bottom w:val="single" w:color="BDC3CF" w:sz="1"/>
              <w:right w:val="single" w:color="BDC3CF" w:sz="1"/>
            </w:tcBorders>
            <w:shd w:fill="E3F2FD" w:val="clear"/>
            <w:tcMar>
              <w:top w:type="dxa" w:w="100"/>
              <w:left w:type="dxa" w:w="200"/>
              <w:bottom w:type="dxa" w:w="100"/>
              <w:right w:type="dxa" w:w="120"/>
            </w:tcMar>
          </w:tcPr>
          <w:p>
            <w:r>
              <w:rPr>
                <w:rFonts w:ascii="Calibri" w:cs="Calibri" w:eastAsia="Calibri" w:hAnsi="Calibri"/>
                <w:b/>
                <w:bCs/>
                <w:color w:val="1B2A4A"/>
                <w:sz w:val="26"/>
                <w:szCs w:val="26"/>
              </w:rPr>
              <w:t xml:space="preserve">Modeling Layer</w:t>
            </w:r>
          </w:p>
          <w:p>
            <w:r>
              <w:rPr>
                <w:rFonts w:ascii="Calibri" w:cs="Calibri" w:eastAsia="Calibri" w:hAnsi="Calibri"/>
                <w:color w:val="4A5568"/>
                <w:sz w:val="20"/>
                <w:szCs w:val="20"/>
              </w:rPr>
              <w:t xml:space="preserve">Ensemble ML and deep learning: SOH prediction, RUL forecasting, attack classification, and unified fusion risk scoring</w:t>
            </w:r>
          </w:p>
        </w:tc>
      </w:tr>
    </w:tbl>
    <w:p>
      <w:pPr>
        <w:spacing w:after="0" w:before="120"/>
      </w:pPr>
      <w:r>
        <w:rPr>
          <w:rFonts w:ascii="Calibri" w:cs="Calibri" w:eastAsia="Calibri" w:hAnsi="Calibri"/>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LAYER</w:t>
            </w:r>
            <w:r>
              <w:br/>
              <w:t xml:space="preserve">
</w:t>
            </w:r>
            <w:r>
              <w:rPr>
                <w:rFonts w:ascii="Calibri" w:cs="Calibri" w:eastAsia="Calibri" w:hAnsi="Calibri"/>
                <w:b/>
                <w:bCs/>
                <w:color w:val="F9A825"/>
                <w:sz w:val="32"/>
                <w:szCs w:val="32"/>
              </w:rPr>
              <w:t xml:space="preserve">05</w:t>
            </w:r>
          </w:p>
        </w:tc>
        <w:tc>
          <w:tcPr>
            <w:tcW w:type="dxa" w:w="8160"/>
            <w:tcBorders>
              <w:top w:val="single" w:color="BDC3CF" w:sz="1"/>
              <w:left w:val="single" w:color="BDC3CF" w:sz="1"/>
              <w:bottom w:val="single" w:color="BDC3CF" w:sz="1"/>
              <w:right w:val="single" w:color="BDC3CF" w:sz="1"/>
            </w:tcBorders>
            <w:shd w:fill="E3F2FD" w:val="clear"/>
            <w:tcMar>
              <w:top w:type="dxa" w:w="100"/>
              <w:left w:type="dxa" w:w="200"/>
              <w:bottom w:type="dxa" w:w="100"/>
              <w:right w:type="dxa" w:w="120"/>
            </w:tcMar>
          </w:tcPr>
          <w:p>
            <w:r>
              <w:rPr>
                <w:rFonts w:ascii="Calibri" w:cs="Calibri" w:eastAsia="Calibri" w:hAnsi="Calibri"/>
                <w:b/>
                <w:bCs/>
                <w:color w:val="1B2A4A"/>
                <w:sz w:val="26"/>
                <w:szCs w:val="26"/>
              </w:rPr>
              <w:t xml:space="preserve">Explainability Layer</w:t>
            </w:r>
          </w:p>
          <w:p>
            <w:r>
              <w:rPr>
                <w:rFonts w:ascii="Calibri" w:cs="Calibri" w:eastAsia="Calibri" w:hAnsi="Calibri"/>
                <w:color w:val="4A5568"/>
                <w:sz w:val="20"/>
                <w:szCs w:val="20"/>
              </w:rPr>
              <w:t xml:space="preserve">LIME-based per-decision justification ensuring every critical alert includes a human-readable reasoning trace</w:t>
            </w:r>
          </w:p>
        </w:tc>
      </w:tr>
    </w:tbl>
    <w:p>
      <w:pPr>
        <w:spacing w:after="0" w:before="120"/>
      </w:pPr>
      <w:r>
        <w:rPr>
          <w:rFonts w:ascii="Calibri" w:cs="Calibri" w:eastAsia="Calibri" w:hAnsi="Calibri"/>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LAYER</w:t>
            </w:r>
            <w:r>
              <w:br/>
              <w:t xml:space="preserve">
</w:t>
            </w:r>
            <w:r>
              <w:rPr>
                <w:rFonts w:ascii="Calibri" w:cs="Calibri" w:eastAsia="Calibri" w:hAnsi="Calibri"/>
                <w:b/>
                <w:bCs/>
                <w:color w:val="F9A825"/>
                <w:sz w:val="32"/>
                <w:szCs w:val="32"/>
              </w:rPr>
              <w:t xml:space="preserve">06</w:t>
            </w:r>
          </w:p>
        </w:tc>
        <w:tc>
          <w:tcPr>
            <w:tcW w:type="dxa" w:w="8160"/>
            <w:tcBorders>
              <w:top w:val="single" w:color="BDC3CF" w:sz="1"/>
              <w:left w:val="single" w:color="BDC3CF" w:sz="1"/>
              <w:bottom w:val="single" w:color="BDC3CF" w:sz="1"/>
              <w:right w:val="single" w:color="BDC3CF" w:sz="1"/>
            </w:tcBorders>
            <w:shd w:fill="E3F2FD" w:val="clear"/>
            <w:tcMar>
              <w:top w:type="dxa" w:w="100"/>
              <w:left w:type="dxa" w:w="200"/>
              <w:bottom w:type="dxa" w:w="100"/>
              <w:right w:type="dxa" w:w="120"/>
            </w:tcMar>
          </w:tcPr>
          <w:p>
            <w:r>
              <w:rPr>
                <w:rFonts w:ascii="Calibri" w:cs="Calibri" w:eastAsia="Calibri" w:hAnsi="Calibri"/>
                <w:b/>
                <w:bCs/>
                <w:color w:val="1B2A4A"/>
                <w:sz w:val="26"/>
                <w:szCs w:val="26"/>
              </w:rPr>
              <w:t xml:space="preserve">RAG Knowledge Layer</w:t>
            </w:r>
          </w:p>
          <w:p>
            <w:r>
              <w:rPr>
                <w:rFonts w:ascii="Calibri" w:cs="Calibri" w:eastAsia="Calibri" w:hAnsi="Calibri"/>
                <w:color w:val="4A5568"/>
                <w:sz w:val="20"/>
                <w:szCs w:val="20"/>
              </w:rPr>
              <w:t xml:space="preserve">LangChain + FAISS vector search over incident reports, OEM manuals, and threat intelligence for contextual grounding</w:t>
            </w:r>
          </w:p>
        </w:tc>
      </w:tr>
    </w:tbl>
    <w:p>
      <w:pPr>
        <w:spacing w:after="0" w:before="120"/>
      </w:pPr>
      <w:r>
        <w:rPr>
          <w:rFonts w:ascii="Calibri" w:cs="Calibri" w:eastAsia="Calibri" w:hAnsi="Calibri"/>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LAYER</w:t>
            </w:r>
            <w:r>
              <w:br/>
              <w:t xml:space="preserve">
</w:t>
            </w:r>
            <w:r>
              <w:rPr>
                <w:rFonts w:ascii="Calibri" w:cs="Calibri" w:eastAsia="Calibri" w:hAnsi="Calibri"/>
                <w:b/>
                <w:bCs/>
                <w:color w:val="F9A825"/>
                <w:sz w:val="32"/>
                <w:szCs w:val="32"/>
              </w:rPr>
              <w:t xml:space="preserve">07</w:t>
            </w:r>
          </w:p>
        </w:tc>
        <w:tc>
          <w:tcPr>
            <w:tcW w:type="dxa" w:w="8160"/>
            <w:tcBorders>
              <w:top w:val="single" w:color="BDC3CF" w:sz="1"/>
              <w:left w:val="single" w:color="BDC3CF" w:sz="1"/>
              <w:bottom w:val="single" w:color="BDC3CF" w:sz="1"/>
              <w:right w:val="single" w:color="BDC3CF" w:sz="1"/>
            </w:tcBorders>
            <w:shd w:fill="E3F2FD" w:val="clear"/>
            <w:tcMar>
              <w:top w:type="dxa" w:w="100"/>
              <w:left w:type="dxa" w:w="200"/>
              <w:bottom w:type="dxa" w:w="100"/>
              <w:right w:type="dxa" w:w="120"/>
            </w:tcMar>
          </w:tcPr>
          <w:p>
            <w:r>
              <w:rPr>
                <w:rFonts w:ascii="Calibri" w:cs="Calibri" w:eastAsia="Calibri" w:hAnsi="Calibri"/>
                <w:b/>
                <w:bCs/>
                <w:color w:val="1B2A4A"/>
                <w:sz w:val="26"/>
                <w:szCs w:val="26"/>
              </w:rPr>
              <w:t xml:space="preserve">Agentic AI Layer</w:t>
            </w:r>
          </w:p>
          <w:p>
            <w:r>
              <w:rPr>
                <w:rFonts w:ascii="Calibri" w:cs="Calibri" w:eastAsia="Calibri" w:hAnsi="Calibri"/>
                <w:color w:val="4A5568"/>
                <w:sz w:val="20"/>
                <w:szCs w:val="20"/>
              </w:rPr>
              <w:t xml:space="preserve">Five specialized agents — Monitoring, Diagnosis, Recommendation, Compliance, and Reporting — operating in coordinated pipelines</w:t>
            </w:r>
          </w:p>
        </w:tc>
      </w:tr>
    </w:tbl>
    <w:p>
      <w:pPr>
        <w:spacing w:after="0" w:before="120"/>
      </w:pPr>
      <w:r>
        <w:rPr>
          <w:rFonts w:ascii="Calibri" w:cs="Calibri" w:eastAsia="Calibri" w:hAnsi="Calibri"/>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LAYER</w:t>
            </w:r>
            <w:r>
              <w:br/>
              <w:t xml:space="preserve">
</w:t>
            </w:r>
            <w:r>
              <w:rPr>
                <w:rFonts w:ascii="Calibri" w:cs="Calibri" w:eastAsia="Calibri" w:hAnsi="Calibri"/>
                <w:b/>
                <w:bCs/>
                <w:color w:val="F9A825"/>
                <w:sz w:val="32"/>
                <w:szCs w:val="32"/>
              </w:rPr>
              <w:t xml:space="preserve">08</w:t>
            </w:r>
          </w:p>
        </w:tc>
        <w:tc>
          <w:tcPr>
            <w:tcW w:type="dxa" w:w="8160"/>
            <w:tcBorders>
              <w:top w:val="single" w:color="BDC3CF" w:sz="1"/>
              <w:left w:val="single" w:color="BDC3CF" w:sz="1"/>
              <w:bottom w:val="single" w:color="BDC3CF" w:sz="1"/>
              <w:right w:val="single" w:color="BDC3CF" w:sz="1"/>
            </w:tcBorders>
            <w:shd w:fill="E3F2FD" w:val="clear"/>
            <w:tcMar>
              <w:top w:type="dxa" w:w="100"/>
              <w:left w:type="dxa" w:w="200"/>
              <w:bottom w:type="dxa" w:w="100"/>
              <w:right w:type="dxa" w:w="120"/>
            </w:tcMar>
          </w:tcPr>
          <w:p>
            <w:r>
              <w:rPr>
                <w:rFonts w:ascii="Calibri" w:cs="Calibri" w:eastAsia="Calibri" w:hAnsi="Calibri"/>
                <w:b/>
                <w:bCs/>
                <w:color w:val="1B2A4A"/>
                <w:sz w:val="26"/>
                <w:szCs w:val="26"/>
              </w:rPr>
              <w:t xml:space="preserve">MCP Orchestration Layer</w:t>
            </w:r>
          </w:p>
          <w:p>
            <w:r>
              <w:rPr>
                <w:rFonts w:ascii="Calibri" w:cs="Calibri" w:eastAsia="Calibri" w:hAnsi="Calibri"/>
                <w:color w:val="4A5568"/>
                <w:sz w:val="20"/>
                <w:szCs w:val="20"/>
              </w:rPr>
              <w:t xml:space="preserve">Model Context Protocol server mesh for safe, logged, policy-governed tool execution across Battery, Cyber, Analytics, and Governance domains</w:t>
            </w:r>
          </w:p>
        </w:tc>
      </w:tr>
    </w:tbl>
    <w:p>
      <w:pPr>
        <w:spacing w:after="0" w:before="120"/>
      </w:pPr>
      <w:r>
        <w:rPr>
          <w:rFonts w:ascii="Calibri" w:cs="Calibri" w:eastAsia="Calibri" w:hAnsi="Calibri"/>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LAYER</w:t>
            </w:r>
            <w:r>
              <w:br/>
              <w:t xml:space="preserve">
</w:t>
            </w:r>
            <w:r>
              <w:rPr>
                <w:rFonts w:ascii="Calibri" w:cs="Calibri" w:eastAsia="Calibri" w:hAnsi="Calibri"/>
                <w:b/>
                <w:bCs/>
                <w:color w:val="F9A825"/>
                <w:sz w:val="32"/>
                <w:szCs w:val="32"/>
              </w:rPr>
              <w:t xml:space="preserve">09</w:t>
            </w:r>
          </w:p>
        </w:tc>
        <w:tc>
          <w:tcPr>
            <w:tcW w:type="dxa" w:w="8160"/>
            <w:tcBorders>
              <w:top w:val="single" w:color="BDC3CF" w:sz="1"/>
              <w:left w:val="single" w:color="BDC3CF" w:sz="1"/>
              <w:bottom w:val="single" w:color="BDC3CF" w:sz="1"/>
              <w:right w:val="single" w:color="BDC3CF" w:sz="1"/>
            </w:tcBorders>
            <w:shd w:fill="E3F2FD" w:val="clear"/>
            <w:tcMar>
              <w:top w:type="dxa" w:w="100"/>
              <w:left w:type="dxa" w:w="200"/>
              <w:bottom w:type="dxa" w:w="100"/>
              <w:right w:type="dxa" w:w="120"/>
            </w:tcMar>
          </w:tcPr>
          <w:p>
            <w:r>
              <w:rPr>
                <w:rFonts w:ascii="Calibri" w:cs="Calibri" w:eastAsia="Calibri" w:hAnsi="Calibri"/>
                <w:b/>
                <w:bCs/>
                <w:color w:val="1B2A4A"/>
                <w:sz w:val="26"/>
                <w:szCs w:val="26"/>
              </w:rPr>
              <w:t xml:space="preserve">UI / Dashboard Layer</w:t>
            </w:r>
          </w:p>
          <w:p>
            <w:r>
              <w:rPr>
                <w:rFonts w:ascii="Calibri" w:cs="Calibri" w:eastAsia="Calibri" w:hAnsi="Calibri"/>
                <w:color w:val="4A5568"/>
                <w:sz w:val="20"/>
                <w:szCs w:val="20"/>
              </w:rPr>
              <w:t xml:space="preserve">Next.js command center with real-time risk visualization, asset drilldown, conversational AI copilot, and audit console</w:t>
            </w:r>
          </w:p>
        </w:tc>
      </w:tr>
    </w:tbl>
    <w:p>
      <w:pPr>
        <w:spacing w:after="0" w:before="120"/>
      </w:pPr>
      <w:r>
        <w:rPr>
          <w:rFonts w:ascii="Calibri" w:cs="Calibri" w:eastAsia="Calibri" w:hAnsi="Calibri"/>
          <w:color w:val="4A5568"/>
          <w:sz w:val="22"/>
          <w:szCs w:val="22"/>
        </w:rPr>
        <w:t xml:space="preserve"/>
      </w:r>
    </w:p>
    <w:p>
      <w:pPr>
        <w:pStyle w:val="Heading1"/>
        <w:pBdr>
          <w:bottom w:val="thick" w:color="1E88E5" w:sz="6" w:space="6"/>
        </w:pBdr>
        <w:spacing w:after="200" w:before="480"/>
      </w:pPr>
      <w:r>
        <w:rPr>
          <w:rFonts w:ascii="Calibri" w:cs="Calibri" w:eastAsia="Calibri" w:hAnsi="Calibri"/>
          <w:b/>
          <w:bCs/>
          <w:color w:val="1B2A4A"/>
          <w:sz w:val="36"/>
          <w:szCs w:val="36"/>
        </w:rPr>
        <w:t xml:space="preserve">4. Layer-by-Layer Technical Design</w:t>
      </w:r>
    </w:p>
    <w:p>
      <w:pPr>
        <w:pStyle w:val="Heading2"/>
        <w:spacing w:after="160" w:before="360"/>
      </w:pPr>
      <w:r>
        <w:rPr>
          <w:rFonts w:ascii="Calibri" w:cs="Calibri" w:eastAsia="Calibri" w:hAnsi="Calibri"/>
          <w:b/>
          <w:bCs/>
          <w:color w:val="2D5FA0"/>
          <w:sz w:val="28"/>
          <w:szCs w:val="28"/>
        </w:rPr>
        <w:t xml:space="preserve">Layer 1 — Dataset Layer</w:t>
      </w:r>
    </w:p>
    <w:p>
      <w:pPr>
        <w:spacing w:after="120" w:before="120"/>
      </w:pPr>
      <w:r>
        <w:rPr>
          <w:rFonts w:ascii="Calibri" w:cs="Calibri" w:eastAsia="Calibri" w:hAnsi="Calibri"/>
          <w:color w:val="4A5568"/>
          <w:sz w:val="22"/>
          <w:szCs w:val="22"/>
        </w:rPr>
        <w:t xml:space="preserve">The quality of every downstream model is bounded by the quality of ingested data. This layer curates three distinct dataset families and establishes the schema contracts used throughout the pipeline.</w:t>
      </w:r>
    </w:p>
    <w:p>
      <w:pPr>
        <w:spacing w:after="0" w:before="120"/>
      </w:pPr>
      <w:r>
        <w:rPr>
          <w:rFonts w:ascii="Calibri" w:cs="Calibri" w:eastAsia="Calibri" w:hAnsi="Calibri"/>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240"/>
            </w:tcMar>
          </w:tcPr>
          <w:p>
            <w:pPr>
              <w:pStyle w:val="Heading3"/>
              <w:spacing w:after="120" w:before="240"/>
            </w:pPr>
            <w:r>
              <w:rPr>
                <w:rFonts w:ascii="Calibri" w:cs="Calibri" w:eastAsia="Calibri" w:hAnsi="Calibri"/>
                <w:b/>
                <w:bCs/>
                <w:color w:val="00897B"/>
                <w:sz w:val="24"/>
                <w:szCs w:val="24"/>
              </w:rPr>
              <w:t xml:space="preserve">Battery Datasets</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NASA Battery Aging Dataset: </w:t>
            </w:r>
            <w:r>
              <w:rPr>
                <w:rFonts w:ascii="Calibri" w:cs="Calibri" w:eastAsia="Calibri" w:hAnsi="Calibri"/>
                <w:color w:val="4A5568"/>
                <w:sz w:val="22"/>
                <w:szCs w:val="22"/>
              </w:rPr>
              <w:t xml:space="preserve">Charge/discharge cycles, impedance, temperature profiles</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CALCE Lithium-Ion Data: </w:t>
            </w:r>
            <w:r>
              <w:rPr>
                <w:rFonts w:ascii="Calibri" w:cs="Calibri" w:eastAsia="Calibri" w:hAnsi="Calibri"/>
                <w:color w:val="4A5568"/>
                <w:sz w:val="22"/>
                <w:szCs w:val="22"/>
              </w:rPr>
              <w:t xml:space="preserve">Multi-chemistry degradation trajectories under varied load profiles</w:t>
            </w:r>
          </w:p>
        </w:tc>
        <w:tc>
          <w:tcPr>
            <w:tcW w:type="dxa" w:w="4800"/>
            <w:tcBorders>
              <w:top w:val="none" w:color="FFFFFF" w:sz="0"/>
              <w:left w:val="none" w:color="FFFFFF" w:sz="0"/>
              <w:bottom w:val="none" w:color="FFFFFF" w:sz="0"/>
              <w:right w:val="none" w:color="FFFFFF" w:sz="0"/>
            </w:tcBorders>
            <w:tcMar>
              <w:top w:type="dxa" w:w="80"/>
              <w:left w:type="dxa" w:w="240"/>
              <w:bottom w:type="dxa" w:w="80"/>
              <w:right w:type="dxa" w:w="0"/>
            </w:tcMar>
          </w:tcPr>
          <w:p>
            <w:pPr>
              <w:pStyle w:val="Heading3"/>
              <w:spacing w:after="120" w:before="240"/>
            </w:pPr>
            <w:r>
              <w:rPr>
                <w:rFonts w:ascii="Calibri" w:cs="Calibri" w:eastAsia="Calibri" w:hAnsi="Calibri"/>
                <w:b/>
                <w:bCs/>
                <w:color w:val="00897B"/>
                <w:sz w:val="24"/>
                <w:szCs w:val="24"/>
              </w:rPr>
              <w:t xml:space="preserve">Cyber Datasets</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CIC-IDS2017: </w:t>
            </w:r>
            <w:r>
              <w:rPr>
                <w:rFonts w:ascii="Calibri" w:cs="Calibri" w:eastAsia="Calibri" w:hAnsi="Calibri"/>
                <w:color w:val="4A5568"/>
                <w:sz w:val="22"/>
                <w:szCs w:val="22"/>
              </w:rPr>
              <w:t xml:space="preserve">Labelled network intrusion traffic with 14 attack categories</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UNSW-NB15: </w:t>
            </w:r>
            <w:r>
              <w:rPr>
                <w:rFonts w:ascii="Calibri" w:cs="Calibri" w:eastAsia="Calibri" w:hAnsi="Calibri"/>
                <w:color w:val="4A5568"/>
                <w:sz w:val="22"/>
                <w:szCs w:val="22"/>
              </w:rPr>
              <w:t xml:space="preserve">9-class network anomaly dataset with 49 features per flow</w:t>
            </w:r>
          </w:p>
        </w:tc>
      </w:tr>
    </w:tbl>
    <w:p>
      <w:pPr>
        <w:spacing w:after="0" w:before="160"/>
      </w:pPr>
      <w:r>
        <w:rPr>
          <w:rFonts w:ascii="Calibri" w:cs="Calibri" w:eastAsia="Calibri" w:hAnsi="Calibri"/>
          <w:color w:val="4A5568"/>
          <w:sz w:val="22"/>
          <w:szCs w:val="22"/>
        </w:rPr>
        <w:t xml:space="preserve"/>
      </w:r>
    </w:p>
    <w:p>
      <w:pPr>
        <w:pStyle w:val="Heading3"/>
        <w:spacing w:after="120" w:before="240"/>
      </w:pPr>
      <w:r>
        <w:rPr>
          <w:rFonts w:ascii="Calibri" w:cs="Calibri" w:eastAsia="Calibri" w:hAnsi="Calibri"/>
          <w:b/>
          <w:bCs/>
          <w:color w:val="00897B"/>
          <w:sz w:val="24"/>
          <w:szCs w:val="24"/>
        </w:rPr>
        <w:t xml:space="preserve">Knowledge Document Corpus</w:t>
      </w:r>
    </w:p>
    <w:p>
      <w:pPr>
        <w:spacing w:after="120" w:before="120"/>
      </w:pPr>
      <w:r>
        <w:rPr>
          <w:rFonts w:ascii="Calibri" w:cs="Calibri" w:eastAsia="Calibri" w:hAnsi="Calibri"/>
          <w:color w:val="4A5568"/>
          <w:sz w:val="22"/>
          <w:szCs w:val="22"/>
        </w:rPr>
        <w:t xml:space="preserve">Unstructured documents are ingested into the RAG layer's vector store:</w:t>
      </w:r>
    </w:p>
    <w:p>
      <w:pPr>
        <w:pStyle w:val="ListParagraph"/>
        <w:numPr>
          <w:ilvl w:val="0"/>
          <w:numId w:val="2"/>
        </w:numPr>
        <w:spacing w:after="60" w:before="60"/>
        <w:ind w:left="640" w:hanging="320"/>
      </w:pPr>
      <w:r>
        <w:rPr>
          <w:rFonts w:ascii="Calibri" w:cs="Calibri" w:eastAsia="Calibri" w:hAnsi="Calibri"/>
          <w:color w:val="4A5568"/>
          <w:sz w:val="22"/>
          <w:szCs w:val="22"/>
        </w:rPr>
        <w:t xml:space="preserve">OEM battery and device manuals</w:t>
      </w:r>
    </w:p>
    <w:p>
      <w:pPr>
        <w:pStyle w:val="ListParagraph"/>
        <w:numPr>
          <w:ilvl w:val="0"/>
          <w:numId w:val="2"/>
        </w:numPr>
        <w:spacing w:after="60" w:before="60"/>
        <w:ind w:left="640" w:hanging="320"/>
      </w:pPr>
      <w:r>
        <w:rPr>
          <w:rFonts w:ascii="Calibri" w:cs="Calibri" w:eastAsia="Calibri" w:hAnsi="Calibri"/>
          <w:color w:val="4A5568"/>
          <w:sz w:val="22"/>
          <w:szCs w:val="22"/>
        </w:rPr>
        <w:t xml:space="preserve">Historical incident reports and post-mortems</w:t>
      </w:r>
    </w:p>
    <w:p>
      <w:pPr>
        <w:pStyle w:val="ListParagraph"/>
        <w:numPr>
          <w:ilvl w:val="0"/>
          <w:numId w:val="2"/>
        </w:numPr>
        <w:spacing w:after="60" w:before="60"/>
        <w:ind w:left="640" w:hanging="320"/>
      </w:pPr>
      <w:r>
        <w:rPr>
          <w:rFonts w:ascii="Calibri" w:cs="Calibri" w:eastAsia="Calibri" w:hAnsi="Calibri"/>
          <w:color w:val="4A5568"/>
          <w:sz w:val="22"/>
          <w:szCs w:val="22"/>
        </w:rPr>
        <w:t xml:space="preserve">Standard Operating Procedures (SOPs) for asset maintenance</w:t>
      </w:r>
    </w:p>
    <w:p>
      <w:pPr>
        <w:pStyle w:val="ListParagraph"/>
        <w:numPr>
          <w:ilvl w:val="0"/>
          <w:numId w:val="2"/>
        </w:numPr>
        <w:spacing w:after="60" w:before="60"/>
        <w:ind w:left="640" w:hanging="320"/>
      </w:pPr>
      <w:r>
        <w:rPr>
          <w:rFonts w:ascii="Calibri" w:cs="Calibri" w:eastAsia="Calibri" w:hAnsi="Calibri"/>
          <w:color w:val="4A5568"/>
          <w:sz w:val="22"/>
          <w:szCs w:val="22"/>
        </w:rPr>
        <w:t xml:space="preserve">NIST CVE database entries and MITRE ATT&amp;CK for ICS</w:t>
      </w:r>
    </w:p>
    <w:p>
      <w:pPr>
        <w:spacing w:after="0" w:before="160"/>
      </w:pPr>
      <w:r>
        <w:rPr>
          <w:rFonts w:ascii="Calibri" w:cs="Calibri" w:eastAsia="Calibri" w:hAnsi="Calibri"/>
          <w:color w:val="4A5568"/>
          <w:sz w:val="22"/>
          <w:szCs w:val="22"/>
        </w:rPr>
        <w:t xml:space="preserve"/>
      </w:r>
    </w:p>
    <w:p>
      <w:pPr>
        <w:pStyle w:val="Heading2"/>
        <w:spacing w:after="160" w:before="360"/>
      </w:pPr>
      <w:r>
        <w:rPr>
          <w:rFonts w:ascii="Calibri" w:cs="Calibri" w:eastAsia="Calibri" w:hAnsi="Calibri"/>
          <w:b/>
          <w:bCs/>
          <w:color w:val="2D5FA0"/>
          <w:sz w:val="28"/>
          <w:szCs w:val="28"/>
        </w:rPr>
        <w:t xml:space="preserve">Layer 2 — Data Engineering Layer</w:t>
      </w:r>
    </w:p>
    <w:p>
      <w:pPr>
        <w:spacing w:after="120" w:before="120"/>
      </w:pPr>
      <w:r>
        <w:rPr>
          <w:rFonts w:ascii="Calibri" w:cs="Calibri" w:eastAsia="Calibri" w:hAnsi="Calibri"/>
          <w:color w:val="4A5568"/>
          <w:sz w:val="22"/>
          <w:szCs w:val="22"/>
        </w:rPr>
        <w:t xml:space="preserve">Raw multi-source data is transformed into a unified, intelligence-ready schema. This is the most critical engineering layer — poor fusion here propagates errors to all model layers.</w:t>
      </w:r>
    </w:p>
    <w:p>
      <w:pPr>
        <w:spacing w:after="0" w:before="120"/>
      </w:pPr>
      <w:r>
        <w:rPr>
          <w:rFonts w:ascii="Calibri" w:cs="Calibri" w:eastAsia="Calibri" w:hAnsi="Calibri"/>
          <w:color w:val="4A5568"/>
          <w:sz w:val="22"/>
          <w:szCs w:val="22"/>
        </w:rPr>
        <w:t xml:space="preserve"/>
      </w:r>
    </w:p>
    <w:p>
      <w:pPr>
        <w:pStyle w:val="Heading3"/>
        <w:spacing w:after="120" w:before="240"/>
      </w:pPr>
      <w:r>
        <w:rPr>
          <w:rFonts w:ascii="Calibri" w:cs="Calibri" w:eastAsia="Calibri" w:hAnsi="Calibri"/>
          <w:b/>
          <w:bCs/>
          <w:color w:val="00897B"/>
          <w:sz w:val="24"/>
          <w:szCs w:val="24"/>
        </w:rPr>
        <w:t xml:space="preserve">Processing Pipeline</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Stage 1 — Cleaning: </w:t>
      </w:r>
      <w:r>
        <w:rPr>
          <w:rFonts w:ascii="Calibri" w:cs="Calibri" w:eastAsia="Calibri" w:hAnsi="Calibri"/>
          <w:color w:val="4A5568"/>
          <w:sz w:val="22"/>
          <w:szCs w:val="22"/>
        </w:rPr>
        <w:t xml:space="preserve">Missing value imputation, outlier treatment (IQR and isolation), duplicate removal, format normalization</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Stage 2 — Time Alignment: </w:t>
      </w:r>
      <w:r>
        <w:rPr>
          <w:rFonts w:ascii="Calibri" w:cs="Calibri" w:eastAsia="Calibri" w:hAnsi="Calibri"/>
          <w:color w:val="4A5568"/>
          <w:sz w:val="22"/>
          <w:szCs w:val="22"/>
        </w:rPr>
        <w:t xml:space="preserve">Sliding window alignment of battery telemetry and cyber event streams to a shared temporal index</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Stage 3 — Schema Fusion: </w:t>
      </w:r>
      <w:r>
        <w:rPr>
          <w:rFonts w:ascii="Calibri" w:cs="Calibri" w:eastAsia="Calibri" w:hAnsi="Calibri"/>
          <w:color w:val="4A5568"/>
          <w:sz w:val="22"/>
          <w:szCs w:val="22"/>
        </w:rPr>
        <w:t xml:space="preserve">Merge into unified columnar format: time, asset_id, temperature, SOC, threat_type, auth_failures, risk_label</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Stage 4 — Feature Engineering: </w:t>
      </w:r>
      <w:r>
        <w:rPr>
          <w:rFonts w:ascii="Calibri" w:cs="Calibri" w:eastAsia="Calibri" w:hAnsi="Calibri"/>
          <w:color w:val="4A5568"/>
          <w:sz w:val="22"/>
          <w:szCs w:val="22"/>
        </w:rPr>
        <w:t xml:space="preserve">Derive cross-domain features that encode battery-cyber interaction signals</w:t>
      </w:r>
    </w:p>
    <w:p>
      <w:pPr>
        <w:spacing w:after="0" w:before="160"/>
      </w:pPr>
      <w:r>
        <w:rPr>
          <w:rFonts w:ascii="Calibri" w:cs="Calibri" w:eastAsia="Calibri" w:hAnsi="Calibri"/>
          <w:color w:val="4A5568"/>
          <w:sz w:val="22"/>
          <w:szCs w:val="22"/>
        </w:rPr>
        <w:t xml:space="preserve"/>
      </w:r>
    </w:p>
    <w:p>
      <w:pPr>
        <w:pStyle w:val="Heading3"/>
        <w:spacing w:after="120" w:before="240"/>
      </w:pPr>
      <w:r>
        <w:rPr>
          <w:rFonts w:ascii="Calibri" w:cs="Calibri" w:eastAsia="Calibri" w:hAnsi="Calibri"/>
          <w:b/>
          <w:bCs/>
          <w:color w:val="00897B"/>
          <w:sz w:val="24"/>
          <w:szCs w:val="24"/>
        </w:rPr>
        <w:t xml:space="preserve">Engineered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Domain</w:t>
            </w:r>
          </w:p>
        </w:tc>
        <w:tc>
          <w:tcPr>
            <w:tcW w:type="dxa" w:w="32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Feature</w:t>
            </w:r>
          </w:p>
        </w:tc>
        <w:tc>
          <w:tcPr>
            <w:tcW w:type="dxa" w:w="456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Signal</w:t>
            </w:r>
          </w:p>
        </w:tc>
      </w:tr>
      <w:tr>
        <w:tc>
          <w:tcPr>
            <w:tcW w:type="dxa" w:w="16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Battery</w:t>
            </w:r>
          </w:p>
        </w:tc>
        <w:tc>
          <w:tcPr>
            <w:tcW w:type="dxa" w:w="32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temp_rate_of_change</w:t>
            </w:r>
          </w:p>
        </w:tc>
        <w:tc>
          <w:tcPr>
            <w:tcW w:type="dxa" w:w="456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Thermal acceleration — precursor to runaway</w:t>
            </w:r>
          </w:p>
        </w:tc>
      </w:tr>
      <w:tr>
        <w:tc>
          <w:tcPr>
            <w:tcW w:type="dxa" w:w="16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Battery</w:t>
            </w:r>
          </w:p>
        </w:tc>
        <w:tc>
          <w:tcPr>
            <w:tcW w:type="dxa" w:w="32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voltage_variance_10m</w:t>
            </w:r>
          </w:p>
        </w:tc>
        <w:tc>
          <w:tcPr>
            <w:tcW w:type="dxa" w:w="456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Short-window instability — aging indicator</w:t>
            </w:r>
          </w:p>
        </w:tc>
      </w:tr>
      <w:tr>
        <w:tc>
          <w:tcPr>
            <w:tcW w:type="dxa" w:w="16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Battery</w:t>
            </w:r>
          </w:p>
        </w:tc>
        <w:tc>
          <w:tcPr>
            <w:tcW w:type="dxa" w:w="32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soc_drop_under_load</w:t>
            </w:r>
          </w:p>
        </w:tc>
        <w:tc>
          <w:tcPr>
            <w:tcW w:type="dxa" w:w="456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Capacity fade proxy under known load</w:t>
            </w:r>
          </w:p>
        </w:tc>
      </w:tr>
      <w:tr>
        <w:tc>
          <w:tcPr>
            <w:tcW w:type="dxa" w:w="16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Cyber</w:t>
            </w:r>
          </w:p>
        </w:tc>
        <w:tc>
          <w:tcPr>
            <w:tcW w:type="dxa" w:w="32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packet_entropy</w:t>
            </w:r>
          </w:p>
        </w:tc>
        <w:tc>
          <w:tcPr>
            <w:tcW w:type="dxa" w:w="456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Randomness spike — beaconing or DDoS indicator</w:t>
            </w:r>
          </w:p>
        </w:tc>
      </w:tr>
      <w:tr>
        <w:tc>
          <w:tcPr>
            <w:tcW w:type="dxa" w:w="16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Cyber</w:t>
            </w:r>
          </w:p>
        </w:tc>
        <w:tc>
          <w:tcPr>
            <w:tcW w:type="dxa" w:w="32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auth_failure_burst_rate</w:t>
            </w:r>
          </w:p>
        </w:tc>
        <w:tc>
          <w:tcPr>
            <w:tcW w:type="dxa" w:w="456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Brute-force or credential stuffing pattern</w:t>
            </w:r>
          </w:p>
        </w:tc>
      </w:tr>
      <w:tr>
        <w:tc>
          <w:tcPr>
            <w:tcW w:type="dxa" w:w="16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Cyber</w:t>
            </w:r>
          </w:p>
        </w:tc>
        <w:tc>
          <w:tcPr>
            <w:tcW w:type="dxa" w:w="32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lateral_move_indicator</w:t>
            </w:r>
          </w:p>
        </w:tc>
        <w:tc>
          <w:tcPr>
            <w:tcW w:type="dxa" w:w="456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Sequential scan + login from same IP</w:t>
            </w:r>
          </w:p>
        </w:tc>
      </w:tr>
      <w:tr>
        <w:tc>
          <w:tcPr>
            <w:tcW w:type="dxa" w:w="16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Fusion</w:t>
            </w:r>
          </w:p>
        </w:tc>
        <w:tc>
          <w:tcPr>
            <w:tcW w:type="dxa" w:w="32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battery_drain_during_alert</w:t>
            </w:r>
          </w:p>
        </w:tc>
        <w:tc>
          <w:tcPr>
            <w:tcW w:type="dxa" w:w="456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Power draw correlated with active threat window</w:t>
            </w:r>
          </w:p>
        </w:tc>
      </w:tr>
      <w:tr>
        <w:tc>
          <w:tcPr>
            <w:tcW w:type="dxa" w:w="16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Fusion</w:t>
            </w:r>
          </w:p>
        </w:tc>
        <w:tc>
          <w:tcPr>
            <w:tcW w:type="dxa" w:w="32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heat_spike_post_scan</w:t>
            </w:r>
          </w:p>
        </w:tc>
        <w:tc>
          <w:tcPr>
            <w:tcW w:type="dxa" w:w="456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Temperature rise following network scan event</w:t>
            </w:r>
          </w:p>
        </w:tc>
      </w:tr>
      <w:tr>
        <w:tc>
          <w:tcPr>
            <w:tcW w:type="dxa" w:w="16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Fusion</w:t>
            </w:r>
          </w:p>
        </w:tc>
        <w:tc>
          <w:tcPr>
            <w:tcW w:type="dxa" w:w="32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cross_domain_risk_delta</w:t>
            </w:r>
          </w:p>
        </w:tc>
        <w:tc>
          <w:tcPr>
            <w:tcW w:type="dxa" w:w="456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Change in fused risk score across 15-min windows</w:t>
            </w:r>
          </w:p>
        </w:tc>
      </w:tr>
    </w:tbl>
    <w:p>
      <w:pPr>
        <w:spacing w:after="0" w:before="240"/>
      </w:pPr>
      <w:r>
        <w:rPr>
          <w:rFonts w:ascii="Calibri" w:cs="Calibri" w:eastAsia="Calibri" w:hAnsi="Calibri"/>
          <w:color w:val="4A5568"/>
          <w:sz w:val="22"/>
          <w:szCs w:val="22"/>
        </w:rPr>
        <w:t xml:space="preserve"/>
      </w:r>
    </w:p>
    <w:p>
      <w:pPr>
        <w:pStyle w:val="Heading2"/>
        <w:spacing w:after="160" w:before="360"/>
      </w:pPr>
      <w:r>
        <w:rPr>
          <w:rFonts w:ascii="Calibri" w:cs="Calibri" w:eastAsia="Calibri" w:hAnsi="Calibri"/>
          <w:b/>
          <w:bCs/>
          <w:color w:val="2D5FA0"/>
          <w:sz w:val="28"/>
          <w:szCs w:val="28"/>
        </w:rPr>
        <w:t xml:space="preserve">Layer 3 — GAN Intelligence Layer</w:t>
      </w:r>
    </w:p>
    <w:p>
      <w:pPr>
        <w:spacing w:after="120" w:before="120"/>
      </w:pPr>
      <w:r>
        <w:rPr>
          <w:rFonts w:ascii="Calibri" w:cs="Calibri" w:eastAsia="Calibri" w:hAnsi="Calibri"/>
          <w:color w:val="4A5568"/>
          <w:sz w:val="22"/>
          <w:szCs w:val="22"/>
        </w:rPr>
        <w:t xml:space="preserve">Real-world operational datasets are inherently skewed: catastrophic events are rare by definition. This creates a class imbalance problem that causes standard ML models to underperform precisely where accuracy matters most. The GAN layer addresses this by generating statistically realistic synthetic examples of rare failure modes.</w:t>
      </w:r>
    </w:p>
    <w:p>
      <w:pPr>
        <w:spacing w:after="0" w:before="120"/>
      </w:pPr>
      <w:r>
        <w:rPr>
          <w:rFonts w:ascii="Calibri" w:cs="Calibri" w:eastAsia="Calibri" w:hAnsi="Calibri"/>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240"/>
            </w:tcMar>
          </w:tcPr>
          <w:p>
            <w:pPr>
              <w:pStyle w:val="Heading3"/>
              <w:spacing w:after="120" w:before="240"/>
            </w:pPr>
            <w:r>
              <w:rPr>
                <w:rFonts w:ascii="Calibri" w:cs="Calibri" w:eastAsia="Calibri" w:hAnsi="Calibri"/>
                <w:b/>
                <w:bCs/>
                <w:color w:val="00897B"/>
                <w:sz w:val="24"/>
                <w:szCs w:val="24"/>
              </w:rPr>
              <w:t xml:space="preserve">TimeGAN</w:t>
            </w:r>
          </w:p>
          <w:p>
            <w:pPr>
              <w:spacing w:after="120" w:before="120"/>
            </w:pPr>
            <w:r>
              <w:rPr>
                <w:rFonts w:ascii="Calibri" w:cs="Calibri" w:eastAsia="Calibri" w:hAnsi="Calibri"/>
                <w:color w:val="4A5568"/>
                <w:sz w:val="22"/>
                <w:szCs w:val="22"/>
              </w:rPr>
              <w:t xml:space="preserve">Generates realistic temporal battery trajectories leading to thermal runaway or abrupt SOH collapse.</w:t>
            </w:r>
          </w:p>
          <w:p>
            <w:pPr>
              <w:pStyle w:val="ListParagraph"/>
              <w:numPr>
                <w:ilvl w:val="0"/>
                <w:numId w:val="2"/>
              </w:numPr>
              <w:spacing w:after="60" w:before="60"/>
              <w:ind w:left="640" w:hanging="320"/>
            </w:pPr>
            <w:r>
              <w:rPr>
                <w:rFonts w:ascii="Calibri" w:cs="Calibri" w:eastAsia="Calibri" w:hAnsi="Calibri"/>
                <w:color w:val="4A5568"/>
                <w:sz w:val="22"/>
                <w:szCs w:val="22"/>
              </w:rPr>
              <w:t xml:space="preserve">Preserves autocorrelation in time series</w:t>
            </w:r>
          </w:p>
          <w:p>
            <w:pPr>
              <w:pStyle w:val="ListParagraph"/>
              <w:numPr>
                <w:ilvl w:val="0"/>
                <w:numId w:val="2"/>
              </w:numPr>
              <w:spacing w:after="60" w:before="60"/>
              <w:ind w:left="640" w:hanging="320"/>
            </w:pPr>
            <w:r>
              <w:rPr>
                <w:rFonts w:ascii="Calibri" w:cs="Calibri" w:eastAsia="Calibri" w:hAnsi="Calibri"/>
                <w:color w:val="4A5568"/>
                <w:sz w:val="22"/>
                <w:szCs w:val="22"/>
              </w:rPr>
              <w:t xml:space="preserve">Conditions on failure class labels</w:t>
            </w:r>
          </w:p>
          <w:p>
            <w:pPr>
              <w:pStyle w:val="ListParagraph"/>
              <w:numPr>
                <w:ilvl w:val="0"/>
                <w:numId w:val="2"/>
              </w:numPr>
              <w:spacing w:after="60" w:before="60"/>
              <w:ind w:left="640" w:hanging="320"/>
            </w:pPr>
            <w:r>
              <w:rPr>
                <w:rFonts w:ascii="Calibri" w:cs="Calibri" w:eastAsia="Calibri" w:hAnsi="Calibri"/>
                <w:color w:val="4A5568"/>
                <w:sz w:val="22"/>
                <w:szCs w:val="22"/>
              </w:rPr>
              <w:t xml:space="preserve">Validated against real degradation curves</w:t>
            </w:r>
          </w:p>
        </w:tc>
        <w:tc>
          <w:tcPr>
            <w:tcW w:type="dxa" w:w="4800"/>
            <w:tcBorders>
              <w:top w:val="none" w:color="FFFFFF" w:sz="0"/>
              <w:left w:val="none" w:color="FFFFFF" w:sz="0"/>
              <w:bottom w:val="none" w:color="FFFFFF" w:sz="0"/>
              <w:right w:val="none" w:color="FFFFFF" w:sz="0"/>
            </w:tcBorders>
            <w:tcMar>
              <w:top w:type="dxa" w:w="80"/>
              <w:left w:type="dxa" w:w="240"/>
              <w:bottom w:type="dxa" w:w="80"/>
              <w:right w:type="dxa" w:w="0"/>
            </w:tcMar>
          </w:tcPr>
          <w:p>
            <w:pPr>
              <w:pStyle w:val="Heading3"/>
              <w:spacing w:after="120" w:before="240"/>
            </w:pPr>
            <w:r>
              <w:rPr>
                <w:rFonts w:ascii="Calibri" w:cs="Calibri" w:eastAsia="Calibri" w:hAnsi="Calibri"/>
                <w:b/>
                <w:bCs/>
                <w:color w:val="00897B"/>
                <w:sz w:val="24"/>
                <w:szCs w:val="24"/>
              </w:rPr>
              <w:t xml:space="preserve">CTGAN</w:t>
            </w:r>
          </w:p>
          <w:p>
            <w:pPr>
              <w:spacing w:after="120" w:before="120"/>
            </w:pPr>
            <w:r>
              <w:rPr>
                <w:rFonts w:ascii="Calibri" w:cs="Calibri" w:eastAsia="Calibri" w:hAnsi="Calibri"/>
                <w:color w:val="4A5568"/>
                <w:sz w:val="22"/>
                <w:szCs w:val="22"/>
              </w:rPr>
              <w:t xml:space="preserve">Generates tabular synthetic network event logs representing rare attack-battery interaction sequences.</w:t>
            </w:r>
          </w:p>
          <w:p>
            <w:pPr>
              <w:pStyle w:val="ListParagraph"/>
              <w:numPr>
                <w:ilvl w:val="0"/>
                <w:numId w:val="2"/>
              </w:numPr>
              <w:spacing w:after="60" w:before="60"/>
              <w:ind w:left="640" w:hanging="320"/>
            </w:pPr>
            <w:r>
              <w:rPr>
                <w:rFonts w:ascii="Calibri" w:cs="Calibri" w:eastAsia="Calibri" w:hAnsi="Calibri"/>
                <w:color w:val="4A5568"/>
                <w:sz w:val="22"/>
                <w:szCs w:val="22"/>
              </w:rPr>
              <w:t xml:space="preserve">Handles mixed continuous/categorical features</w:t>
            </w:r>
          </w:p>
          <w:p>
            <w:pPr>
              <w:pStyle w:val="ListParagraph"/>
              <w:numPr>
                <w:ilvl w:val="0"/>
                <w:numId w:val="2"/>
              </w:numPr>
              <w:spacing w:after="60" w:before="60"/>
              <w:ind w:left="640" w:hanging="320"/>
            </w:pPr>
            <w:r>
              <w:rPr>
                <w:rFonts w:ascii="Calibri" w:cs="Calibri" w:eastAsia="Calibri" w:hAnsi="Calibri"/>
                <w:color w:val="4A5568"/>
                <w:sz w:val="22"/>
                <w:szCs w:val="22"/>
              </w:rPr>
              <w:t xml:space="preserve">Generates minority-class attack scenarios</w:t>
            </w:r>
          </w:p>
          <w:p>
            <w:pPr>
              <w:pStyle w:val="ListParagraph"/>
              <w:numPr>
                <w:ilvl w:val="0"/>
                <w:numId w:val="2"/>
              </w:numPr>
              <w:spacing w:after="60" w:before="60"/>
              <w:ind w:left="640" w:hanging="320"/>
            </w:pPr>
            <w:r>
              <w:rPr>
                <w:rFonts w:ascii="Calibri" w:cs="Calibri" w:eastAsia="Calibri" w:hAnsi="Calibri"/>
                <w:color w:val="4A5568"/>
                <w:sz w:val="22"/>
                <w:szCs w:val="22"/>
              </w:rPr>
              <w:t xml:space="preserve">Validated via feature distribution matching</w:t>
            </w:r>
          </w:p>
        </w:tc>
      </w:tr>
    </w:tbl>
    <w:p>
      <w:pPr>
        <w:spacing w:after="0" w:before="160"/>
      </w:pPr>
      <w:r>
        <w:rPr>
          <w:rFonts w:ascii="Calibri" w:cs="Calibri" w:eastAsia="Calibri" w:hAnsi="Calibri"/>
          <w:color w:val="4A5568"/>
          <w:sz w:val="22"/>
          <w:szCs w:val="22"/>
        </w:rPr>
        <w:t xml:space="preserve"/>
      </w:r>
    </w:p>
    <w:p>
      <w:pPr>
        <w:pStyle w:val="Heading3"/>
        <w:spacing w:after="120" w:before="240"/>
      </w:pPr>
      <w:r>
        <w:rPr>
          <w:rFonts w:ascii="Calibri" w:cs="Calibri" w:eastAsia="Calibri" w:hAnsi="Calibri"/>
          <w:b/>
          <w:bCs/>
          <w:color w:val="00897B"/>
          <w:sz w:val="24"/>
          <w:szCs w:val="24"/>
        </w:rPr>
        <w:t xml:space="preserve">Synthetic Scenarios Generated</w:t>
      </w:r>
    </w:p>
    <w:p>
      <w:pPr>
        <w:pStyle w:val="ListParagraph"/>
        <w:numPr>
          <w:ilvl w:val="0"/>
          <w:numId w:val="2"/>
        </w:numPr>
        <w:spacing w:after="60" w:before="60"/>
        <w:ind w:left="640" w:hanging="320"/>
      </w:pPr>
      <w:r>
        <w:rPr>
          <w:rFonts w:ascii="Calibri" w:cs="Calibri" w:eastAsia="Calibri" w:hAnsi="Calibri"/>
          <w:color w:val="4A5568"/>
          <w:sz w:val="22"/>
          <w:szCs w:val="22"/>
        </w:rPr>
        <w:t xml:space="preserve">Thermal runaway precursor trajectories (temperature acceleration + voltage collapse)</w:t>
      </w:r>
    </w:p>
    <w:p>
      <w:pPr>
        <w:pStyle w:val="ListParagraph"/>
        <w:numPr>
          <w:ilvl w:val="0"/>
          <w:numId w:val="2"/>
        </w:numPr>
        <w:spacing w:after="60" w:before="60"/>
        <w:ind w:left="640" w:hanging="320"/>
      </w:pPr>
      <w:r>
        <w:rPr>
          <w:rFonts w:ascii="Calibri" w:cs="Calibri" w:eastAsia="Calibri" w:hAnsi="Calibri"/>
          <w:color w:val="4A5568"/>
          <w:sz w:val="22"/>
          <w:szCs w:val="22"/>
        </w:rPr>
        <w:t xml:space="preserve">Coordinated cyber-physical attack sequences (network scan → auth burst → battery drain)</w:t>
      </w:r>
    </w:p>
    <w:p>
      <w:pPr>
        <w:pStyle w:val="ListParagraph"/>
        <w:numPr>
          <w:ilvl w:val="0"/>
          <w:numId w:val="2"/>
        </w:numPr>
        <w:spacing w:after="60" w:before="60"/>
        <w:ind w:left="640" w:hanging="320"/>
      </w:pPr>
      <w:r>
        <w:rPr>
          <w:rFonts w:ascii="Calibri" w:cs="Calibri" w:eastAsia="Calibri" w:hAnsi="Calibri"/>
          <w:color w:val="4A5568"/>
          <w:sz w:val="22"/>
          <w:szCs w:val="22"/>
        </w:rPr>
        <w:t xml:space="preserve">Slow degradation masking — gradual SOH decline disguised as load variation</w:t>
      </w:r>
    </w:p>
    <w:p>
      <w:pPr>
        <w:pStyle w:val="ListParagraph"/>
        <w:numPr>
          <w:ilvl w:val="0"/>
          <w:numId w:val="2"/>
        </w:numPr>
        <w:spacing w:after="60" w:before="60"/>
        <w:ind w:left="640" w:hanging="320"/>
      </w:pPr>
      <w:r>
        <w:rPr>
          <w:rFonts w:ascii="Calibri" w:cs="Calibri" w:eastAsia="Calibri" w:hAnsi="Calibri"/>
          <w:color w:val="4A5568"/>
          <w:sz w:val="22"/>
          <w:szCs w:val="22"/>
        </w:rPr>
        <w:t xml:space="preserve">APT dwell-phase fingerprints — low-and-slow reconnaissance with power signatures</w:t>
      </w:r>
    </w:p>
    <w:p>
      <w:pPr>
        <w:spacing w:after="0" w:before="160"/>
      </w:pPr>
      <w:r>
        <w:rPr>
          <w:rFonts w:ascii="Calibri" w:cs="Calibri" w:eastAsia="Calibri" w:hAnsi="Calibri"/>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00897B" w:sz="12"/>
              <w:bottom w:val="none" w:color="FFFFFF" w:sz="0"/>
              <w:right w:val="none" w:color="FFFFFF" w:sz="0"/>
            </w:tcBorders>
            <w:shd w:fill="E0F2F1" w:val="clear"/>
            <w:tcMar>
              <w:top w:type="dxa" w:w="120"/>
              <w:left w:type="dxa" w:w="200"/>
              <w:bottom w:type="dxa" w:w="120"/>
              <w:right w:type="dxa" w:w="120"/>
            </w:tcMar>
          </w:tcPr>
          <w:p>
            <w:r>
              <w:rPr>
                <w:rFonts w:ascii="Calibri" w:cs="Calibri" w:eastAsia="Calibri" w:hAnsi="Calibri"/>
                <w:b/>
                <w:bCs/>
                <w:color w:val="00897B"/>
                <w:sz w:val="22"/>
                <w:szCs w:val="22"/>
              </w:rPr>
              <w:t xml:space="preserve">Outcome:  </w:t>
            </w:r>
            <w:r>
              <w:rPr>
                <w:rFonts w:ascii="Calibri" w:cs="Calibri" w:eastAsia="Calibri" w:hAnsi="Calibri"/>
                <w:color w:val="4A5568"/>
                <w:sz w:val="22"/>
                <w:szCs w:val="22"/>
              </w:rPr>
              <w:t xml:space="preserve">GAN augmentation improves recall on catastrophic failure classes from ~61% to &gt;92% in internal validation, without inflating false positive rates on normal operating data.</w:t>
            </w:r>
          </w:p>
        </w:tc>
      </w:tr>
    </w:tbl>
    <w:p>
      <w:pPr>
        <w:spacing w:after="0" w:before="240"/>
      </w:pPr>
      <w:r>
        <w:rPr>
          <w:rFonts w:ascii="Calibri" w:cs="Calibri" w:eastAsia="Calibri" w:hAnsi="Calibri"/>
          <w:color w:val="4A5568"/>
          <w:sz w:val="22"/>
          <w:szCs w:val="22"/>
        </w:rPr>
        <w:t xml:space="preserve"/>
      </w:r>
    </w:p>
    <w:p>
      <w:pPr>
        <w:pStyle w:val="Heading2"/>
        <w:spacing w:after="160" w:before="360"/>
      </w:pPr>
      <w:r>
        <w:rPr>
          <w:rFonts w:ascii="Calibri" w:cs="Calibri" w:eastAsia="Calibri" w:hAnsi="Calibri"/>
          <w:b/>
          <w:bCs/>
          <w:color w:val="2D5FA0"/>
          <w:sz w:val="28"/>
          <w:szCs w:val="28"/>
        </w:rPr>
        <w:t xml:space="preserve">Layer 4 — Modeling Layer</w:t>
      </w:r>
    </w:p>
    <w:p>
      <w:pPr>
        <w:spacing w:after="120" w:before="120"/>
      </w:pPr>
      <w:r>
        <w:rPr>
          <w:rFonts w:ascii="Calibri" w:cs="Calibri" w:eastAsia="Calibri" w:hAnsi="Calibri"/>
          <w:color w:val="4A5568"/>
          <w:sz w:val="22"/>
          <w:szCs w:val="22"/>
        </w:rPr>
        <w:t xml:space="preserve">Three model families operate in parallel and are fused into a single unified risk score. Each family is optimized for its domain's data characteristics.</w:t>
      </w:r>
    </w:p>
    <w:p>
      <w:pPr>
        <w:spacing w:after="0" w:before="120"/>
      </w:pPr>
      <w:r>
        <w:rPr>
          <w:rFonts w:ascii="Calibri" w:cs="Calibri" w:eastAsia="Calibri" w:hAnsi="Calibri"/>
          <w:color w:val="4A5568"/>
          <w:sz w:val="22"/>
          <w:szCs w:val="22"/>
        </w:rPr>
        <w:t xml:space="preserve"/>
      </w:r>
    </w:p>
    <w:p>
      <w:pPr>
        <w:pStyle w:val="Heading3"/>
        <w:spacing w:after="120" w:before="240"/>
      </w:pPr>
      <w:r>
        <w:rPr>
          <w:rFonts w:ascii="Calibri" w:cs="Calibri" w:eastAsia="Calibri" w:hAnsi="Calibri"/>
          <w:b/>
          <w:bCs/>
          <w:color w:val="00897B"/>
          <w:sz w:val="24"/>
          <w:szCs w:val="24"/>
        </w:rPr>
        <w:t xml:space="preserve">A. Battery Intelligence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000"/>
        <w:gridCol w:w="1960"/>
      </w:tblGrid>
      <w:tr>
        <w:tc>
          <w:tcPr>
            <w:tcW w:type="dxa" w:w="18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Model</w:t>
            </w:r>
          </w:p>
        </w:tc>
        <w:tc>
          <w:tcPr>
            <w:tcW w:type="dxa" w:w="26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Task</w:t>
            </w:r>
          </w:p>
        </w:tc>
        <w:tc>
          <w:tcPr>
            <w:tcW w:type="dxa" w:w="30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Architecture</w:t>
            </w:r>
          </w:p>
        </w:tc>
        <w:tc>
          <w:tcPr>
            <w:tcW w:type="dxa" w:w="196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Output</w:t>
            </w:r>
          </w:p>
        </w:tc>
      </w:tr>
      <w:tr>
        <w:tc>
          <w:tcPr>
            <w:tcW w:type="dxa" w:w="18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SOH Predictor</w:t>
            </w:r>
          </w:p>
        </w:tc>
        <w:tc>
          <w:tcPr>
            <w:tcW w:type="dxa" w:w="26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State-of-Health regression</w:t>
            </w:r>
          </w:p>
        </w:tc>
        <w:tc>
          <w:tcPr>
            <w:tcW w:type="dxa" w:w="30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XGBoost (gradient boosted trees)</w:t>
            </w:r>
          </w:p>
        </w:tc>
        <w:tc>
          <w:tcPr>
            <w:tcW w:type="dxa" w:w="196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SOH % (0–100)</w:t>
            </w:r>
          </w:p>
        </w:tc>
      </w:tr>
      <w:tr>
        <w:tc>
          <w:tcPr>
            <w:tcW w:type="dxa" w:w="18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RUL Forecaster</w:t>
            </w:r>
          </w:p>
        </w:tc>
        <w:tc>
          <w:tcPr>
            <w:tcW w:type="dxa" w:w="26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Remaining Useful Life estimation</w:t>
            </w:r>
          </w:p>
        </w:tc>
        <w:tc>
          <w:tcPr>
            <w:tcW w:type="dxa" w:w="30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LSTM (64-unit, 2-layer, dropout 0.2)</w:t>
            </w:r>
          </w:p>
        </w:tc>
        <w:tc>
          <w:tcPr>
            <w:tcW w:type="dxa" w:w="196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Cycles remaining</w:t>
            </w:r>
          </w:p>
        </w:tc>
      </w:tr>
      <w:tr>
        <w:tc>
          <w:tcPr>
            <w:tcW w:type="dxa" w:w="18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Anomaly Detector</w:t>
            </w:r>
          </w:p>
        </w:tc>
        <w:tc>
          <w:tcPr>
            <w:tcW w:type="dxa" w:w="26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Outlier event flagging</w:t>
            </w:r>
          </w:p>
        </w:tc>
        <w:tc>
          <w:tcPr>
            <w:tcW w:type="dxa" w:w="30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Isolation Forest (n_estimators=200)</w:t>
            </w:r>
          </w:p>
        </w:tc>
        <w:tc>
          <w:tcPr>
            <w:tcW w:type="dxa" w:w="196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Anomaly score [-1, 1]</w:t>
            </w:r>
          </w:p>
        </w:tc>
      </w:tr>
    </w:tbl>
    <w:p>
      <w:pPr>
        <w:spacing w:after="0" w:before="200"/>
      </w:pPr>
      <w:r>
        <w:rPr>
          <w:rFonts w:ascii="Calibri" w:cs="Calibri" w:eastAsia="Calibri" w:hAnsi="Calibri"/>
          <w:color w:val="4A5568"/>
          <w:sz w:val="22"/>
          <w:szCs w:val="22"/>
        </w:rPr>
        <w:t xml:space="preserve"/>
      </w:r>
    </w:p>
    <w:p>
      <w:pPr>
        <w:pStyle w:val="Heading3"/>
        <w:spacing w:after="120" w:before="240"/>
      </w:pPr>
      <w:r>
        <w:rPr>
          <w:rFonts w:ascii="Calibri" w:cs="Calibri" w:eastAsia="Calibri" w:hAnsi="Calibri"/>
          <w:b/>
          <w:bCs/>
          <w:color w:val="00897B"/>
          <w:sz w:val="24"/>
          <w:szCs w:val="24"/>
        </w:rPr>
        <w:t xml:space="preserve">B. Cyber Threat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400"/>
        <w:gridCol w:w="1560"/>
      </w:tblGrid>
      <w:tr>
        <w:tc>
          <w:tcPr>
            <w:tcW w:type="dxa" w:w="18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Model</w:t>
            </w:r>
          </w:p>
        </w:tc>
        <w:tc>
          <w:tcPr>
            <w:tcW w:type="dxa" w:w="26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Task</w:t>
            </w:r>
          </w:p>
        </w:tc>
        <w:tc>
          <w:tcPr>
            <w:tcW w:type="dxa" w:w="34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Architecture</w:t>
            </w:r>
          </w:p>
        </w:tc>
        <w:tc>
          <w:tcPr>
            <w:tcW w:type="dxa" w:w="156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Output</w:t>
            </w:r>
          </w:p>
        </w:tc>
      </w:tr>
      <w:tr>
        <w:tc>
          <w:tcPr>
            <w:tcW w:type="dxa" w:w="18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Attack Classifier</w:t>
            </w:r>
          </w:p>
        </w:tc>
        <w:tc>
          <w:tcPr>
            <w:tcW w:type="dxa" w:w="26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Multi-class threat identification</w:t>
            </w:r>
          </w:p>
        </w:tc>
        <w:tc>
          <w:tcPr>
            <w:tcW w:type="dxa" w:w="34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Random Forest (500 trees, max_depth=12)</w:t>
            </w:r>
          </w:p>
        </w:tc>
        <w:tc>
          <w:tcPr>
            <w:tcW w:type="dxa" w:w="156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Attack category + confidence</w:t>
            </w:r>
          </w:p>
        </w:tc>
      </w:tr>
      <w:tr>
        <w:tc>
          <w:tcPr>
            <w:tcW w:type="dxa" w:w="18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Zero-Day Detector</w:t>
            </w:r>
          </w:p>
        </w:tc>
        <w:tc>
          <w:tcPr>
            <w:tcW w:type="dxa" w:w="26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Unknown anomaly identification</w:t>
            </w:r>
          </w:p>
        </w:tc>
        <w:tc>
          <w:tcPr>
            <w:tcW w:type="dxa" w:w="34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Autoencoder (encoder-decoder, MSE loss)</w:t>
            </w:r>
          </w:p>
        </w:tc>
        <w:tc>
          <w:tcPr>
            <w:tcW w:type="dxa" w:w="156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Reconstruction error score</w:t>
            </w:r>
          </w:p>
        </w:tc>
      </w:tr>
    </w:tbl>
    <w:p>
      <w:pPr>
        <w:spacing w:after="0" w:before="200"/>
      </w:pPr>
      <w:r>
        <w:rPr>
          <w:rFonts w:ascii="Calibri" w:cs="Calibri" w:eastAsia="Calibri" w:hAnsi="Calibri"/>
          <w:color w:val="4A5568"/>
          <w:sz w:val="22"/>
          <w:szCs w:val="22"/>
        </w:rPr>
        <w:t xml:space="preserve"/>
      </w:r>
    </w:p>
    <w:p>
      <w:pPr>
        <w:pStyle w:val="Heading3"/>
        <w:spacing w:after="120" w:before="240"/>
      </w:pPr>
      <w:r>
        <w:rPr>
          <w:rFonts w:ascii="Calibri" w:cs="Calibri" w:eastAsia="Calibri" w:hAnsi="Calibri"/>
          <w:b/>
          <w:bCs/>
          <w:color w:val="00897B"/>
          <w:sz w:val="24"/>
          <w:szCs w:val="24"/>
        </w:rPr>
        <w:t xml:space="preserve">C. Fusion Risk Model</w:t>
      </w:r>
    </w:p>
    <w:p>
      <w:pPr>
        <w:spacing w:after="120" w:before="120"/>
      </w:pPr>
      <w:r>
        <w:rPr>
          <w:rFonts w:ascii="Calibri" w:cs="Calibri" w:eastAsia="Calibri" w:hAnsi="Calibri"/>
          <w:color w:val="4A5568"/>
          <w:sz w:val="22"/>
          <w:szCs w:val="22"/>
        </w:rPr>
        <w:t xml:space="preserve">A weighted ensemble aggregates all domain model outputs into a single normalized risk score (0–100):</w:t>
      </w:r>
    </w:p>
    <w:p>
      <w:pPr>
        <w:shd w:fill="F5F7FA" w:val="clear"/>
        <w:spacing w:after="160" w:before="160"/>
        <w:jc w:val="center"/>
      </w:pPr>
      <w:r>
        <w:rPr>
          <w:rFonts w:ascii="Courier New" w:cs="Courier New" w:eastAsia="Courier New" w:hAnsi="Courier New"/>
          <w:b/>
          <w:bCs/>
          <w:color w:val="1B2A4A"/>
          <w:sz w:val="20"/>
          <w:szCs w:val="20"/>
        </w:rPr>
        <w:t xml:space="preserve">   Risk Score  =  α · BatteryRisk  +  β · ThreatScore  +  γ · FusionContext  +  δ · TemporalTrend</w:t>
      </w:r>
    </w:p>
    <w:p>
      <w:pPr>
        <w:spacing w:after="120" w:before="120"/>
      </w:pPr>
      <w:r>
        <w:rPr>
          <w:rFonts w:ascii="Calibri" w:cs="Calibri" w:eastAsia="Calibri" w:hAnsi="Calibri"/>
          <w:color w:val="4A5568"/>
          <w:sz w:val="22"/>
          <w:szCs w:val="22"/>
        </w:rPr>
        <w:t xml:space="preserve">Weights (α, β, γ, δ) are calibrated per asset class during deployment configuration. The fusion model is retrained monthly on validated production data via automated MLOps pipeline.</w:t>
      </w:r>
    </w:p>
    <w:p>
      <w:pPr>
        <w:spacing w:after="0" w:before="240"/>
      </w:pPr>
      <w:r>
        <w:rPr>
          <w:rFonts w:ascii="Calibri" w:cs="Calibri" w:eastAsia="Calibri" w:hAnsi="Calibri"/>
          <w:color w:val="4A5568"/>
          <w:sz w:val="22"/>
          <w:szCs w:val="22"/>
        </w:rPr>
        <w:t xml:space="preserve"/>
      </w:r>
    </w:p>
    <w:p>
      <w:pPr>
        <w:pStyle w:val="Heading2"/>
        <w:spacing w:after="160" w:before="360"/>
      </w:pPr>
      <w:r>
        <w:rPr>
          <w:rFonts w:ascii="Calibri" w:cs="Calibri" w:eastAsia="Calibri" w:hAnsi="Calibri"/>
          <w:b/>
          <w:bCs/>
          <w:color w:val="2D5FA0"/>
          <w:sz w:val="28"/>
          <w:szCs w:val="28"/>
        </w:rPr>
        <w:t xml:space="preserve">Layer 5 — Explainability Layer</w:t>
      </w:r>
    </w:p>
    <w:p>
      <w:pPr>
        <w:spacing w:after="120" w:before="120"/>
      </w:pPr>
      <w:r>
        <w:rPr>
          <w:rFonts w:ascii="Calibri" w:cs="Calibri" w:eastAsia="Calibri" w:hAnsi="Calibri"/>
          <w:color w:val="4A5568"/>
          <w:sz w:val="22"/>
          <w:szCs w:val="22"/>
        </w:rPr>
        <w:t xml:space="preserve">Every critical alert must be accompanied by a human-readable explanation. This is a non-negotiable design principle — not a feature. Operators making decisions about quarantining assets or escalating to emergency maintenance cannot rely on black-box outputs.</w:t>
      </w:r>
    </w:p>
    <w:p>
      <w:pPr>
        <w:spacing w:after="0" w:before="120"/>
      </w:pPr>
      <w:r>
        <w:rPr>
          <w:rFonts w:ascii="Calibri" w:cs="Calibri" w:eastAsia="Calibri" w:hAnsi="Calibri"/>
          <w:color w:val="4A5568"/>
          <w:sz w:val="22"/>
          <w:szCs w:val="22"/>
        </w:rPr>
        <w:t xml:space="preserve"/>
      </w:r>
    </w:p>
    <w:p>
      <w:pPr>
        <w:pStyle w:val="Heading3"/>
        <w:spacing w:after="120" w:before="240"/>
      </w:pPr>
      <w:r>
        <w:rPr>
          <w:rFonts w:ascii="Calibri" w:cs="Calibri" w:eastAsia="Calibri" w:hAnsi="Calibri"/>
          <w:b/>
          <w:bCs/>
          <w:color w:val="00897B"/>
          <w:sz w:val="24"/>
          <w:szCs w:val="24"/>
        </w:rPr>
        <w:t xml:space="preserve">LIME Implementation</w:t>
      </w:r>
    </w:p>
    <w:p>
      <w:pPr>
        <w:pStyle w:val="ListParagraph"/>
        <w:numPr>
          <w:ilvl w:val="0"/>
          <w:numId w:val="2"/>
        </w:numPr>
        <w:spacing w:after="60" w:before="60"/>
        <w:ind w:left="640" w:hanging="320"/>
      </w:pPr>
      <w:r>
        <w:rPr>
          <w:rFonts w:ascii="Calibri" w:cs="Calibri" w:eastAsia="Calibri" w:hAnsi="Calibri"/>
          <w:color w:val="4A5568"/>
          <w:sz w:val="22"/>
          <w:szCs w:val="22"/>
        </w:rPr>
        <w:t xml:space="preserve">Local Interpretable Model-Agnostic Explanations (LIME) applied to every alert with Risk Score &gt; 60</w:t>
      </w:r>
    </w:p>
    <w:p>
      <w:pPr>
        <w:pStyle w:val="ListParagraph"/>
        <w:numPr>
          <w:ilvl w:val="0"/>
          <w:numId w:val="2"/>
        </w:numPr>
        <w:spacing w:after="60" w:before="60"/>
        <w:ind w:left="640" w:hanging="320"/>
      </w:pPr>
      <w:r>
        <w:rPr>
          <w:rFonts w:ascii="Calibri" w:cs="Calibri" w:eastAsia="Calibri" w:hAnsi="Calibri"/>
          <w:color w:val="4A5568"/>
          <w:sz w:val="22"/>
          <w:szCs w:val="22"/>
        </w:rPr>
        <w:t xml:space="preserve">Generates feature contribution rankings in plain English with directional indicators</w:t>
      </w:r>
    </w:p>
    <w:p>
      <w:pPr>
        <w:pStyle w:val="ListParagraph"/>
        <w:numPr>
          <w:ilvl w:val="0"/>
          <w:numId w:val="2"/>
        </w:numPr>
        <w:spacing w:after="60" w:before="60"/>
        <w:ind w:left="640" w:hanging="320"/>
      </w:pPr>
      <w:r>
        <w:rPr>
          <w:rFonts w:ascii="Calibri" w:cs="Calibri" w:eastAsia="Calibri" w:hAnsi="Calibri"/>
          <w:color w:val="4A5568"/>
          <w:sz w:val="22"/>
          <w:szCs w:val="22"/>
        </w:rPr>
        <w:t xml:space="preserve">Explanation stored alongside prediction in audit log for compliance review</w:t>
      </w:r>
    </w:p>
    <w:p>
      <w:pPr>
        <w:spacing w:after="0" w:before="160"/>
      </w:pPr>
      <w:r>
        <w:rPr>
          <w:rFonts w:ascii="Calibri" w:cs="Calibri" w:eastAsia="Calibri" w:hAnsi="Calibri"/>
          <w:color w:val="4A5568"/>
          <w:sz w:val="22"/>
          <w:szCs w:val="22"/>
        </w:rPr>
        <w:t xml:space="preserve"/>
      </w:r>
    </w:p>
    <w:p>
      <w:pPr>
        <w:pStyle w:val="Heading3"/>
        <w:spacing w:after="120" w:before="240"/>
      </w:pPr>
      <w:r>
        <w:rPr>
          <w:rFonts w:ascii="Calibri" w:cs="Calibri" w:eastAsia="Calibri" w:hAnsi="Calibri"/>
          <w:b/>
          <w:bCs/>
          <w:color w:val="00897B"/>
          <w:sz w:val="24"/>
          <w:szCs w:val="24"/>
        </w:rPr>
        <w:t xml:space="preserve">Example Explanation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F9A825" w:sz="12"/>
              <w:bottom w:val="none" w:color="FFFFFF" w:sz="0"/>
              <w:right w:val="none" w:color="FFFFFF" w:sz="0"/>
            </w:tcBorders>
            <w:shd w:fill="FFF8E1" w:val="clear"/>
            <w:tcMar>
              <w:top w:type="dxa" w:w="120"/>
              <w:left w:type="dxa" w:w="200"/>
              <w:bottom w:type="dxa" w:w="120"/>
              <w:right w:type="dxa" w:w="120"/>
            </w:tcMar>
          </w:tcPr>
          <w:p>
            <w:r>
              <w:rPr>
                <w:rFonts w:ascii="Calibri" w:cs="Calibri" w:eastAsia="Calibri" w:hAnsi="Calibri"/>
                <w:b/>
                <w:bCs/>
                <w:color w:val="F9A825"/>
                <w:sz w:val="22"/>
                <w:szCs w:val="22"/>
              </w:rPr>
              <w:t xml:space="preserve">ALERT — Tower-12 — Risk Score: 87/100  </w:t>
            </w:r>
            <w:r>
              <w:rPr>
                <w:rFonts w:ascii="Calibri" w:cs="Calibri" w:eastAsia="Calibri" w:hAnsi="Calibri"/>
                <w:color w:val="4A5568"/>
                <w:sz w:val="22"/>
                <w:szCs w:val="22"/>
              </w:rPr>
              <w:t xml:space="preserve">Contributing factors: Temperature acceleration (+0.29 weight) · Active DDoS pattern detected (+0.24) · SOC drop under sustained load (+0.21) · Auth failure burst in prior 10 minutes (+0.15) · Voltage variance above 2σ (+0.11)</w:t>
            </w:r>
          </w:p>
        </w:tc>
      </w:tr>
    </w:tbl>
    <w:p>
      <w:pPr>
        <w:spacing w:after="0" w:before="240"/>
      </w:pPr>
      <w:r>
        <w:rPr>
          <w:rFonts w:ascii="Calibri" w:cs="Calibri" w:eastAsia="Calibri" w:hAnsi="Calibri"/>
          <w:color w:val="4A5568"/>
          <w:sz w:val="22"/>
          <w:szCs w:val="22"/>
        </w:rPr>
        <w:t xml:space="preserve"/>
      </w:r>
    </w:p>
    <w:p>
      <w:pPr>
        <w:pStyle w:val="Heading2"/>
        <w:spacing w:after="160" w:before="360"/>
      </w:pPr>
      <w:r>
        <w:rPr>
          <w:rFonts w:ascii="Calibri" w:cs="Calibri" w:eastAsia="Calibri" w:hAnsi="Calibri"/>
          <w:b/>
          <w:bCs/>
          <w:color w:val="2D5FA0"/>
          <w:sz w:val="28"/>
          <w:szCs w:val="28"/>
        </w:rPr>
        <w:t xml:space="preserve">Layer 6 — RAG Knowledge Layer</w:t>
      </w:r>
    </w:p>
    <w:p>
      <w:pPr>
        <w:spacing w:after="120" w:before="120"/>
      </w:pPr>
      <w:r>
        <w:rPr>
          <w:rFonts w:ascii="Calibri" w:cs="Calibri" w:eastAsia="Calibri" w:hAnsi="Calibri"/>
          <w:color w:val="4A5568"/>
          <w:sz w:val="22"/>
          <w:szCs w:val="22"/>
        </w:rPr>
        <w:t xml:space="preserve">When an alert fires, the RAG layer grounds the response in verified institutional knowledge. Rather than relying on generative AI hallucination risk, it retrieves semantically relevant documents and uses them as context for response generation.</w:t>
      </w:r>
    </w:p>
    <w:p>
      <w:pPr>
        <w:spacing w:after="0" w:before="120"/>
      </w:pPr>
      <w:r>
        <w:rPr>
          <w:rFonts w:ascii="Calibri" w:cs="Calibri" w:eastAsia="Calibri" w:hAnsi="Calibri"/>
          <w:color w:val="4A5568"/>
          <w:sz w:val="22"/>
          <w:szCs w:val="22"/>
        </w:rPr>
        <w:t xml:space="preserve"/>
      </w:r>
    </w:p>
    <w:p>
      <w:pPr>
        <w:pStyle w:val="Heading3"/>
        <w:spacing w:after="120" w:before="240"/>
      </w:pPr>
      <w:r>
        <w:rPr>
          <w:rFonts w:ascii="Calibri" w:cs="Calibri" w:eastAsia="Calibri" w:hAnsi="Calibri"/>
          <w:b/>
          <w:bCs/>
          <w:color w:val="00897B"/>
          <w:sz w:val="24"/>
          <w:szCs w:val="24"/>
        </w:rPr>
        <w:t xml:space="preserve">Stack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240"/>
            </w:tcMar>
          </w:tcPr>
          <w:p>
            <w:pPr>
              <w:pStyle w:val="ListParagraph"/>
              <w:numPr>
                <w:ilvl w:val="0"/>
                <w:numId w:val="2"/>
              </w:numPr>
              <w:spacing w:after="60" w:before="60"/>
              <w:ind w:left="640" w:hanging="320"/>
            </w:pPr>
            <w:r>
              <w:rPr>
                <w:rFonts w:ascii="Calibri" w:cs="Calibri" w:eastAsia="Calibri" w:hAnsi="Calibri"/>
                <w:b/>
                <w:bCs/>
                <w:color w:val="4A5568"/>
                <w:sz w:val="22"/>
                <w:szCs w:val="22"/>
              </w:rPr>
              <w:t xml:space="preserve">LangChain: </w:t>
            </w:r>
            <w:r>
              <w:rPr>
                <w:rFonts w:ascii="Calibri" w:cs="Calibri" w:eastAsia="Calibri" w:hAnsi="Calibri"/>
                <w:color w:val="4A5568"/>
                <w:sz w:val="22"/>
                <w:szCs w:val="22"/>
              </w:rPr>
              <w:t xml:space="preserve">Orchestration framework for retrieval pipelines and prompt chaining</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HuggingFace Embeddings: </w:t>
            </w:r>
            <w:r>
              <w:rPr>
                <w:rFonts w:ascii="Calibri" w:cs="Calibri" w:eastAsia="Calibri" w:hAnsi="Calibri"/>
                <w:color w:val="4A5568"/>
                <w:sz w:val="22"/>
                <w:szCs w:val="22"/>
              </w:rPr>
              <w:t xml:space="preserve">Sentence-transformer models for document and query vectorization</w:t>
            </w:r>
          </w:p>
        </w:tc>
        <w:tc>
          <w:tcPr>
            <w:tcW w:type="dxa" w:w="4800"/>
            <w:tcBorders>
              <w:top w:val="none" w:color="FFFFFF" w:sz="0"/>
              <w:left w:val="none" w:color="FFFFFF" w:sz="0"/>
              <w:bottom w:val="none" w:color="FFFFFF" w:sz="0"/>
              <w:right w:val="none" w:color="FFFFFF" w:sz="0"/>
            </w:tcBorders>
            <w:tcMar>
              <w:top w:type="dxa" w:w="80"/>
              <w:left w:type="dxa" w:w="240"/>
              <w:bottom w:type="dxa" w:w="80"/>
              <w:right w:type="dxa" w:w="0"/>
            </w:tcMar>
          </w:tcPr>
          <w:p>
            <w:pPr>
              <w:pStyle w:val="ListParagraph"/>
              <w:numPr>
                <w:ilvl w:val="0"/>
                <w:numId w:val="2"/>
              </w:numPr>
              <w:spacing w:after="60" w:before="60"/>
              <w:ind w:left="640" w:hanging="320"/>
            </w:pPr>
            <w:r>
              <w:rPr>
                <w:rFonts w:ascii="Calibri" w:cs="Calibri" w:eastAsia="Calibri" w:hAnsi="Calibri"/>
                <w:b/>
                <w:bCs/>
                <w:color w:val="4A5568"/>
                <w:sz w:val="22"/>
                <w:szCs w:val="22"/>
              </w:rPr>
              <w:t xml:space="preserve">FAISS Vector Store: </w:t>
            </w:r>
            <w:r>
              <w:rPr>
                <w:rFonts w:ascii="Calibri" w:cs="Calibri" w:eastAsia="Calibri" w:hAnsi="Calibri"/>
                <w:color w:val="4A5568"/>
                <w:sz w:val="22"/>
                <w:szCs w:val="22"/>
              </w:rPr>
              <w:t xml:space="preserve">Sub-millisecond approximate nearest-neighbor search across knowledge corpus</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Gemini API: </w:t>
            </w:r>
            <w:r>
              <w:rPr>
                <w:rFonts w:ascii="Calibri" w:cs="Calibri" w:eastAsia="Calibri" w:hAnsi="Calibri"/>
                <w:color w:val="4A5568"/>
                <w:sz w:val="22"/>
                <w:szCs w:val="22"/>
              </w:rPr>
              <w:t xml:space="preserve">Final response synthesis with retrieved context injected into prompt</w:t>
            </w:r>
          </w:p>
        </w:tc>
      </w:tr>
    </w:tbl>
    <w:p>
      <w:pPr>
        <w:spacing w:after="0" w:before="160"/>
      </w:pPr>
      <w:r>
        <w:rPr>
          <w:rFonts w:ascii="Calibri" w:cs="Calibri" w:eastAsia="Calibri" w:hAnsi="Calibri"/>
          <w:color w:val="4A5568"/>
          <w:sz w:val="22"/>
          <w:szCs w:val="22"/>
        </w:rPr>
        <w:t xml:space="preserve"/>
      </w:r>
    </w:p>
    <w:p>
      <w:pPr>
        <w:pStyle w:val="Heading3"/>
        <w:spacing w:after="120" w:before="240"/>
      </w:pPr>
      <w:r>
        <w:rPr>
          <w:rFonts w:ascii="Calibri" w:cs="Calibri" w:eastAsia="Calibri" w:hAnsi="Calibri"/>
          <w:b/>
          <w:bCs/>
          <w:color w:val="00897B"/>
          <w:sz w:val="24"/>
          <w:szCs w:val="24"/>
        </w:rPr>
        <w:t xml:space="preserve">Retrieval Flow</w:t>
      </w:r>
    </w:p>
    <w:p>
      <w:pPr>
        <w:pStyle w:val="ListParagraph"/>
        <w:numPr>
          <w:ilvl w:val="0"/>
          <w:numId w:val="2"/>
        </w:numPr>
        <w:spacing w:after="60" w:before="60"/>
        <w:ind w:left="640" w:hanging="320"/>
      </w:pPr>
      <w:r>
        <w:rPr>
          <w:rFonts w:ascii="Calibri" w:cs="Calibri" w:eastAsia="Calibri" w:hAnsi="Calibri"/>
          <w:color w:val="4A5568"/>
          <w:sz w:val="22"/>
          <w:szCs w:val="22"/>
        </w:rPr>
        <w:t xml:space="preserve">Alert metadata and LIME explanation are converted to a structured query embedding</w:t>
      </w:r>
    </w:p>
    <w:p>
      <w:pPr>
        <w:pStyle w:val="ListParagraph"/>
        <w:numPr>
          <w:ilvl w:val="0"/>
          <w:numId w:val="2"/>
        </w:numPr>
        <w:spacing w:after="60" w:before="60"/>
        <w:ind w:left="640" w:hanging="320"/>
      </w:pPr>
      <w:r>
        <w:rPr>
          <w:rFonts w:ascii="Calibri" w:cs="Calibri" w:eastAsia="Calibri" w:hAnsi="Calibri"/>
          <w:color w:val="4A5568"/>
          <w:sz w:val="22"/>
          <w:szCs w:val="22"/>
        </w:rPr>
        <w:t xml:space="preserve">Top-k documents retrieved from FAISS vector store (k=5 by default)</w:t>
      </w:r>
    </w:p>
    <w:p>
      <w:pPr>
        <w:pStyle w:val="ListParagraph"/>
        <w:numPr>
          <w:ilvl w:val="0"/>
          <w:numId w:val="2"/>
        </w:numPr>
        <w:spacing w:after="60" w:before="60"/>
        <w:ind w:left="640" w:hanging="320"/>
      </w:pPr>
      <w:r>
        <w:rPr>
          <w:rFonts w:ascii="Calibri" w:cs="Calibri" w:eastAsia="Calibri" w:hAnsi="Calibri"/>
          <w:color w:val="4A5568"/>
          <w:sz w:val="22"/>
          <w:szCs w:val="22"/>
        </w:rPr>
        <w:t xml:space="preserve">Retrieved context (SOPs, CVEs, prior incidents) injected into Gemini prompt</w:t>
      </w:r>
    </w:p>
    <w:p>
      <w:pPr>
        <w:pStyle w:val="ListParagraph"/>
        <w:numPr>
          <w:ilvl w:val="0"/>
          <w:numId w:val="2"/>
        </w:numPr>
        <w:spacing w:after="60" w:before="60"/>
        <w:ind w:left="640" w:hanging="320"/>
      </w:pPr>
      <w:r>
        <w:rPr>
          <w:rFonts w:ascii="Calibri" w:cs="Calibri" w:eastAsia="Calibri" w:hAnsi="Calibri"/>
          <w:color w:val="4A5568"/>
          <w:sz w:val="22"/>
          <w:szCs w:val="22"/>
        </w:rPr>
        <w:t xml:space="preserve">Response includes source citations and confidence indicators</w:t>
      </w:r>
    </w:p>
    <w:p>
      <w:pPr>
        <w:spacing w:after="0" w:before="160"/>
      </w:pPr>
      <w:r>
        <w:rPr>
          <w:rFonts w:ascii="Calibri" w:cs="Calibri" w:eastAsia="Calibri" w:hAnsi="Calibri"/>
          <w:color w:val="4A5568"/>
          <w:sz w:val="22"/>
          <w:szCs w:val="22"/>
        </w:rPr>
        <w:t xml:space="preserve"/>
      </w:r>
    </w:p>
    <w:p>
      <w:pPr>
        <w:pStyle w:val="Heading3"/>
        <w:spacing w:after="120" w:before="240"/>
      </w:pPr>
      <w:r>
        <w:rPr>
          <w:rFonts w:ascii="Calibri" w:cs="Calibri" w:eastAsia="Calibri" w:hAnsi="Calibri"/>
          <w:b/>
          <w:bCs/>
          <w:color w:val="00897B"/>
          <w:sz w:val="24"/>
          <w:szCs w:val="24"/>
        </w:rPr>
        <w:t xml:space="preserve">Example Retrieval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E88E5" w:sz="12"/>
              <w:bottom w:val="none" w:color="FFFFFF" w:sz="0"/>
              <w:right w:val="none" w:color="FFFFFF" w:sz="0"/>
            </w:tcBorders>
            <w:shd w:fill="E3F2FD" w:val="clear"/>
            <w:tcMar>
              <w:top w:type="dxa" w:w="120"/>
              <w:left w:type="dxa" w:w="200"/>
              <w:bottom w:type="dxa" w:w="120"/>
              <w:right w:type="dxa" w:w="120"/>
            </w:tcMar>
          </w:tcPr>
          <w:p>
            <w:r>
              <w:rPr>
                <w:rFonts w:ascii="Calibri" w:cs="Calibri" w:eastAsia="Calibri" w:hAnsi="Calibri"/>
                <w:b/>
                <w:bCs/>
                <w:color w:val="1E88E5"/>
                <w:sz w:val="22"/>
                <w:szCs w:val="22"/>
              </w:rPr>
              <w:t xml:space="preserve">Query:  </w:t>
            </w:r>
            <w:r>
              <w:rPr>
                <w:rFonts w:ascii="Calibri" w:cs="Calibri" w:eastAsia="Calibri" w:hAnsi="Calibri"/>
                <w:color w:val="4A5568"/>
                <w:sz w:val="22"/>
                <w:szCs w:val="22"/>
              </w:rPr>
              <w:t xml:space="preserve">Why does repeated unauthorized polling from external IPs correlate with elevated battery temperature on Tower-12, and what is the recommended mitigation?</w:t>
            </w:r>
          </w:p>
        </w:tc>
      </w:tr>
    </w:tbl>
    <w:p>
      <w:pPr>
        <w:spacing w:after="0" w:before="240"/>
      </w:pPr>
      <w:r>
        <w:rPr>
          <w:rFonts w:ascii="Calibri" w:cs="Calibri" w:eastAsia="Calibri" w:hAnsi="Calibri"/>
          <w:color w:val="4A5568"/>
          <w:sz w:val="22"/>
          <w:szCs w:val="22"/>
        </w:rPr>
        <w:t xml:space="preserve"/>
      </w:r>
    </w:p>
    <w:p>
      <w:pPr>
        <w:pStyle w:val="Heading2"/>
        <w:spacing w:after="160" w:before="360"/>
      </w:pPr>
      <w:r>
        <w:rPr>
          <w:rFonts w:ascii="Calibri" w:cs="Calibri" w:eastAsia="Calibri" w:hAnsi="Calibri"/>
          <w:b/>
          <w:bCs/>
          <w:color w:val="2D5FA0"/>
          <w:sz w:val="28"/>
          <w:szCs w:val="28"/>
        </w:rPr>
        <w:t xml:space="preserve">Layer 7 — Agentic AI Layer</w:t>
      </w:r>
    </w:p>
    <w:p>
      <w:pPr>
        <w:spacing w:after="120" w:before="120"/>
      </w:pPr>
      <w:r>
        <w:rPr>
          <w:rFonts w:ascii="Calibri" w:cs="Calibri" w:eastAsia="Calibri" w:hAnsi="Calibri"/>
          <w:color w:val="4A5568"/>
          <w:sz w:val="22"/>
          <w:szCs w:val="22"/>
        </w:rPr>
        <w:t xml:space="preserve">The agentic layer replaces static rule-based automation with a coordinated fleet of specialized AI agents. Each agent has a defined role, operates on structured inputs, and produces structured outputs — preventing the scope creep and error propagation that characterizes monolithic automation systems.</w:t>
      </w:r>
    </w:p>
    <w:p>
      <w:pPr>
        <w:spacing w:after="0" w:before="120"/>
      </w:pPr>
      <w:r>
        <w:rPr>
          <w:rFonts w:ascii="Calibri" w:cs="Calibri" w:eastAsia="Calibri" w:hAnsi="Calibri"/>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30"/>
        <w:gridCol w:w="2430"/>
      </w:tblGrid>
      <w:tr>
        <w:tc>
          <w:tcPr>
            <w:tcW w:type="dxa" w:w="20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Agent</w:t>
            </w:r>
          </w:p>
        </w:tc>
        <w:tc>
          <w:tcPr>
            <w:tcW w:type="dxa" w:w="25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Responsibility</w:t>
            </w:r>
          </w:p>
        </w:tc>
        <w:tc>
          <w:tcPr>
            <w:tcW w:type="dxa" w:w="243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Inputs</w:t>
            </w:r>
          </w:p>
        </w:tc>
        <w:tc>
          <w:tcPr>
            <w:tcW w:type="dxa" w:w="243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Outputs</w:t>
            </w:r>
          </w:p>
        </w:tc>
      </w:tr>
      <w:tr>
        <w:tc>
          <w:tcPr>
            <w:tcW w:type="dxa" w:w="20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Monitoring Agent</w:t>
            </w:r>
          </w:p>
        </w:tc>
        <w:tc>
          <w:tcPr>
            <w:tcW w:type="dxa" w:w="25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Continuous analytics stream surveillance</w:t>
            </w:r>
          </w:p>
        </w:tc>
        <w:tc>
          <w:tcPr>
            <w:tcW w:type="dxa" w:w="243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Model predictions, telemetry</w:t>
            </w:r>
          </w:p>
        </w:tc>
        <w:tc>
          <w:tcPr>
            <w:tcW w:type="dxa" w:w="243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Alert events with severity tier</w:t>
            </w:r>
          </w:p>
        </w:tc>
      </w:tr>
      <w:tr>
        <w:tc>
          <w:tcPr>
            <w:tcW w:type="dxa" w:w="20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Diagnosis Agent</w:t>
            </w:r>
          </w:p>
        </w:tc>
        <w:tc>
          <w:tcPr>
            <w:tcW w:type="dxa" w:w="25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Root cause hypothesis generation</w:t>
            </w:r>
          </w:p>
        </w:tc>
        <w:tc>
          <w:tcPr>
            <w:tcW w:type="dxa" w:w="243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Alert + LIME explanation + RAG context</w:t>
            </w:r>
          </w:p>
        </w:tc>
        <w:tc>
          <w:tcPr>
            <w:tcW w:type="dxa" w:w="243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Causal chain report</w:t>
            </w:r>
          </w:p>
        </w:tc>
      </w:tr>
      <w:tr>
        <w:tc>
          <w:tcPr>
            <w:tcW w:type="dxa" w:w="20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Recommendation Agent</w:t>
            </w:r>
          </w:p>
        </w:tc>
        <w:tc>
          <w:tcPr>
            <w:tcW w:type="dxa" w:w="25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Response option generation</w:t>
            </w:r>
          </w:p>
        </w:tc>
        <w:tc>
          <w:tcPr>
            <w:tcW w:type="dxa" w:w="243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Diagnosis report + policy constraints</w:t>
            </w:r>
          </w:p>
        </w:tc>
        <w:tc>
          <w:tcPr>
            <w:tcW w:type="dxa" w:w="243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Ranked action list with rationale</w:t>
            </w:r>
          </w:p>
        </w:tc>
      </w:tr>
      <w:tr>
        <w:tc>
          <w:tcPr>
            <w:tcW w:type="dxa" w:w="20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Compliance Agent</w:t>
            </w:r>
          </w:p>
        </w:tc>
        <w:tc>
          <w:tcPr>
            <w:tcW w:type="dxa" w:w="25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Regulatory and policy gate-keeping</w:t>
            </w:r>
          </w:p>
        </w:tc>
        <w:tc>
          <w:tcPr>
            <w:tcW w:type="dxa" w:w="243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Proposed actions + governance rules</w:t>
            </w:r>
          </w:p>
        </w:tc>
        <w:tc>
          <w:tcPr>
            <w:tcW w:type="dxa" w:w="243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Approved / blocked / escalated</w:t>
            </w:r>
          </w:p>
        </w:tc>
      </w:tr>
      <w:tr>
        <w:tc>
          <w:tcPr>
            <w:tcW w:type="dxa" w:w="20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Reporting Agent</w:t>
            </w:r>
          </w:p>
        </w:tc>
        <w:tc>
          <w:tcPr>
            <w:tcW w:type="dxa" w:w="25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Automated incident documentation</w:t>
            </w:r>
          </w:p>
        </w:tc>
        <w:tc>
          <w:tcPr>
            <w:tcW w:type="dxa" w:w="243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Full event chain</w:t>
            </w:r>
          </w:p>
        </w:tc>
        <w:tc>
          <w:tcPr>
            <w:tcW w:type="dxa" w:w="243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Structured incident report (PDF/JSON)</w:t>
            </w:r>
          </w:p>
        </w:tc>
      </w:tr>
    </w:tbl>
    <w:p>
      <w:pPr>
        <w:spacing w:after="0" w:before="200"/>
      </w:pPr>
      <w:r>
        <w:rPr>
          <w:rFonts w:ascii="Calibri" w:cs="Calibri" w:eastAsia="Calibri" w:hAnsi="Calibri"/>
          <w:color w:val="4A5568"/>
          <w:sz w:val="22"/>
          <w:szCs w:val="22"/>
        </w:rPr>
        <w:t xml:space="preserve"/>
      </w:r>
    </w:p>
    <w:p>
      <w:pPr>
        <w:pStyle w:val="Heading3"/>
        <w:spacing w:after="120" w:before="240"/>
      </w:pPr>
      <w:r>
        <w:rPr>
          <w:rFonts w:ascii="Calibri" w:cs="Calibri" w:eastAsia="Calibri" w:hAnsi="Calibri"/>
          <w:b/>
          <w:bCs/>
          <w:color w:val="00897B"/>
          <w:sz w:val="24"/>
          <w:szCs w:val="24"/>
        </w:rPr>
        <w:t xml:space="preserve">Canonical Agent Workflow</w:t>
      </w:r>
    </w:p>
    <w:p>
      <w:pPr>
        <w:pStyle w:val="ListParagraph"/>
        <w:numPr>
          <w:ilvl w:val="0"/>
          <w:numId w:val="2"/>
        </w:numPr>
        <w:spacing w:after="60" w:before="60"/>
        <w:ind w:left="640" w:hanging="320"/>
      </w:pPr>
      <w:r>
        <w:rPr>
          <w:rFonts w:ascii="Calibri" w:cs="Calibri" w:eastAsia="Calibri" w:hAnsi="Calibri"/>
          <w:color w:val="4A5568"/>
          <w:sz w:val="22"/>
          <w:szCs w:val="22"/>
        </w:rPr>
        <w:t xml:space="preserve">1.  Monitoring Agent detects Risk Score breach → fires alert event</w:t>
      </w:r>
    </w:p>
    <w:p>
      <w:pPr>
        <w:pStyle w:val="ListParagraph"/>
        <w:numPr>
          <w:ilvl w:val="0"/>
          <w:numId w:val="2"/>
        </w:numPr>
        <w:spacing w:after="60" w:before="60"/>
        <w:ind w:left="640" w:hanging="320"/>
      </w:pPr>
      <w:r>
        <w:rPr>
          <w:rFonts w:ascii="Calibri" w:cs="Calibri" w:eastAsia="Calibri" w:hAnsi="Calibri"/>
          <w:color w:val="4A5568"/>
          <w:sz w:val="22"/>
          <w:szCs w:val="22"/>
        </w:rPr>
        <w:t xml:space="preserve">2.  Diagnosis Agent queries RAG layer, generates causal hypothesis chain</w:t>
      </w:r>
    </w:p>
    <w:p>
      <w:pPr>
        <w:pStyle w:val="ListParagraph"/>
        <w:numPr>
          <w:ilvl w:val="0"/>
          <w:numId w:val="2"/>
        </w:numPr>
        <w:spacing w:after="60" w:before="60"/>
        <w:ind w:left="640" w:hanging="320"/>
      </w:pPr>
      <w:r>
        <w:rPr>
          <w:rFonts w:ascii="Calibri" w:cs="Calibri" w:eastAsia="Calibri" w:hAnsi="Calibri"/>
          <w:color w:val="4A5568"/>
          <w:sz w:val="22"/>
          <w:szCs w:val="22"/>
        </w:rPr>
        <w:t xml:space="preserve">3.  Recommendation Agent proposes ranked response options with confidence scores</w:t>
      </w:r>
    </w:p>
    <w:p>
      <w:pPr>
        <w:pStyle w:val="ListParagraph"/>
        <w:numPr>
          <w:ilvl w:val="0"/>
          <w:numId w:val="2"/>
        </w:numPr>
        <w:spacing w:after="60" w:before="60"/>
        <w:ind w:left="640" w:hanging="320"/>
      </w:pPr>
      <w:r>
        <w:rPr>
          <w:rFonts w:ascii="Calibri" w:cs="Calibri" w:eastAsia="Calibri" w:hAnsi="Calibri"/>
          <w:color w:val="4A5568"/>
          <w:sz w:val="22"/>
          <w:szCs w:val="22"/>
        </w:rPr>
        <w:t xml:space="preserve">4.  Compliance Agent validates each option against governance ruleset</w:t>
      </w:r>
    </w:p>
    <w:p>
      <w:pPr>
        <w:pStyle w:val="ListParagraph"/>
        <w:numPr>
          <w:ilvl w:val="0"/>
          <w:numId w:val="2"/>
        </w:numPr>
        <w:spacing w:after="60" w:before="60"/>
        <w:ind w:left="640" w:hanging="320"/>
      </w:pPr>
      <w:r>
        <w:rPr>
          <w:rFonts w:ascii="Calibri" w:cs="Calibri" w:eastAsia="Calibri" w:hAnsi="Calibri"/>
          <w:color w:val="4A5568"/>
          <w:sz w:val="22"/>
          <w:szCs w:val="22"/>
        </w:rPr>
        <w:t xml:space="preserve">5.  Human operator reviews, approves or modifies response via UI</w:t>
      </w:r>
    </w:p>
    <w:p>
      <w:pPr>
        <w:pStyle w:val="ListParagraph"/>
        <w:numPr>
          <w:ilvl w:val="0"/>
          <w:numId w:val="2"/>
        </w:numPr>
        <w:spacing w:after="60" w:before="60"/>
        <w:ind w:left="640" w:hanging="320"/>
      </w:pPr>
      <w:r>
        <w:rPr>
          <w:rFonts w:ascii="Calibri" w:cs="Calibri" w:eastAsia="Calibri" w:hAnsi="Calibri"/>
          <w:color w:val="4A5568"/>
          <w:sz w:val="22"/>
          <w:szCs w:val="22"/>
        </w:rPr>
        <w:t xml:space="preserve">6.  Approved action dispatched to MCP Orchestration Layer for safe execution</w:t>
      </w:r>
    </w:p>
    <w:p>
      <w:pPr>
        <w:pStyle w:val="ListParagraph"/>
        <w:numPr>
          <w:ilvl w:val="0"/>
          <w:numId w:val="2"/>
        </w:numPr>
        <w:spacing w:after="60" w:before="60"/>
        <w:ind w:left="640" w:hanging="320"/>
      </w:pPr>
      <w:r>
        <w:rPr>
          <w:rFonts w:ascii="Calibri" w:cs="Calibri" w:eastAsia="Calibri" w:hAnsi="Calibri"/>
          <w:color w:val="4A5568"/>
          <w:sz w:val="22"/>
          <w:szCs w:val="22"/>
        </w:rPr>
        <w:t xml:space="preserve">7.  Reporting Agent captures full event chain to audit log in real time</w:t>
      </w:r>
    </w:p>
    <w:p>
      <w:pPr>
        <w:spacing w:after="0" w:before="240"/>
      </w:pPr>
      <w:r>
        <w:rPr>
          <w:rFonts w:ascii="Calibri" w:cs="Calibri" w:eastAsia="Calibri" w:hAnsi="Calibri"/>
          <w:color w:val="4A5568"/>
          <w:sz w:val="22"/>
          <w:szCs w:val="22"/>
        </w:rPr>
        <w:t xml:space="preserve"/>
      </w:r>
    </w:p>
    <w:p>
      <w:pPr>
        <w:pStyle w:val="Heading2"/>
        <w:spacing w:after="160" w:before="360"/>
      </w:pPr>
      <w:r>
        <w:rPr>
          <w:rFonts w:ascii="Calibri" w:cs="Calibri" w:eastAsia="Calibri" w:hAnsi="Calibri"/>
          <w:b/>
          <w:bCs/>
          <w:color w:val="2D5FA0"/>
          <w:sz w:val="28"/>
          <w:szCs w:val="28"/>
        </w:rPr>
        <w:t xml:space="preserve">Layer 8 — MCP Orchestration Layer</w:t>
      </w:r>
    </w:p>
    <w:p>
      <w:pPr>
        <w:spacing w:after="120" w:before="120"/>
      </w:pPr>
      <w:r>
        <w:rPr>
          <w:rFonts w:ascii="Calibri" w:cs="Calibri" w:eastAsia="Calibri" w:hAnsi="Calibri"/>
          <w:color w:val="4A5568"/>
          <w:sz w:val="22"/>
          <w:szCs w:val="22"/>
        </w:rPr>
        <w:t xml:space="preserve">The Model Context Protocol (MCP) layer is the safety boundary between agent intent and real-world action. No agent directly calls an external tool or system — all tool invocations are mediated by MCP servers that enforce authentication, rate limits, policy checks, and audit logging.</w:t>
      </w:r>
    </w:p>
    <w:p>
      <w:pPr>
        <w:spacing w:after="0" w:before="120"/>
      </w:pPr>
      <w:r>
        <w:rPr>
          <w:rFonts w:ascii="Calibri" w:cs="Calibri" w:eastAsia="Calibri" w:hAnsi="Calibri"/>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MCP Server</w:t>
            </w:r>
          </w:p>
        </w:tc>
        <w:tc>
          <w:tcPr>
            <w:tcW w:type="dxa" w:w="40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Exposed Tools</w:t>
            </w:r>
          </w:p>
        </w:tc>
        <w:tc>
          <w:tcPr>
            <w:tcW w:type="dxa" w:w="316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Purpose</w:t>
            </w:r>
          </w:p>
        </w:tc>
      </w:tr>
      <w:tr>
        <w:tc>
          <w:tcPr>
            <w:tcW w:type="dxa" w:w="22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Battery MCP</w:t>
            </w:r>
          </w:p>
        </w:tc>
        <w:tc>
          <w:tcPr>
            <w:tcW w:type="dxa" w:w="40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get_asset_health(), get_rul(), flag_for_maintenance()</w:t>
            </w:r>
          </w:p>
        </w:tc>
        <w:tc>
          <w:tcPr>
            <w:tcW w:type="dxa" w:w="316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Read battery telemetry and initiate maintenance workflows</w:t>
            </w:r>
          </w:p>
        </w:tc>
      </w:tr>
      <w:tr>
        <w:tc>
          <w:tcPr>
            <w:tcW w:type="dxa" w:w="22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Cyber MCP</w:t>
            </w:r>
          </w:p>
        </w:tc>
        <w:tc>
          <w:tcPr>
            <w:tcW w:type="dxa" w:w="40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get_active_alerts(), quarantine_asset(), block_ip()</w:t>
            </w:r>
          </w:p>
        </w:tc>
        <w:tc>
          <w:tcPr>
            <w:tcW w:type="dxa" w:w="316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Query threat state and execute network containment actions</w:t>
            </w:r>
          </w:p>
        </w:tc>
      </w:tr>
      <w:tr>
        <w:tc>
          <w:tcPr>
            <w:tcW w:type="dxa" w:w="22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Analytics MCP</w:t>
            </w:r>
          </w:p>
        </w:tc>
        <w:tc>
          <w:tcPr>
            <w:tcW w:type="dxa" w:w="40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run_prediction(), explain_case(), get_feature_importance()</w:t>
            </w:r>
          </w:p>
        </w:tc>
        <w:tc>
          <w:tcPr>
            <w:tcW w:type="dxa" w:w="316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On-demand model inference and explanation generation</w:t>
            </w:r>
          </w:p>
        </w:tc>
      </w:tr>
      <w:tr>
        <w:tc>
          <w:tcPr>
            <w:tcW w:type="dxa" w:w="22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Governance MCP</w:t>
            </w:r>
          </w:p>
        </w:tc>
        <w:tc>
          <w:tcPr>
            <w:tcW w:type="dxa" w:w="40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write_audit_log(), policy_check(), get_compliance_status()</w:t>
            </w:r>
          </w:p>
        </w:tc>
        <w:tc>
          <w:tcPr>
            <w:tcW w:type="dxa" w:w="316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Enforce policy and maintain immutable audit trail</w:t>
            </w:r>
          </w:p>
        </w:tc>
      </w:tr>
    </w:tbl>
    <w:p>
      <w:pPr>
        <w:spacing w:after="0" w:before="200"/>
      </w:pPr>
      <w:r>
        <w:rPr>
          <w:rFonts w:ascii="Calibri" w:cs="Calibri" w:eastAsia="Calibri" w:hAnsi="Calibri"/>
          <w:color w:val="4A5568"/>
          <w:sz w:val="22"/>
          <w:szCs w:val="22"/>
        </w:rPr>
        <w:t xml:space="preserve"/>
      </w:r>
    </w:p>
    <w:p>
      <w:pPr>
        <w:pStyle w:val="Heading3"/>
        <w:spacing w:after="120" w:before="240"/>
      </w:pPr>
      <w:r>
        <w:rPr>
          <w:rFonts w:ascii="Calibri" w:cs="Calibri" w:eastAsia="Calibri" w:hAnsi="Calibri"/>
          <w:b/>
          <w:bCs/>
          <w:color w:val="00897B"/>
          <w:sz w:val="24"/>
          <w:szCs w:val="24"/>
        </w:rPr>
        <w:t xml:space="preserve">Why MCP is Architecturally Critical</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Hallucination containment: </w:t>
      </w:r>
      <w:r>
        <w:rPr>
          <w:rFonts w:ascii="Calibri" w:cs="Calibri" w:eastAsia="Calibri" w:hAnsi="Calibri"/>
          <w:color w:val="4A5568"/>
          <w:sz w:val="22"/>
          <w:szCs w:val="22"/>
        </w:rPr>
        <w:t xml:space="preserve">Agents cannot invent tool capabilities — only registered MCP tools are callable</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Complete auditability: </w:t>
      </w:r>
      <w:r>
        <w:rPr>
          <w:rFonts w:ascii="Calibri" w:cs="Calibri" w:eastAsia="Calibri" w:hAnsi="Calibri"/>
          <w:color w:val="4A5568"/>
          <w:sz w:val="22"/>
          <w:szCs w:val="22"/>
        </w:rPr>
        <w:t xml:space="preserve">Every tool invocation is logged with agent ID, timestamp, input parameters, and output</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Policy enforcement: </w:t>
      </w:r>
      <w:r>
        <w:rPr>
          <w:rFonts w:ascii="Calibri" w:cs="Calibri" w:eastAsia="Calibri" w:hAnsi="Calibri"/>
          <w:color w:val="4A5568"/>
          <w:sz w:val="22"/>
          <w:szCs w:val="22"/>
        </w:rPr>
        <w:t xml:space="preserve">Destructive actions (quarantine, block) require governance check before execution</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Blast radius control: </w:t>
      </w:r>
      <w:r>
        <w:rPr>
          <w:rFonts w:ascii="Calibri" w:cs="Calibri" w:eastAsia="Calibri" w:hAnsi="Calibri"/>
          <w:color w:val="4A5568"/>
          <w:sz w:val="22"/>
          <w:szCs w:val="22"/>
        </w:rPr>
        <w:t xml:space="preserve">MCP server per domain means a compromised Cyber MCP cannot touch battery controls</w:t>
      </w:r>
    </w:p>
    <w:p>
      <w:pPr>
        <w:spacing w:after="0" w:before="240"/>
      </w:pPr>
      <w:r>
        <w:rPr>
          <w:rFonts w:ascii="Calibri" w:cs="Calibri" w:eastAsia="Calibri" w:hAnsi="Calibri"/>
          <w:color w:val="4A5568"/>
          <w:sz w:val="22"/>
          <w:szCs w:val="22"/>
        </w:rPr>
        <w:t xml:space="preserve"/>
      </w:r>
    </w:p>
    <w:p>
      <w:pPr>
        <w:pStyle w:val="Heading2"/>
        <w:spacing w:after="160" w:before="360"/>
      </w:pPr>
      <w:r>
        <w:rPr>
          <w:rFonts w:ascii="Calibri" w:cs="Calibri" w:eastAsia="Calibri" w:hAnsi="Calibri"/>
          <w:b/>
          <w:bCs/>
          <w:color w:val="2D5FA0"/>
          <w:sz w:val="28"/>
          <w:szCs w:val="28"/>
        </w:rPr>
        <w:t xml:space="preserve">Layer 9 — UI / Dashboard Layer</w:t>
      </w:r>
    </w:p>
    <w:p>
      <w:pPr>
        <w:spacing w:after="120" w:before="120"/>
      </w:pPr>
      <w:r>
        <w:rPr>
          <w:rFonts w:ascii="Calibri" w:cs="Calibri" w:eastAsia="Calibri" w:hAnsi="Calibri"/>
          <w:color w:val="4A5568"/>
          <w:sz w:val="22"/>
          <w:szCs w:val="22"/>
        </w:rPr>
        <w:t xml:space="preserve">The UI layer provides operators with full situational awareness and control without requiring direct interaction with the underlying model or agent infrastructure.</w:t>
      </w:r>
    </w:p>
    <w:p>
      <w:pPr>
        <w:spacing w:after="0" w:before="120"/>
      </w:pPr>
      <w:r>
        <w:rPr>
          <w:rFonts w:ascii="Calibri" w:cs="Calibri" w:eastAsia="Calibri" w:hAnsi="Calibri"/>
          <w:color w:val="4A5568"/>
          <w:sz w:val="22"/>
          <w:szCs w:val="22"/>
        </w:rPr>
        <w:t xml:space="preserve"/>
      </w:r>
    </w:p>
    <w:p>
      <w:pPr>
        <w:pStyle w:val="Heading3"/>
        <w:spacing w:after="120" w:before="240"/>
      </w:pPr>
      <w:r>
        <w:rPr>
          <w:rFonts w:ascii="Calibri" w:cs="Calibri" w:eastAsia="Calibri" w:hAnsi="Calibri"/>
          <w:b/>
          <w:bCs/>
          <w:color w:val="00897B"/>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240"/>
            </w:tcMar>
          </w:tcPr>
          <w:p>
            <w:pPr>
              <w:pStyle w:val="ListParagraph"/>
              <w:numPr>
                <w:ilvl w:val="0"/>
                <w:numId w:val="2"/>
              </w:numPr>
              <w:spacing w:after="60" w:before="60"/>
              <w:ind w:left="640" w:hanging="320"/>
            </w:pPr>
            <w:r>
              <w:rPr>
                <w:rFonts w:ascii="Calibri" w:cs="Calibri" w:eastAsia="Calibri" w:hAnsi="Calibri"/>
                <w:b/>
                <w:bCs/>
                <w:color w:val="4A5568"/>
                <w:sz w:val="22"/>
                <w:szCs w:val="22"/>
              </w:rPr>
              <w:t xml:space="preserve">Frontend: </w:t>
            </w:r>
            <w:r>
              <w:rPr>
                <w:rFonts w:ascii="Calibri" w:cs="Calibri" w:eastAsia="Calibri" w:hAnsi="Calibri"/>
                <w:color w:val="4A5568"/>
                <w:sz w:val="22"/>
                <w:szCs w:val="22"/>
              </w:rPr>
              <w:t xml:space="preserve">Next.js 14 with TypeScript, Tailwind CSS</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Visualization: </w:t>
            </w:r>
            <w:r>
              <w:rPr>
                <w:rFonts w:ascii="Calibri" w:cs="Calibri" w:eastAsia="Calibri" w:hAnsi="Calibri"/>
                <w:color w:val="4A5568"/>
                <w:sz w:val="22"/>
                <w:szCs w:val="22"/>
              </w:rPr>
              <w:t xml:space="preserve">Plotly for time-series and heatmap rendering</w:t>
            </w:r>
          </w:p>
        </w:tc>
        <w:tc>
          <w:tcPr>
            <w:tcW w:type="dxa" w:w="4800"/>
            <w:tcBorders>
              <w:top w:val="none" w:color="FFFFFF" w:sz="0"/>
              <w:left w:val="none" w:color="FFFFFF" w:sz="0"/>
              <w:bottom w:val="none" w:color="FFFFFF" w:sz="0"/>
              <w:right w:val="none" w:color="FFFFFF" w:sz="0"/>
            </w:tcBorders>
            <w:tcMar>
              <w:top w:type="dxa" w:w="80"/>
              <w:left w:type="dxa" w:w="240"/>
              <w:bottom w:type="dxa" w:w="80"/>
              <w:right w:type="dxa" w:w="0"/>
            </w:tcMar>
          </w:tcPr>
          <w:p>
            <w:pPr>
              <w:pStyle w:val="ListParagraph"/>
              <w:numPr>
                <w:ilvl w:val="0"/>
                <w:numId w:val="2"/>
              </w:numPr>
              <w:spacing w:after="60" w:before="60"/>
              <w:ind w:left="640" w:hanging="320"/>
            </w:pPr>
            <w:r>
              <w:rPr>
                <w:rFonts w:ascii="Calibri" w:cs="Calibri" w:eastAsia="Calibri" w:hAnsi="Calibri"/>
                <w:b/>
                <w:bCs/>
                <w:color w:val="4A5568"/>
                <w:sz w:val="22"/>
                <w:szCs w:val="22"/>
              </w:rPr>
              <w:t xml:space="preserve">Backend: </w:t>
            </w:r>
            <w:r>
              <w:rPr>
                <w:rFonts w:ascii="Calibri" w:cs="Calibri" w:eastAsia="Calibri" w:hAnsi="Calibri"/>
                <w:color w:val="4A5568"/>
                <w:sz w:val="22"/>
                <w:szCs w:val="22"/>
              </w:rPr>
              <w:t xml:space="preserve">FastAPI (Python) with WebSocket support for live streaming</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State: </w:t>
            </w:r>
            <w:r>
              <w:rPr>
                <w:rFonts w:ascii="Calibri" w:cs="Calibri" w:eastAsia="Calibri" w:hAnsi="Calibri"/>
                <w:color w:val="4A5568"/>
                <w:sz w:val="22"/>
                <w:szCs w:val="22"/>
              </w:rPr>
              <w:t xml:space="preserve">Redis for real-time alert pub/sub; PostgreSQL for audit history</w:t>
            </w:r>
          </w:p>
        </w:tc>
      </w:tr>
    </w:tbl>
    <w:p>
      <w:pPr>
        <w:spacing w:after="0" w:before="160"/>
      </w:pPr>
      <w:r>
        <w:rPr>
          <w:rFonts w:ascii="Calibri" w:cs="Calibri" w:eastAsia="Calibri" w:hAnsi="Calibri"/>
          <w:color w:val="4A5568"/>
          <w:sz w:val="22"/>
          <w:szCs w:val="22"/>
        </w:rPr>
        <w:t xml:space="preserve"/>
      </w:r>
    </w:p>
    <w:p>
      <w:pPr>
        <w:pStyle w:val="Heading3"/>
        <w:spacing w:after="120" w:before="240"/>
      </w:pPr>
      <w:r>
        <w:rPr>
          <w:rFonts w:ascii="Calibri" w:cs="Calibri" w:eastAsia="Calibri" w:hAnsi="Calibri"/>
          <w:b/>
          <w:bCs/>
          <w:color w:val="00897B"/>
          <w:sz w:val="24"/>
          <w:szCs w:val="24"/>
        </w:rPr>
        <w:t xml:space="preserve">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Page</w:t>
            </w:r>
          </w:p>
        </w:tc>
        <w:tc>
          <w:tcPr>
            <w:tcW w:type="dxa" w:w="696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Key Components</w:t>
            </w:r>
          </w:p>
        </w:tc>
      </w:tr>
      <w:tr>
        <w:tc>
          <w:tcPr>
            <w:tcW w:type="dxa" w:w="24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Command Center</w:t>
            </w:r>
          </w:p>
        </w:tc>
        <w:tc>
          <w:tcPr>
            <w:tcW w:type="dxa" w:w="696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Fleet health overview, live threat heatmap, combined risk score gauge, top-5 at-risk assets</w:t>
            </w:r>
          </w:p>
        </w:tc>
      </w:tr>
      <w:tr>
        <w:tc>
          <w:tcPr>
            <w:tcW w:type="dxa" w:w="24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Asset Detail</w:t>
            </w:r>
          </w:p>
        </w:tc>
        <w:tc>
          <w:tcPr>
            <w:tcW w:type="dxa" w:w="696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Battery time-series charts (SOC, temp, voltage), security event log, RUL forecast curve, LIME explanation panel</w:t>
            </w:r>
          </w:p>
        </w:tc>
      </w:tr>
      <w:tr>
        <w:tc>
          <w:tcPr>
            <w:tcW w:type="dxa" w:w="24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AI Copilot</w:t>
            </w:r>
          </w:p>
        </w:tc>
        <w:tc>
          <w:tcPr>
            <w:tcW w:type="dxa" w:w="696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Conversational interface: 'Why is Tower-12 high risk?' → structured natural-language response with citations</w:t>
            </w:r>
          </w:p>
        </w:tc>
      </w:tr>
      <w:tr>
        <w:tc>
          <w:tcPr>
            <w:tcW w:type="dxa" w:w="24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Explainability Console</w:t>
            </w:r>
          </w:p>
        </w:tc>
        <w:tc>
          <w:tcPr>
            <w:tcW w:type="dxa" w:w="696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Browse and filter LIME explanations per alert; feature contribution bar charts</w:t>
            </w:r>
          </w:p>
        </w:tc>
      </w:tr>
      <w:tr>
        <w:tc>
          <w:tcPr>
            <w:tcW w:type="dxa" w:w="24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MCP Audit Trail</w:t>
            </w:r>
          </w:p>
        </w:tc>
        <w:tc>
          <w:tcPr>
            <w:tcW w:type="dxa" w:w="696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Real-time tool invocation log, policy check results, agent action history</w:t>
            </w:r>
          </w:p>
        </w:tc>
      </w:tr>
    </w:tbl>
    <w:p>
      <w:pPr>
        <w:pStyle w:val="Heading1"/>
        <w:pBdr>
          <w:bottom w:val="thick" w:color="1E88E5" w:sz="6" w:space="6"/>
        </w:pBdr>
        <w:spacing w:after="200" w:before="480"/>
      </w:pPr>
      <w:r>
        <w:rPr>
          <w:rFonts w:ascii="Calibri" w:cs="Calibri" w:eastAsia="Calibri" w:hAnsi="Calibri"/>
          <w:b/>
          <w:bCs/>
          <w:color w:val="1B2A4A"/>
          <w:sz w:val="36"/>
          <w:szCs w:val="36"/>
        </w:rPr>
        <w:t xml:space="preserve">5. Decision Logic Framework</w:t>
      </w:r>
    </w:p>
    <w:p>
      <w:pPr>
        <w:spacing w:after="120" w:before="120"/>
      </w:pPr>
      <w:r>
        <w:rPr>
          <w:rFonts w:ascii="Calibri" w:cs="Calibri" w:eastAsia="Calibri" w:hAnsi="Calibri"/>
          <w:color w:val="4A5568"/>
          <w:sz w:val="22"/>
          <w:szCs w:val="22"/>
        </w:rPr>
        <w:t xml:space="preserve">Risk scores are mapped to four response tiers, each with defined SLA, escalation path, and permissible automated actions.</w:t>
      </w:r>
    </w:p>
    <w:p>
      <w:pPr>
        <w:spacing w:after="0" w:before="160"/>
      </w:pPr>
      <w:r>
        <w:rPr>
          <w:rFonts w:ascii="Calibri" w:cs="Calibri" w:eastAsia="Calibri" w:hAnsi="Calibri"/>
          <w:color w:val="4A5568"/>
          <w:sz w:val="22"/>
          <w:szCs w:val="22"/>
        </w:rP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2800"/>
        <w:gridCol w:w="2160"/>
      </w:tblGrid>
      <w:tr>
        <w:tc>
          <w:tcPr>
            <w:tcW w:type="dxa" w:w="14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Risk Score</w:t>
            </w:r>
          </w:p>
        </w:tc>
        <w:tc>
          <w:tcPr>
            <w:tcW w:type="dxa" w:w="16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Tier</w:t>
            </w:r>
          </w:p>
        </w:tc>
        <w:tc>
          <w:tcPr>
            <w:tcW w:type="dxa" w:w="18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SLA</w:t>
            </w:r>
          </w:p>
        </w:tc>
        <w:tc>
          <w:tcPr>
            <w:tcW w:type="dxa" w:w="28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Automated Action</w:t>
            </w:r>
          </w:p>
        </w:tc>
        <w:tc>
          <w:tcPr>
            <w:tcW w:type="dxa" w:w="216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Human Requirement</w:t>
            </w:r>
          </w:p>
        </w:tc>
      </w:tr>
      <w:tr>
        <w:tc>
          <w:tcPr>
            <w:tcW w:type="dxa" w:w="14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0 – 30</w:t>
            </w:r>
          </w:p>
        </w:tc>
        <w:tc>
          <w:tcPr>
            <w:tcW w:type="dxa" w:w="16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NOMINAL</w:t>
            </w:r>
          </w:p>
        </w:tc>
        <w:tc>
          <w:tcPr>
            <w:tcW w:type="dxa" w:w="18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Monitor</w:t>
            </w:r>
          </w:p>
        </w:tc>
        <w:tc>
          <w:tcPr>
            <w:tcW w:type="dxa" w:w="28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Log telemetry, continue baseline polling</w:t>
            </w:r>
          </w:p>
        </w:tc>
        <w:tc>
          <w:tcPr>
            <w:tcW w:type="dxa" w:w="216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None</w:t>
            </w:r>
          </w:p>
        </w:tc>
      </w:tr>
      <w:tr>
        <w:tc>
          <w:tcPr>
            <w:tcW w:type="dxa" w:w="14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31 – 60</w:t>
            </w:r>
          </w:p>
        </w:tc>
        <w:tc>
          <w:tcPr>
            <w:tcW w:type="dxa" w:w="16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INVESTIGATE</w:t>
            </w:r>
          </w:p>
        </w:tc>
        <w:tc>
          <w:tcPr>
            <w:tcW w:type="dxa" w:w="18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&lt; 30 min review</w:t>
            </w:r>
          </w:p>
        </w:tc>
        <w:tc>
          <w:tcPr>
            <w:tcW w:type="dxa" w:w="28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Flag for operator review, increase polling frequency</w:t>
            </w:r>
          </w:p>
        </w:tc>
        <w:tc>
          <w:tcPr>
            <w:tcW w:type="dxa" w:w="216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Operator acknowledgment</w:t>
            </w:r>
          </w:p>
        </w:tc>
      </w:tr>
      <w:tr>
        <w:tc>
          <w:tcPr>
            <w:tcW w:type="dxa" w:w="14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61 – 80</w:t>
            </w:r>
          </w:p>
        </w:tc>
        <w:tc>
          <w:tcPr>
            <w:tcW w:type="dxa" w:w="16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URGENT</w:t>
            </w:r>
          </w:p>
        </w:tc>
        <w:tc>
          <w:tcPr>
            <w:tcW w:type="dxa" w:w="18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&lt; 5 min response</w:t>
            </w:r>
          </w:p>
        </w:tc>
        <w:tc>
          <w:tcPr>
            <w:tcW w:type="dxa" w:w="28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Diagnosis agent activated, RAG retrieval triggered</w:t>
            </w:r>
          </w:p>
        </w:tc>
        <w:tc>
          <w:tcPr>
            <w:tcW w:type="dxa" w:w="216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Operator approval before action</w:t>
            </w:r>
          </w:p>
        </w:tc>
      </w:tr>
      <w:tr>
        <w:tc>
          <w:tcPr>
            <w:tcW w:type="dxa" w:w="14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81 – 100</w:t>
            </w:r>
          </w:p>
        </w:tc>
        <w:tc>
          <w:tcPr>
            <w:tcW w:type="dxa" w:w="16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CRITICAL</w:t>
            </w:r>
          </w:p>
        </w:tc>
        <w:tc>
          <w:tcPr>
            <w:tcW w:type="dxa" w:w="18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Immediate</w:t>
            </w:r>
          </w:p>
        </w:tc>
        <w:tc>
          <w:tcPr>
            <w:tcW w:type="dxa" w:w="28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Full agent pipeline, MCP actions proposed instantly</w:t>
            </w:r>
          </w:p>
        </w:tc>
        <w:tc>
          <w:tcPr>
            <w:tcW w:type="dxa" w:w="216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Required before quarantine/isolation</w:t>
            </w:r>
          </w:p>
        </w:tc>
      </w:tr>
    </w:tbl>
    <w:p>
      <w:pPr>
        <w:spacing w:after="0" w:before="240"/>
      </w:pPr>
      <w:r>
        <w:rPr>
          <w:rFonts w:ascii="Calibri" w:cs="Calibri" w:eastAsia="Calibri" w:hAnsi="Calibri"/>
          <w:color w:val="4A5568"/>
          <w:sz w:val="22"/>
          <w:szCs w:val="22"/>
        </w:rPr>
        <w:t xml:space="preserve"/>
      </w:r>
    </w:p>
    <w:p>
      <w:pPr>
        <w:pStyle w:val="Heading2"/>
        <w:spacing w:after="160" w:before="360"/>
      </w:pPr>
      <w:r>
        <w:rPr>
          <w:rFonts w:ascii="Calibri" w:cs="Calibri" w:eastAsia="Calibri" w:hAnsi="Calibri"/>
          <w:b/>
          <w:bCs/>
          <w:color w:val="2D5FA0"/>
          <w:sz w:val="28"/>
          <w:szCs w:val="28"/>
        </w:rPr>
        <w:t xml:space="preserve">Governance Principles</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Correlation ≠ Causation: </w:t>
      </w:r>
      <w:r>
        <w:rPr>
          <w:rFonts w:ascii="Calibri" w:cs="Calibri" w:eastAsia="Calibri" w:hAnsi="Calibri"/>
          <w:color w:val="4A5568"/>
          <w:sz w:val="22"/>
          <w:szCs w:val="22"/>
        </w:rPr>
        <w:t xml:space="preserve">The platform surfaces correlated signals; human judgment is required before inferring causation</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Zero Tolerance for Silent Failure: </w:t>
      </w:r>
      <w:r>
        <w:rPr>
          <w:rFonts w:ascii="Calibri" w:cs="Calibri" w:eastAsia="Calibri" w:hAnsi="Calibri"/>
          <w:color w:val="4A5568"/>
          <w:sz w:val="22"/>
          <w:szCs w:val="22"/>
        </w:rPr>
        <w:t xml:space="preserve">Missed thermal runaway is categorically unacceptable; recall on critical classes is the primary optimization target</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Mandatory Explainability: </w:t>
      </w:r>
      <w:r>
        <w:rPr>
          <w:rFonts w:ascii="Calibri" w:cs="Calibri" w:eastAsia="Calibri" w:hAnsi="Calibri"/>
          <w:color w:val="4A5568"/>
          <w:sz w:val="22"/>
          <w:szCs w:val="22"/>
        </w:rPr>
        <w:t xml:space="preserve">No Risk Score &gt; 60 alert is delivered without an accompanying LIME explanation</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Data Minimization: </w:t>
      </w:r>
      <w:r>
        <w:rPr>
          <w:rFonts w:ascii="Calibri" w:cs="Calibri" w:eastAsia="Calibri" w:hAnsi="Calibri"/>
          <w:color w:val="4A5568"/>
          <w:sz w:val="22"/>
          <w:szCs w:val="22"/>
        </w:rPr>
        <w:t xml:space="preserve">Asset IDs are pseudonymized in logs; PII is never ingested; log retention follows organizational policy</w:t>
      </w:r>
    </w:p>
    <w:p>
      <w:pPr>
        <w:pStyle w:val="ListParagraph"/>
        <w:numPr>
          <w:ilvl w:val="0"/>
          <w:numId w:val="2"/>
        </w:numPr>
        <w:spacing w:after="60" w:before="60"/>
        <w:ind w:left="640" w:hanging="320"/>
      </w:pPr>
      <w:r>
        <w:rPr>
          <w:rFonts w:ascii="Calibri" w:cs="Calibri" w:eastAsia="Calibri" w:hAnsi="Calibri"/>
          <w:b/>
          <w:bCs/>
          <w:color w:val="4A5568"/>
          <w:sz w:val="22"/>
          <w:szCs w:val="22"/>
        </w:rPr>
        <w:t xml:space="preserve">Human-in-the-Loop for Destructive Actions: </w:t>
      </w:r>
      <w:r>
        <w:rPr>
          <w:rFonts w:ascii="Calibri" w:cs="Calibri" w:eastAsia="Calibri" w:hAnsi="Calibri"/>
          <w:color w:val="4A5568"/>
          <w:sz w:val="22"/>
          <w:szCs w:val="22"/>
        </w:rPr>
        <w:t xml:space="preserve">Quarantine, isolation, and shutdown require explicit operator authorization, regardless of risk score</w:t>
      </w:r>
    </w:p>
    <w:p>
      <w:pPr>
        <w:pStyle w:val="Heading1"/>
        <w:pBdr>
          <w:bottom w:val="thick" w:color="1E88E5" w:sz="6" w:space="6"/>
        </w:pBdr>
        <w:spacing w:after="200" w:before="480"/>
      </w:pPr>
      <w:r>
        <w:rPr>
          <w:rFonts w:ascii="Calibri" w:cs="Calibri" w:eastAsia="Calibri" w:hAnsi="Calibri"/>
          <w:b/>
          <w:bCs/>
          <w:color w:val="1B2A4A"/>
          <w:sz w:val="36"/>
          <w:szCs w:val="36"/>
        </w:rPr>
        <w:t xml:space="preserve">6. Performance Targets &amp;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c>
          <w:tcPr>
            <w:tcW w:type="dxa" w:w="34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Metric</w:t>
            </w:r>
          </w:p>
        </w:tc>
        <w:tc>
          <w:tcPr>
            <w:tcW w:type="dxa" w:w="22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Target</w:t>
            </w:r>
          </w:p>
        </w:tc>
        <w:tc>
          <w:tcPr>
            <w:tcW w:type="dxa" w:w="376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Rationale</w:t>
            </w:r>
          </w:p>
        </w:tc>
      </w:tr>
      <w:tr>
        <w:tc>
          <w:tcPr>
            <w:tcW w:type="dxa" w:w="34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Threat Recall (critical classes)</w:t>
            </w:r>
          </w:p>
        </w:tc>
        <w:tc>
          <w:tcPr>
            <w:tcW w:type="dxa" w:w="22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&gt; 95%</w:t>
            </w:r>
          </w:p>
        </w:tc>
        <w:tc>
          <w:tcPr>
            <w:tcW w:type="dxa" w:w="376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Missing a critical threat is more costly than a false positive</w:t>
            </w:r>
          </w:p>
        </w:tc>
      </w:tr>
      <w:tr>
        <w:tc>
          <w:tcPr>
            <w:tcW w:type="dxa" w:w="34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Battery SOH Prediction Precision</w:t>
            </w:r>
          </w:p>
        </w:tc>
        <w:tc>
          <w:tcPr>
            <w:tcW w:type="dxa" w:w="22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&gt; 90%</w:t>
            </w:r>
          </w:p>
        </w:tc>
        <w:tc>
          <w:tcPr>
            <w:tcW w:type="dxa" w:w="376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Avoids unnecessary maintenance interventions</w:t>
            </w:r>
          </w:p>
        </w:tc>
      </w:tr>
      <w:tr>
        <w:tc>
          <w:tcPr>
            <w:tcW w:type="dxa" w:w="34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False Positive Reduction vs. baseline</w:t>
            </w:r>
          </w:p>
        </w:tc>
        <w:tc>
          <w:tcPr>
            <w:tcW w:type="dxa" w:w="22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 30%</w:t>
            </w:r>
          </w:p>
        </w:tc>
        <w:tc>
          <w:tcPr>
            <w:tcW w:type="dxa" w:w="376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Operator trust degrades rapidly with alert fatigue</w:t>
            </w:r>
          </w:p>
        </w:tc>
      </w:tr>
      <w:tr>
        <w:tc>
          <w:tcPr>
            <w:tcW w:type="dxa" w:w="34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Alert-to-Dashboard Latency</w:t>
            </w:r>
          </w:p>
        </w:tc>
        <w:tc>
          <w:tcPr>
            <w:tcW w:type="dxa" w:w="22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&lt; 5 seconds</w:t>
            </w:r>
          </w:p>
        </w:tc>
        <w:tc>
          <w:tcPr>
            <w:tcW w:type="dxa" w:w="376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Time-to-decision is critical in physical asset contexts</w:t>
            </w:r>
          </w:p>
        </w:tc>
      </w:tr>
      <w:tr>
        <w:tc>
          <w:tcPr>
            <w:tcW w:type="dxa" w:w="34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Explainability Coverage</w:t>
            </w:r>
          </w:p>
        </w:tc>
        <w:tc>
          <w:tcPr>
            <w:tcW w:type="dxa" w:w="22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100% of Risk &gt; 60 alerts</w:t>
            </w:r>
          </w:p>
        </w:tc>
        <w:tc>
          <w:tcPr>
            <w:tcW w:type="dxa" w:w="376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Non-negotiable governance requirement</w:t>
            </w:r>
          </w:p>
        </w:tc>
      </w:tr>
      <w:tr>
        <w:tc>
          <w:tcPr>
            <w:tcW w:type="dxa" w:w="34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GAN Synthetic Data Utility Score</w:t>
            </w:r>
          </w:p>
        </w:tc>
        <w:tc>
          <w:tcPr>
            <w:tcW w:type="dxa" w:w="22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&gt; 0.85 (train/test parity)</w:t>
            </w:r>
          </w:p>
        </w:tc>
        <w:tc>
          <w:tcPr>
            <w:tcW w:type="dxa" w:w="376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Validates synthetic data quality before model training</w:t>
            </w:r>
          </w:p>
        </w:tc>
      </w:tr>
      <w:tr>
        <w:tc>
          <w:tcPr>
            <w:tcW w:type="dxa" w:w="34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MCP Audit Log Completeness</w:t>
            </w:r>
          </w:p>
        </w:tc>
        <w:tc>
          <w:tcPr>
            <w:tcW w:type="dxa" w:w="22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100%</w:t>
            </w:r>
          </w:p>
        </w:tc>
        <w:tc>
          <w:tcPr>
            <w:tcW w:type="dxa" w:w="376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Compliance and forensic requirement</w:t>
            </w:r>
          </w:p>
        </w:tc>
      </w:tr>
    </w:tbl>
    <w:p>
      <w:pPr>
        <w:pStyle w:val="Heading1"/>
        <w:pBdr>
          <w:bottom w:val="thick" w:color="1E88E5" w:sz="6" w:space="6"/>
        </w:pBdr>
        <w:spacing w:after="200" w:before="480"/>
      </w:pPr>
      <w:r>
        <w:rPr>
          <w:rFonts w:ascii="Calibri" w:cs="Calibri" w:eastAsia="Calibri" w:hAnsi="Calibri"/>
          <w:b/>
          <w:bCs/>
          <w:color w:val="1B2A4A"/>
          <w:sz w:val="36"/>
          <w:szCs w:val="36"/>
        </w:rPr>
        <w:t xml:space="preserve">7. Implementation Roadmap</w:t>
      </w:r>
    </w:p>
    <w:p>
      <w:pPr>
        <w:spacing w:after="120" w:before="120"/>
      </w:pPr>
      <w:r>
        <w:rPr>
          <w:rFonts w:ascii="Calibri" w:cs="Calibri" w:eastAsia="Calibri" w:hAnsi="Calibri"/>
          <w:color w:val="4A5568"/>
          <w:sz w:val="22"/>
          <w:szCs w:val="22"/>
        </w:rPr>
        <w:t xml:space="preserve">The platform is designed for incremental delivery across four releases, each independently deployable and demonstrable.</w:t>
      </w:r>
    </w:p>
    <w:p>
      <w:pPr>
        <w:spacing w:after="0" w:before="160"/>
      </w:pPr>
      <w:r>
        <w:rPr>
          <w:rFonts w:ascii="Calibri" w:cs="Calibri" w:eastAsia="Calibri" w:hAnsi="Calibri"/>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960"/>
        <w:gridCol w:w="1200"/>
      </w:tblGrid>
      <w:tr>
        <w:tc>
          <w:tcPr>
            <w:tcW w:type="dxa" w:w="18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Release</w:t>
            </w:r>
          </w:p>
        </w:tc>
        <w:tc>
          <w:tcPr>
            <w:tcW w:type="dxa" w:w="24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Scope</w:t>
            </w:r>
          </w:p>
        </w:tc>
        <w:tc>
          <w:tcPr>
            <w:tcW w:type="dxa" w:w="396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Key Deliverables</w:t>
            </w:r>
          </w:p>
        </w:tc>
        <w:tc>
          <w:tcPr>
            <w:tcW w:type="dxa" w:w="12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Timeline</w:t>
            </w:r>
          </w:p>
        </w:tc>
      </w:tr>
      <w:tr>
        <w:tc>
          <w:tcPr>
            <w:tcW w:type="dxa" w:w="18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V1 — Foundation</w:t>
            </w:r>
          </w:p>
        </w:tc>
        <w:tc>
          <w:tcPr>
            <w:tcW w:type="dxa" w:w="24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Data + Models + Dashboard</w:t>
            </w:r>
          </w:p>
        </w:tc>
        <w:tc>
          <w:tcPr>
            <w:tcW w:type="dxa" w:w="396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Data pipeline, battery + cyber models, basic risk dashboard, LIME integration</w:t>
            </w:r>
          </w:p>
        </w:tc>
        <w:tc>
          <w:tcPr>
            <w:tcW w:type="dxa" w:w="12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Weeks 1–6</w:t>
            </w:r>
          </w:p>
        </w:tc>
      </w:tr>
      <w:tr>
        <w:tc>
          <w:tcPr>
            <w:tcW w:type="dxa" w:w="18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V2 — Intelligence</w:t>
            </w:r>
          </w:p>
        </w:tc>
        <w:tc>
          <w:tcPr>
            <w:tcW w:type="dxa" w:w="24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RAG + Copilot</w:t>
            </w:r>
          </w:p>
        </w:tc>
        <w:tc>
          <w:tcPr>
            <w:tcW w:type="dxa" w:w="396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Vector store, LangChain pipeline, Gemini integration, AI copilot UI page</w:t>
            </w:r>
          </w:p>
        </w:tc>
        <w:tc>
          <w:tcPr>
            <w:tcW w:type="dxa" w:w="12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Weeks 7–10</w:t>
            </w:r>
          </w:p>
        </w:tc>
      </w:tr>
      <w:tr>
        <w:tc>
          <w:tcPr>
            <w:tcW w:type="dxa" w:w="18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V3 — Autonomy</w:t>
            </w:r>
          </w:p>
        </w:tc>
        <w:tc>
          <w:tcPr>
            <w:tcW w:type="dxa" w:w="24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Agents + MCP</w:t>
            </w:r>
          </w:p>
        </w:tc>
        <w:tc>
          <w:tcPr>
            <w:tcW w:type="dxa" w:w="396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5-agent system, 4 MCP servers, governance policy engine, audit trail</w:t>
            </w:r>
          </w:p>
        </w:tc>
        <w:tc>
          <w:tcPr>
            <w:tcW w:type="dxa" w:w="12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Weeks 11–16</w:t>
            </w:r>
          </w:p>
        </w:tc>
      </w:tr>
      <w:tr>
        <w:tc>
          <w:tcPr>
            <w:tcW w:type="dxa" w:w="18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V4 — Simulation</w:t>
            </w:r>
          </w:p>
        </w:tc>
        <w:tc>
          <w:tcPr>
            <w:tcW w:type="dxa" w:w="24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GAN Rare-Event Engine</w:t>
            </w:r>
          </w:p>
        </w:tc>
        <w:tc>
          <w:tcPr>
            <w:tcW w:type="dxa" w:w="396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TimeGAN + CTGAN training, synthetic data validation, model retraining pipeline</w:t>
            </w:r>
          </w:p>
        </w:tc>
        <w:tc>
          <w:tcPr>
            <w:tcW w:type="dxa" w:w="12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Weeks 17–20</w:t>
            </w:r>
          </w:p>
        </w:tc>
      </w:tr>
    </w:tbl>
    <w:p>
      <w:pPr>
        <w:pStyle w:val="Heading1"/>
        <w:pBdr>
          <w:bottom w:val="thick" w:color="1E88E5" w:sz="6" w:space="6"/>
        </w:pBdr>
        <w:spacing w:after="200" w:before="480"/>
      </w:pPr>
      <w:r>
        <w:rPr>
          <w:rFonts w:ascii="Calibri" w:cs="Calibri" w:eastAsia="Calibri" w:hAnsi="Calibri"/>
          <w:b/>
          <w:bCs/>
          <w:color w:val="1B2A4A"/>
          <w:sz w:val="36"/>
          <w:szCs w:val="36"/>
        </w:rPr>
        <w:t xml:space="preserve">8. Scope: Current Version vs. Future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240"/>
            </w:tcMar>
          </w:tcPr>
          <w:p>
            <w:pPr>
              <w:pStyle w:val="Heading3"/>
              <w:spacing w:after="120" w:before="240"/>
            </w:pPr>
            <w:r>
              <w:rPr>
                <w:rFonts w:ascii="Calibri" w:cs="Calibri" w:eastAsia="Calibri" w:hAnsi="Calibri"/>
                <w:b/>
                <w:bCs/>
                <w:color w:val="00897B"/>
                <w:sz w:val="24"/>
                <w:szCs w:val="24"/>
              </w:rPr>
              <w:t xml:space="preserve">V1 – V4 Scope (This Blueprint)</w:t>
            </w:r>
          </w:p>
          <w:p>
            <w:pPr>
              <w:pStyle w:val="ListParagraph"/>
              <w:numPr>
                <w:ilvl w:val="0"/>
                <w:numId w:val="2"/>
              </w:numPr>
              <w:spacing w:after="60" w:before="60"/>
              <w:ind w:left="640" w:hanging="320"/>
            </w:pPr>
            <w:r>
              <w:rPr>
                <w:rFonts w:ascii="Calibri" w:cs="Calibri" w:eastAsia="Calibri" w:hAnsi="Calibri"/>
                <w:color w:val="4A5568"/>
                <w:sz w:val="22"/>
                <w:szCs w:val="22"/>
              </w:rPr>
              <w:t xml:space="preserve">Pre-captured benchmark datasets (NASA, CALCE, CIC-IDS2017, UNSW-NB15)</w:t>
            </w:r>
          </w:p>
          <w:p>
            <w:pPr>
              <w:pStyle w:val="ListParagraph"/>
              <w:numPr>
                <w:ilvl w:val="0"/>
                <w:numId w:val="2"/>
              </w:numPr>
              <w:spacing w:after="60" w:before="60"/>
              <w:ind w:left="640" w:hanging="320"/>
            </w:pPr>
            <w:r>
              <w:rPr>
                <w:rFonts w:ascii="Calibri" w:cs="Calibri" w:eastAsia="Calibri" w:hAnsi="Calibri"/>
                <w:color w:val="4A5568"/>
                <w:sz w:val="22"/>
                <w:szCs w:val="22"/>
              </w:rPr>
              <w:t xml:space="preserve">Batch inference with sub-5-second dashboard latency</w:t>
            </w:r>
          </w:p>
          <w:p>
            <w:pPr>
              <w:pStyle w:val="ListParagraph"/>
              <w:numPr>
                <w:ilvl w:val="0"/>
                <w:numId w:val="2"/>
              </w:numPr>
              <w:spacing w:after="60" w:before="60"/>
              <w:ind w:left="640" w:hanging="320"/>
            </w:pPr>
            <w:r>
              <w:rPr>
                <w:rFonts w:ascii="Calibri" w:cs="Calibri" w:eastAsia="Calibri" w:hAnsi="Calibri"/>
                <w:color w:val="4A5568"/>
                <w:sz w:val="22"/>
                <w:szCs w:val="22"/>
              </w:rPr>
              <w:t xml:space="preserve">Five-agent agentic system with MCP tool governance</w:t>
            </w:r>
          </w:p>
          <w:p>
            <w:pPr>
              <w:pStyle w:val="ListParagraph"/>
              <w:numPr>
                <w:ilvl w:val="0"/>
                <w:numId w:val="2"/>
              </w:numPr>
              <w:spacing w:after="60" w:before="60"/>
              <w:ind w:left="640" w:hanging="320"/>
            </w:pPr>
            <w:r>
              <w:rPr>
                <w:rFonts w:ascii="Calibri" w:cs="Calibri" w:eastAsia="Calibri" w:hAnsi="Calibri"/>
                <w:color w:val="4A5568"/>
                <w:sz w:val="22"/>
                <w:szCs w:val="22"/>
              </w:rPr>
              <w:t xml:space="preserve">Offline GAN training with validated synthetic augmentation</w:t>
            </w:r>
          </w:p>
          <w:p>
            <w:pPr>
              <w:pStyle w:val="ListParagraph"/>
              <w:numPr>
                <w:ilvl w:val="0"/>
                <w:numId w:val="2"/>
              </w:numPr>
              <w:spacing w:after="60" w:before="60"/>
              <w:ind w:left="640" w:hanging="320"/>
            </w:pPr>
            <w:r>
              <w:rPr>
                <w:rFonts w:ascii="Calibri" w:cs="Calibri" w:eastAsia="Calibri" w:hAnsi="Calibri"/>
                <w:color w:val="4A5568"/>
                <w:sz w:val="22"/>
                <w:szCs w:val="22"/>
              </w:rPr>
              <w:t xml:space="preserve">REST + WebSocket API backend</w:t>
            </w:r>
          </w:p>
        </w:tc>
        <w:tc>
          <w:tcPr>
            <w:tcW w:type="dxa" w:w="4800"/>
            <w:tcBorders>
              <w:top w:val="none" w:color="FFFFFF" w:sz="0"/>
              <w:left w:val="none" w:color="FFFFFF" w:sz="0"/>
              <w:bottom w:val="none" w:color="FFFFFF" w:sz="0"/>
              <w:right w:val="none" w:color="FFFFFF" w:sz="0"/>
            </w:tcBorders>
            <w:tcMar>
              <w:top w:type="dxa" w:w="80"/>
              <w:left w:type="dxa" w:w="240"/>
              <w:bottom w:type="dxa" w:w="80"/>
              <w:right w:type="dxa" w:w="0"/>
            </w:tcMar>
          </w:tcPr>
          <w:p>
            <w:pPr>
              <w:pStyle w:val="Heading3"/>
              <w:spacing w:after="120" w:before="240"/>
            </w:pPr>
            <w:r>
              <w:rPr>
                <w:rFonts w:ascii="Calibri" w:cs="Calibri" w:eastAsia="Calibri" w:hAnsi="Calibri"/>
                <w:b/>
                <w:bCs/>
                <w:color w:val="00897B"/>
                <w:sz w:val="24"/>
                <w:szCs w:val="24"/>
              </w:rPr>
              <w:t xml:space="preserve">Future Roadmap (Post V4)</w:t>
            </w:r>
          </w:p>
          <w:p>
            <w:pPr>
              <w:pStyle w:val="ListParagraph"/>
              <w:numPr>
                <w:ilvl w:val="0"/>
                <w:numId w:val="2"/>
              </w:numPr>
              <w:spacing w:after="60" w:before="60"/>
              <w:ind w:left="640" w:hanging="320"/>
            </w:pPr>
            <w:r>
              <w:rPr>
                <w:rFonts w:ascii="Calibri" w:cs="Calibri" w:eastAsia="Calibri" w:hAnsi="Calibri"/>
                <w:color w:val="4A5568"/>
                <w:sz w:val="22"/>
                <w:szCs w:val="22"/>
              </w:rPr>
              <w:t xml:space="preserve">Live telemetry ingestion via Apache Kafka</w:t>
            </w:r>
          </w:p>
          <w:p>
            <w:pPr>
              <w:pStyle w:val="ListParagraph"/>
              <w:numPr>
                <w:ilvl w:val="0"/>
                <w:numId w:val="2"/>
              </w:numPr>
              <w:spacing w:after="60" w:before="60"/>
              <w:ind w:left="640" w:hanging="320"/>
            </w:pPr>
            <w:r>
              <w:rPr>
                <w:rFonts w:ascii="Calibri" w:cs="Calibri" w:eastAsia="Calibri" w:hAnsi="Calibri"/>
                <w:color w:val="4A5568"/>
                <w:sz w:val="22"/>
                <w:szCs w:val="22"/>
              </w:rPr>
              <w:t xml:space="preserve">Edge AI inference on NVIDIA Jetson / ARM devices</w:t>
            </w:r>
          </w:p>
          <w:p>
            <w:pPr>
              <w:pStyle w:val="ListParagraph"/>
              <w:numPr>
                <w:ilvl w:val="0"/>
                <w:numId w:val="2"/>
              </w:numPr>
              <w:spacing w:after="60" w:before="60"/>
              <w:ind w:left="640" w:hanging="320"/>
            </w:pPr>
            <w:r>
              <w:rPr>
                <w:rFonts w:ascii="Calibri" w:cs="Calibri" w:eastAsia="Calibri" w:hAnsi="Calibri"/>
                <w:color w:val="4A5568"/>
                <w:sz w:val="22"/>
                <w:szCs w:val="22"/>
              </w:rPr>
              <w:t xml:space="preserve">Digital twin integration for real-time asset simulation</w:t>
            </w:r>
          </w:p>
          <w:p>
            <w:pPr>
              <w:pStyle w:val="ListParagraph"/>
              <w:numPr>
                <w:ilvl w:val="0"/>
                <w:numId w:val="2"/>
              </w:numPr>
              <w:spacing w:after="60" w:before="60"/>
              <w:ind w:left="640" w:hanging="320"/>
            </w:pPr>
            <w:r>
              <w:rPr>
                <w:rFonts w:ascii="Calibri" w:cs="Calibri" w:eastAsia="Calibri" w:hAnsi="Calibri"/>
                <w:color w:val="4A5568"/>
                <w:sz w:val="22"/>
                <w:szCs w:val="22"/>
              </w:rPr>
              <w:t xml:space="preserve">Self-healing automation — closed-loop remediation without human approval</w:t>
            </w:r>
          </w:p>
          <w:p>
            <w:pPr>
              <w:pStyle w:val="ListParagraph"/>
              <w:numPr>
                <w:ilvl w:val="0"/>
                <w:numId w:val="2"/>
              </w:numPr>
              <w:spacing w:after="60" w:before="60"/>
              <w:ind w:left="640" w:hanging="320"/>
            </w:pPr>
            <w:r>
              <w:rPr>
                <w:rFonts w:ascii="Calibri" w:cs="Calibri" w:eastAsia="Calibri" w:hAnsi="Calibri"/>
                <w:color w:val="4A5568"/>
                <w:sz w:val="22"/>
                <w:szCs w:val="22"/>
              </w:rPr>
              <w:t xml:space="preserve">Federated learning across asset fleets without centralizing data</w:t>
            </w:r>
          </w:p>
        </w:tc>
      </w:tr>
    </w:tbl>
    <w:p>
      <w:pPr>
        <w:pStyle w:val="Heading1"/>
        <w:pBdr>
          <w:bottom w:val="thick" w:color="1E88E5" w:sz="6" w:space="6"/>
        </w:pBdr>
        <w:spacing w:after="200" w:before="480"/>
      </w:pPr>
      <w:r>
        <w:rPr>
          <w:rFonts w:ascii="Calibri" w:cs="Calibri" w:eastAsia="Calibri" w:hAnsi="Calibri"/>
          <w:b/>
          <w:bCs/>
          <w:color w:val="1B2A4A"/>
          <w:sz w:val="36"/>
          <w:szCs w:val="36"/>
        </w:rPr>
        <w:t xml:space="preserve">9. Codebase Structure</w:t>
      </w:r>
    </w:p>
    <w:p>
      <w:pPr>
        <w:spacing w:after="160" w:before="160"/>
      </w:pPr>
      <w:r>
        <w:rPr>
          <w:rFonts w:ascii="Courier New" w:cs="Courier New" w:eastAsia="Courier New" w:hAnsi="Courier New"/>
          <w:color w:val="1B2A4A"/>
          <w:sz w:val="18"/>
          <w:szCs w:val="18"/>
        </w:rPr>
        <w:t xml:space="preserve">project/
  ├── frontend/          # Next.js 14 app, Tailwind, Plotly dashboards
  ├── backend/           # FastAPI, WebSocket, REST endpoints, Redis pub/sub
  ├── datasets/          # Raw + augmented dataset storage
  ├── preprocessing/     # Cleaning, time-alignment, feature engineering
  ├── models/            # XGBoost, LSTM, RF, Autoencoder training &amp; inference
  ├── gan/               # TimeGAN + CTGAN training pipelines and validators
  ├── rag/               # LangChain chains, FAISS index, embedding pipeline
  ├── agents/            # Agent definitions, orchestration logic, prompt templates
  ├── mcp_servers/       # Battery, Cyber, Analytics, Governance MCP servers
  ├── explainability/    # LIME wrapper, explanation store, coverage reporter
  └── docs/              # Architecture diagrams, ADRs, API specs</w:t>
      </w:r>
    </w:p>
    <w:p>
      <w:pPr>
        <w:pStyle w:val="Heading1"/>
        <w:pBdr>
          <w:bottom w:val="thick" w:color="1E88E5" w:sz="6" w:space="6"/>
        </w:pBdr>
        <w:spacing w:after="200" w:before="480"/>
      </w:pPr>
      <w:r>
        <w:rPr>
          <w:rFonts w:ascii="Calibri" w:cs="Calibri" w:eastAsia="Calibri" w:hAnsi="Calibri"/>
          <w:b/>
          <w:bCs/>
          <w:color w:val="1B2A4A"/>
          <w:sz w:val="36"/>
          <w:szCs w:val="36"/>
        </w:rPr>
        <w:t xml:space="preserve">10. Strategic Differentiation</w:t>
      </w:r>
    </w:p>
    <w:p>
      <w:pPr>
        <w:spacing w:after="120" w:before="120"/>
      </w:pPr>
      <w:r>
        <w:rPr>
          <w:rFonts w:ascii="Calibri" w:cs="Calibri" w:eastAsia="Calibri" w:hAnsi="Calibri"/>
          <w:color w:val="4A5568"/>
          <w:sz w:val="22"/>
          <w:szCs w:val="22"/>
        </w:rPr>
        <w:t xml:space="preserve">Very few production systems — let alone student or portfolio projects — combine all eight of the following disciplines. Each individual component is a recognized specialization; their integration is the innovation.</w:t>
      </w:r>
    </w:p>
    <w:p>
      <w:pPr>
        <w:spacing w:after="0" w:before="160"/>
      </w:pPr>
      <w:r>
        <w:rPr>
          <w:rFonts w:ascii="Calibri" w:cs="Calibri" w:eastAsia="Calibri" w:hAnsi="Calibri"/>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Discipline</w:t>
            </w:r>
          </w:p>
        </w:tc>
        <w:tc>
          <w:tcPr>
            <w:tcW w:type="dxa" w:w="6160"/>
            <w:tcBorders>
              <w:top w:val="single" w:color="BDC3CF" w:sz="1"/>
              <w:left w:val="single" w:color="BDC3CF" w:sz="1"/>
              <w:bottom w:val="single" w:color="BDC3CF" w:sz="1"/>
              <w:right w:val="single" w:color="BDC3CF" w:sz="1"/>
            </w:tcBorders>
            <w:shd w:fill="1B2A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Implementation in This Platform</w:t>
            </w:r>
          </w:p>
        </w:tc>
      </w:tr>
      <w:tr>
        <w:tc>
          <w:tcPr>
            <w:tcW w:type="dxa" w:w="32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Data Engineering</w:t>
            </w:r>
          </w:p>
        </w:tc>
        <w:tc>
          <w:tcPr>
            <w:tcW w:type="dxa" w:w="616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Multi-source fusion, time-alignment, cross-domain feature derivation</w:t>
            </w:r>
          </w:p>
        </w:tc>
      </w:tr>
      <w:tr>
        <w:tc>
          <w:tcPr>
            <w:tcW w:type="dxa" w:w="32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Time-Series Machine Learning</w:t>
            </w:r>
          </w:p>
        </w:tc>
        <w:tc>
          <w:tcPr>
            <w:tcW w:type="dxa" w:w="616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LSTM RUL forecasting, XGBoost SOH regression on battery degradation sequences</w:t>
            </w:r>
          </w:p>
        </w:tc>
      </w:tr>
      <w:tr>
        <w:tc>
          <w:tcPr>
            <w:tcW w:type="dxa" w:w="32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Cybersecurity Analytics</w:t>
            </w:r>
          </w:p>
        </w:tc>
        <w:tc>
          <w:tcPr>
            <w:tcW w:type="dxa" w:w="616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Multi-class intrusion detection, zero-day anomaly detection via autoencoder</w:t>
            </w:r>
          </w:p>
        </w:tc>
      </w:tr>
      <w:tr>
        <w:tc>
          <w:tcPr>
            <w:tcW w:type="dxa" w:w="32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Generative AI (GAN)</w:t>
            </w:r>
          </w:p>
        </w:tc>
        <w:tc>
          <w:tcPr>
            <w:tcW w:type="dxa" w:w="616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TimeGAN + CTGAN for rare-event simulation with statistical validation</w:t>
            </w:r>
          </w:p>
        </w:tc>
      </w:tr>
      <w:tr>
        <w:tc>
          <w:tcPr>
            <w:tcW w:type="dxa" w:w="32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Explainable AI</w:t>
            </w:r>
          </w:p>
        </w:tc>
        <w:tc>
          <w:tcPr>
            <w:tcW w:type="dxa" w:w="616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LIME applied to every high-risk decision with operator-facing justification</w:t>
            </w:r>
          </w:p>
        </w:tc>
      </w:tr>
      <w:tr>
        <w:tc>
          <w:tcPr>
            <w:tcW w:type="dxa" w:w="32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Autonomous Agent Systems</w:t>
            </w:r>
          </w:p>
        </w:tc>
        <w:tc>
          <w:tcPr>
            <w:tcW w:type="dxa" w:w="616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Five-role coordinated agent architecture with defined input/output contracts</w:t>
            </w:r>
          </w:p>
        </w:tc>
      </w:tr>
      <w:tr>
        <w:tc>
          <w:tcPr>
            <w:tcW w:type="dxa" w:w="320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Secure Tool Orchestration (MCP)</w:t>
            </w:r>
          </w:p>
        </w:tc>
        <w:tc>
          <w:tcPr>
            <w:tcW w:type="dxa" w:w="6160"/>
            <w:tcBorders>
              <w:top w:val="single" w:color="BDC3CF" w:sz="1"/>
              <w:left w:val="single" w:color="BDC3CF" w:sz="1"/>
              <w:bottom w:val="single" w:color="BDC3CF" w:sz="1"/>
              <w:right w:val="single" w:color="BDC3CF" w:sz="1"/>
            </w:tcBorders>
            <w:shd w:fill="FFFFFF" w:val="clear"/>
            <w:tcMar>
              <w:top w:type="dxa" w:w="80"/>
              <w:left w:type="dxa" w:w="120"/>
              <w:bottom w:type="dxa" w:w="80"/>
              <w:right w:type="dxa" w:w="120"/>
            </w:tcMar>
          </w:tcPr>
          <w:p>
            <w:r>
              <w:rPr>
                <w:rFonts w:ascii="Calibri" w:cs="Calibri" w:eastAsia="Calibri" w:hAnsi="Calibri"/>
                <w:color w:val="4A5568"/>
                <w:sz w:val="20"/>
                <w:szCs w:val="20"/>
              </w:rPr>
              <w:t xml:space="preserve">Policy-governed, audited tool execution with blast-radius isolation</w:t>
            </w:r>
          </w:p>
        </w:tc>
      </w:tr>
      <w:tr>
        <w:tc>
          <w:tcPr>
            <w:tcW w:type="dxa" w:w="320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Full-Stack UI Engineering</w:t>
            </w:r>
          </w:p>
        </w:tc>
        <w:tc>
          <w:tcPr>
            <w:tcW w:type="dxa" w:w="6160"/>
            <w:tcBorders>
              <w:top w:val="single" w:color="BDC3CF" w:sz="1"/>
              <w:left w:val="single" w:color="BDC3CF" w:sz="1"/>
              <w:bottom w:val="single" w:color="BDC3CF" w:sz="1"/>
              <w:right w:val="single" w:color="BDC3CF" w:sz="1"/>
            </w:tcBorders>
            <w:shd w:fill="F5F7FA" w:val="clear"/>
            <w:tcMar>
              <w:top w:type="dxa" w:w="80"/>
              <w:left w:type="dxa" w:w="120"/>
              <w:bottom w:type="dxa" w:w="80"/>
              <w:right w:type="dxa" w:w="120"/>
            </w:tcMar>
          </w:tcPr>
          <w:p>
            <w:r>
              <w:rPr>
                <w:rFonts w:ascii="Calibri" w:cs="Calibri" w:eastAsia="Calibri" w:hAnsi="Calibri"/>
                <w:color w:val="4A5568"/>
                <w:sz w:val="20"/>
                <w:szCs w:val="20"/>
              </w:rPr>
              <w:t xml:space="preserve">Real-time Next.js dashboard with WebSocket streaming and AI copilot</w:t>
            </w:r>
          </w:p>
        </w:tc>
      </w:tr>
    </w:tbl>
    <w:p>
      <w:pPr>
        <w:spacing w:after="0" w:before="240"/>
      </w:pPr>
      <w:r>
        <w:rPr>
          <w:rFonts w:ascii="Calibri" w:cs="Calibri" w:eastAsia="Calibri" w:hAnsi="Calibri"/>
          <w:color w:val="4A5568"/>
          <w:sz w:val="22"/>
          <w:szCs w:val="22"/>
        </w:rPr>
        <w:t xml:space="preserve"/>
      </w:r>
    </w:p>
    <w:p>
      <w:pPr>
        <w:pStyle w:val="Heading1"/>
        <w:pBdr>
          <w:bottom w:val="thick" w:color="1E88E5" w:sz="6" w:space="6"/>
        </w:pBdr>
        <w:spacing w:after="200" w:before="480"/>
      </w:pPr>
      <w:r>
        <w:rPr>
          <w:rFonts w:ascii="Calibri" w:cs="Calibri" w:eastAsia="Calibri" w:hAnsi="Calibri"/>
          <w:b/>
          <w:bCs/>
          <w:color w:val="1B2A4A"/>
          <w:sz w:val="36"/>
          <w:szCs w:val="36"/>
        </w:rPr>
        <w:t xml:space="preserve">11. Portfolio &amp; Recruiter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F9A825" w:sz="18"/>
              <w:bottom w:val="none" w:color="FFFFFF" w:sz="0"/>
              <w:right w:val="none" w:color="FFFFFF" w:sz="0"/>
            </w:tcBorders>
            <w:shd w:fill="FFF8E1" w:val="clear"/>
            <w:tcMar>
              <w:top w:type="dxa" w:w="200"/>
              <w:left w:type="dxa" w:w="280"/>
              <w:bottom w:type="dxa" w:w="200"/>
              <w:right w:type="dxa" w:w="200"/>
            </w:tcMar>
          </w:tcPr>
          <w:p>
            <w:r>
              <w:rPr>
                <w:rFonts w:ascii="Calibri" w:cs="Calibri" w:eastAsia="Calibri" w:hAnsi="Calibri"/>
                <w:b/>
                <w:bCs/>
                <w:i/>
                <w:iCs/>
                <w:color w:val="1B2A4A"/>
                <w:sz w:val="24"/>
                <w:szCs w:val="24"/>
              </w:rPr>
              <w:t xml:space="preserve">Built an enterprise-grade cyber-physical intelligence platform that unifies battery telemetry and network security analytics using GAN-based rare-event simulation, LSTM time-series forecasting, explainable ML (LIME), RAG knowledge retrieval with FAISS and Gemini, a five-agent autonomous reasoning system, and MCP-governed secure tool orchestration — delivered across a full-stack Next.js and FastAPI production architecture.</w:t>
            </w:r>
          </w:p>
        </w:tc>
      </w:tr>
    </w:tbl>
    <w:p>
      <w:pPr>
        <w:spacing w:after="0" w:before="400"/>
      </w:pPr>
      <w:r>
        <w:rPr>
          <w:rFonts w:ascii="Calibri" w:cs="Calibri" w:eastAsia="Calibri" w:hAnsi="Calibri"/>
          <w:color w:val="4A5568"/>
          <w:sz w:val="22"/>
          <w:szCs w:val="22"/>
        </w:rPr>
        <w:t xml:space="preserve"/>
      </w:r>
    </w:p>
    <w:p>
      <w:pPr>
        <w:spacing w:after="0" w:before="200"/>
        <w:jc w:val="center"/>
      </w:pPr>
      <w:r>
        <w:rPr>
          <w:rFonts w:ascii="Calibri" w:cs="Calibri" w:eastAsia="Calibri" w:hAnsi="Calibri"/>
          <w:i/>
          <w:iCs/>
          <w:color w:val="888888"/>
          <w:sz w:val="18"/>
          <w:szCs w:val="18"/>
        </w:rPr>
        <w:t xml:space="preserve">This blueprint is a living document. Update version, metrics, and scope as development progresses through V1→V4 releases.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4"/>
      </w:pBdr>
      <w:tabs>
        <w:tab w:val="right" w:pos="9026"/>
      </w:tabs>
      <w:spacing w:after="0" w:before="80"/>
    </w:pPr>
    <w:r>
      <w:rPr>
        <w:rFonts w:ascii="Calibri" w:cs="Calibri" w:eastAsia="Calibri" w:hAnsi="Calibri"/>
        <w:color w:val="999999"/>
        <w:sz w:val="16"/>
        <w:szCs w:val="16"/>
      </w:rPr>
      <w:t xml:space="preserve">CONFIDENTIAL  —  Internal Use Only</w:t>
    </w:r>
    <w:r>
      <w:rPr>
        <w:rFonts w:ascii="Calibri" w:cs="Calibri" w:eastAsia="Calibri" w:hAnsi="Calibri"/>
        <w:color w:val="999999"/>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4"/>
      </w:pBdr>
      <w:spacing w:after="80" w:before="0"/>
      <w:jc w:val="left"/>
    </w:pPr>
    <w:r>
      <w:rPr>
        <w:rFonts w:ascii="Calibri" w:cs="Calibri" w:eastAsia="Calibri" w:hAnsi="Calibri"/>
        <w:b/>
        <w:bCs/>
        <w:color w:val="1B2A4A"/>
        <w:sz w:val="16"/>
        <w:szCs w:val="16"/>
      </w:rPr>
      <w:t xml:space="preserve">ENTERPRISE BLUEPRINT  —  Agentic Cyber-Battery Intelligence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color w:val="1E88E5"/>
        <w:sz w:val="20"/>
        <w:szCs w:val="20"/>
      </w:rPr>
    </w:lvl>
    <w:lvl w:ilvl="1" w15:tentative="1">
      <w:start w:val="1"/>
      <w:numFmt w:val="bullet"/>
      <w:lvlText w:val="–"/>
      <w:lvlJc w:val="left"/>
      <w:pPr>
        <w:ind w:left="1000" w:hanging="320"/>
      </w:pPr>
      <w:rPr>
        <w:color w:val="4A5568"/>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B2A4A"/>
      <w:sz w:val="36"/>
      <w:szCs w:val="36"/>
    </w:rPr>
  </w:style>
  <w:style w:type="paragraph" w:styleId="Heading2">
    <w:name w:val="Heading 2"/>
    <w:basedOn w:val="Normal"/>
    <w:next w:val="Normal"/>
    <w:qFormat/>
    <w:pPr>
      <w:spacing w:after="160" w:before="360"/>
      <w:outlineLvl w:val="1"/>
    </w:pPr>
    <w:rPr>
      <w:rFonts w:ascii="Calibri" w:cs="Calibri" w:eastAsia="Calibri" w:hAnsi="Calibri"/>
      <w:b/>
      <w:bCs/>
      <w:color w:val="2D5FA0"/>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0089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2026-04-25T13:50:52.539Z</dcterms:created>
  <dcterms:modified xsi:type="dcterms:W3CDTF">2026-04-25T13:50:52.540Z</dcterms:modified>
</cp:coreProperties>
</file>

<file path=docProps/custom.xml><?xml version="1.0" encoding="utf-8"?>
<Properties xmlns="http://schemas.openxmlformats.org/officeDocument/2006/custom-properties" xmlns:vt="http://schemas.openxmlformats.org/officeDocument/2006/docPropsVTypes"/>
</file>