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409575C8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D014E">
        <w:rPr>
          <w:sz w:val="24"/>
          <w:szCs w:val="24"/>
        </w:rPr>
        <w:t>one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777777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</w:t>
      </w:r>
      <w:r w:rsidRPr="007C0D27">
        <w:rPr>
          <w:kern w:val="0"/>
          <w:sz w:val="24"/>
          <w:szCs w:val="24"/>
        </w:rPr>
        <w:lastRenderedPageBreak/>
        <w:t xml:space="preserve">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structured to classify the indeed action of the </w:t>
      </w:r>
      <w:r w:rsidRPr="007C0D27">
        <w:rPr>
          <w:rFonts w:hint="eastAsia"/>
          <w:noProof/>
          <w:sz w:val="24"/>
          <w:szCs w:val="24"/>
        </w:rPr>
        <w:t>se</w:t>
      </w:r>
      <w:r w:rsidRPr="007C0D27">
        <w:rPr>
          <w:noProof/>
          <w:sz w:val="24"/>
          <w:szCs w:val="24"/>
        </w:rPr>
        <w:t>quence.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7777777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716332BC" w:rsidR="006F3039" w:rsidRPr="005356FD" w:rsidRDefault="00CC5FDB" w:rsidP="005356FD">
      <w:pPr>
        <w:spacing w:line="440" w:lineRule="exact"/>
        <w:rPr>
          <w:rFonts w:hint="eastAsia"/>
        </w:rPr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introduce multi-scale graphical convolutional kernels to encode motion variations and input state for extracting spatial graphical feature.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  <w:bookmarkStart w:id="0" w:name="_GoBack"/>
      <w:bookmarkEnd w:id="0"/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skeleton sequence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</w:t>
      </w:r>
      <w:r w:rsidRPr="00887BF7"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E751F1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2.5pt;height:122.1pt" o:ole="">
            <v:imagedata r:id="rId8" o:title=""/>
          </v:shape>
          <o:OLEObject Type="Embed" ProgID="Visio.Drawing.11" ShapeID="_x0000_i1030" DrawAspect="Content" ObjectID="_1615567766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E751F1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Pr="00A11D70">
        <w:rPr>
          <w:noProof/>
          <w:sz w:val="24"/>
          <w:szCs w:val="24"/>
        </w:rPr>
        <w:t>support</w:t>
      </w:r>
      <w:r>
        <w:rPr>
          <w:sz w:val="24"/>
          <w:szCs w:val="24"/>
        </w:rPr>
        <w:t xml:space="preserve"> set</w:t>
      </w:r>
      <w:r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887BF7">
        <w:rPr>
          <w:sz w:val="24"/>
          <w:szCs w:val="24"/>
        </w:rPr>
        <w:t xml:space="preserve"> will be mapped by </w:t>
      </w:r>
      <w:r>
        <w:rPr>
          <w:sz w:val="24"/>
          <w:szCs w:val="24"/>
        </w:rPr>
        <w:t>the</w:t>
      </w:r>
      <w:r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Pr="00887BF7">
        <w:rPr>
          <w:sz w:val="24"/>
          <w:szCs w:val="24"/>
        </w:rPr>
        <w:t xml:space="preserve"> and the prototype of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the mean of the mapped support sample</w:t>
      </w:r>
      <w:r>
        <w:rPr>
          <w:sz w:val="24"/>
          <w:szCs w:val="24"/>
        </w:rPr>
        <w:t>s</w:t>
      </w:r>
      <w:r w:rsidRPr="00887BF7">
        <w:rPr>
          <w:sz w:val="24"/>
          <w:szCs w:val="24"/>
        </w:rPr>
        <w:t xml:space="preserve"> that belong to </w:t>
      </w:r>
      <w:r w:rsidRPr="00887BF7">
        <w:rPr>
          <w:rFonts w:hint="eastAsia"/>
          <w:sz w:val="24"/>
          <w:szCs w:val="24"/>
        </w:rPr>
        <w:t>it</w:t>
      </w:r>
      <w:r w:rsidRPr="00887BF7">
        <w:rPr>
          <w:sz w:val="24"/>
          <w:szCs w:val="24"/>
        </w:rPr>
        <w:t>.</w:t>
      </w:r>
    </w:p>
    <w:p w14:paraId="0DB69767" w14:textId="77777777" w:rsidR="00E751F1" w:rsidRPr="00887BF7" w:rsidRDefault="00E751F1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when feeding an unlabeled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>, the label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E751F1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>
      <w:pPr>
        <w:rPr>
          <w:rFonts w:hint="eastAsia"/>
        </w:rPr>
      </w:pP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between different frames and the distribution of the </w:t>
      </w:r>
      <w:r w:rsidRPr="002D6F0C">
        <w:rPr>
          <w:noProof/>
          <w:sz w:val="24"/>
          <w:szCs w:val="24"/>
        </w:rPr>
        <w:t>join</w:t>
      </w:r>
      <w:r w:rsidR="005142F2" w:rsidRPr="002D6F0C">
        <w:rPr>
          <w:noProof/>
          <w:sz w:val="24"/>
          <w:szCs w:val="24"/>
        </w:rPr>
        <w:t>t</w:t>
      </w:r>
      <w:r w:rsidRPr="002D6F0C">
        <w:rPr>
          <w:noProof/>
          <w:sz w:val="24"/>
          <w:szCs w:val="24"/>
        </w:rPr>
        <w:t>s</w:t>
      </w:r>
      <w:r w:rsidRPr="00887BF7">
        <w:rPr>
          <w:sz w:val="24"/>
          <w:szCs w:val="24"/>
        </w:rPr>
        <w:t xml:space="preserve">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6pt;height:157.75pt" o:ole="">
            <v:imagedata r:id="rId10" o:title=""/>
          </v:shape>
          <o:OLEObject Type="Embed" ProgID="Visio.Drawing.11" ShapeID="_x0000_i1026" DrawAspect="Content" ObjectID="_1615567767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 xml:space="preserve">is </w:t>
      </w:r>
      <w:r w:rsidR="0073590D" w:rsidRPr="002D6F0C">
        <w:rPr>
          <w:noProof/>
          <w:sz w:val="24"/>
          <w:szCs w:val="24"/>
        </w:rPr>
        <w:t>define</w:t>
      </w:r>
      <w:r w:rsidRPr="002D6F0C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2" o:title=""/>
          </v:shape>
          <o:OLEObject Type="Embed" ProgID="Visio.Drawing.11" ShapeID="_x0000_i1027" DrawAspect="Content" ObjectID="_1615567768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150ADF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150AD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150AD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150AD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150ADF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150AD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150AD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4.95pt;height:202.85pt" o:ole="">
            <v:imagedata r:id="rId14" o:title=""/>
          </v:shape>
          <o:OLEObject Type="Embed" ProgID="Visio.Drawing.11" ShapeID="_x0000_i1028" DrawAspect="Content" ObjectID="_1615567769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</w:t>
            </w:r>
            <w:r w:rsidR="00EF6C2A" w:rsidRPr="00887BF7">
              <w:rPr>
                <w:sz w:val="24"/>
                <w:szCs w:val="24"/>
              </w:rPr>
              <w:lastRenderedPageBreak/>
              <w:t xml:space="preserve">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150ADF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150ADF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150ADF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lastRenderedPageBreak/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lastRenderedPageBreak/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</w:t>
      </w:r>
      <w:r w:rsidRPr="0047190A">
        <w:rPr>
          <w:rFonts w:ascii="Helvetica" w:hAnsi="Helvetica" w:hint="eastAsia"/>
          <w:color w:val="000000"/>
          <w:shd w:val="clear" w:color="auto" w:fill="FFFFFF"/>
        </w:rPr>
        <w:lastRenderedPageBreak/>
        <w:t>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8AC25" w14:textId="77777777" w:rsidR="00150ADF" w:rsidRDefault="00150ADF" w:rsidP="004023C3">
      <w:r>
        <w:separator/>
      </w:r>
    </w:p>
  </w:endnote>
  <w:endnote w:type="continuationSeparator" w:id="0">
    <w:p w14:paraId="5E69CB0B" w14:textId="77777777" w:rsidR="00150ADF" w:rsidRDefault="00150ADF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F4424" w14:textId="77777777" w:rsidR="00150ADF" w:rsidRDefault="00150ADF" w:rsidP="004023C3">
      <w:r>
        <w:separator/>
      </w:r>
    </w:p>
  </w:footnote>
  <w:footnote w:type="continuationSeparator" w:id="0">
    <w:p w14:paraId="6C688B5B" w14:textId="77777777" w:rsidR="00150ADF" w:rsidRDefault="00150ADF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5A7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1ED8C-099A-4087-8BC4-65C0FE05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12</Pages>
  <Words>2997</Words>
  <Characters>17084</Characters>
  <Application>Microsoft Office Word</Application>
  <DocSecurity>0</DocSecurity>
  <Lines>142</Lines>
  <Paragraphs>40</Paragraphs>
  <ScaleCrop>false</ScaleCrop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1843</cp:revision>
  <cp:lastPrinted>2019-03-27T06:55:00Z</cp:lastPrinted>
  <dcterms:created xsi:type="dcterms:W3CDTF">2019-03-09T13:40:00Z</dcterms:created>
  <dcterms:modified xsi:type="dcterms:W3CDTF">2019-03-31T12:02:00Z</dcterms:modified>
</cp:coreProperties>
</file>