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SurveilAMR: AI-Enabled Surveillance Intelligence for Global Antimicrobial Resistance Trends</w:t>
      </w:r>
    </w:p>
    <w:p>
      <w:r>
        <w:t>**2026 Vivli AMR Surveillance Data Challenge Submission**</w:t>
      </w:r>
    </w:p>
    <w:p>
      <w:r>
        <w:t>Nana Safo Duker¹, Dr. Agnes Achiamaa Anane², Dr. Marwin Afari²</w:t>
      </w:r>
    </w:p>
    <w:p>
      <w:r>
        <w:t>¹GeneHus, Ghana | ²Ghana Health Service, Ghana</w:t>
      </w:r>
    </w:p>
    <w:p>
      <w:r>
        <w:t>**Repository:** [https://github.com/Nana-Safo-Duker/Vivli-AMR-2026-Data-Challenge-SurveilAMR](https://github.com/Nana-Safo-Duker/Vivli-AMR-2026-Data-Challenge-SurveilAMR)</w:t>
      </w:r>
    </w:p>
    <w:p>
      <w:r>
        <w:t>**Data Request ID:** 00013370 | **DOI:** [https://doi.org/10.25934/PR00013370](https://doi.org/10.25934/PR00013370)</w:t>
      </w:r>
    </w:p>
    <w:p>
      <w:pPr>
        <w:pStyle w:val="Heading1"/>
      </w:pPr>
      <w:r>
        <w:t>Abstract</w:t>
      </w:r>
    </w:p>
    <w:p>
      <w:r>
        <w:t>Antimicrobial resistance (AMR) continues to erode the effectiveness of essential antibiotics, yet industry surveillance data in the Vivli AMR Register are still underused for decision support in low- and middle-income countries (LMICs). **SurveilAMR** delivers a reproducible analytics pipeline across four approved Vivli datasets—Pfizer ATLAS Antibiotics (1,011,168 isolates; 83 countries; 2004–2024), Paratek KEYSTONE/omadacycline surveillance (96,302 isolates; 2015–2025), Johnson &amp; Johnson DREAM MDR-TB (5,928 isolates; 2011–2019), and Venus Remedies GASAR Study III (496 Gram-negative isolates; India, 2022–2023). We quantified spatiotemporal resistance for ESKAPE pathogens, profiled beta-lactamase and carbapenemase markers, assessed bedaquiline MIC distributions in MDR-TB, and summarized omadacycline potency. *Klebsiella pneumoniae* meropenem resistance rose from 4.2% (2007) to 20.7% (2024). African ATLAS isolates (n = 29,387; 12 countries) showed elevated *Acinetobacter baumannii* meropenem resistance (75.9%). DREAM bedaquiline MICs remained low overall (median 0.03 µg/mL), with slightly higher African medians (0.06 µg/mL). GASAR revealed frequent ESBL/MBL phenotypes and NDM/VIM co-carriage. Code, aggregated tables, and figures are openly available for stewardship reuse.</w:t>
      </w:r>
    </w:p>
    <w:p>
      <w:pPr>
        <w:pStyle w:val="Heading1"/>
      </w:pPr>
      <w:r>
        <w:t>Objectives</w:t>
      </w:r>
    </w:p>
    <w:p>
      <w:r>
        <w:t>1. **Country and regional AMR trends** — Compare resistance trajectories across geographic strata to inform empiric therapy and guideline updates.</w:t>
      </w:r>
    </w:p>
    <w:p>
      <w:r>
        <w:t>2. **Pathogen-specific surveillance** — Characterize priority organisms (*E. coli*, *K. pneumoniae*, *P. aeruginosa*, *S. aureus*, *A. baumannii*, *E. faecalis*) against WHO-priority antibiotic classes.</w:t>
      </w:r>
    </w:p>
    <w:p>
      <w:r>
        <w:t>3. **Resistance mechanism profiling** — Map ESBL and carbapenemase gene markers (CTX-M, KPC, NDM, OXA, SHV, TEM) and GASAR gene/phenotype combinations.</w:t>
      </w:r>
    </w:p>
    <w:p>
      <w:r>
        <w:t>4. **Temporal early-warning signals** — Detect accelerating carbapenem and cephalosporin resistance suitable for antimicrobial stewardship program (ASP) alerts.</w:t>
      </w:r>
    </w:p>
    <w:p>
      <w:r>
        <w:t>5. **Cross-dataset stewardship intelligence** — Integrate ATLAS bacterial trends with KEYSTONE (novel tetracycline), DREAM (MDR-TB/bedaquiline), and GASAR (polymyxin/mechanisms) for LMIC-relevant decision support, including Ghana Health Service partners.</w:t>
      </w:r>
    </w:p>
    <w:p>
      <w:pPr>
        <w:pStyle w:val="Heading1"/>
      </w:pPr>
      <w:r>
        <w:t>Methods</w:t>
      </w:r>
    </w:p>
    <w:p>
      <w:pPr>
        <w:pStyle w:val="Heading2"/>
      </w:pPr>
      <w:r>
        <w:t>Data sources</w:t>
      </w:r>
    </w:p>
    <w:p>
      <w:r>
        <w:t>Primary analysis used **ATLAS_Antibiotics** (Pfizer Inc.): isolate metadata (species, country, age group, specimen source, year, study arm) with MIC values and Susceptible/Intermediate/Resistant labels for up to 47 antibiotics and 23 resistance gene markers. Complementary datasets from Data Request 00013370 included **KEYSTONE** (Paratek; omadacycline and comparator MICs), **DREAM** (Johnson &amp; Johnson; MDR-TB bedaquiline broth/MGIT MICs and companion drugs), and **GASAR Study III** (Venus Remedies; Gram-negative isolates with phenotypic/genotypic combinations and polymyxin B MICs). Raw industry files are not redistributed; processed aggregates are published in the repository: [https://github.com/Nana-Safo-Duker/Vivli-AMR-2026-Data-Challenge-SurveilAMR](https://github.com/Nana-Safo-Duker/Vivli-AMR-2026-Data-Challenge-SurveilAMR).</w:t>
      </w:r>
    </w:p>
    <w:p>
      <w:pPr>
        <w:pStyle w:val="Heading2"/>
      </w:pPr>
      <w:r>
        <w:t>Preprocessing and quality control</w:t>
      </w:r>
    </w:p>
    <w:p>
      <w:r>
        <w:t>Susceptibility labels were standardized to S/I/R. ATLAS analyses required minimum stratum sizes (n ≥ 20 year–species–drug; n ≥ 50 country–species). MIC strings containing inequality symbols were parsed to numeric values for DREAM and KEYSTONE. GASAR phenotypes were bucketed into Non-ESBL/Non-MBL, ESBL, MBL, ESBL+MBL, Carbapenemase, and Other. DREAM MDR-TB subtypes were normalized to MDR, Pre-XDR, XDR, RR/RIF-R, and Other.</w:t>
      </w:r>
    </w:p>
    <w:p>
      <w:pPr>
        <w:pStyle w:val="Heading2"/>
      </w:pPr>
      <w:r>
        <w:t>Analytical pipeline</w:t>
      </w:r>
    </w:p>
    <w:p>
      <w:r>
        <w:t>Analyses were implemented in **Python 3.10+** (Pandas, NumPy, SciPy, Matplotlib, Seaborn). Modular scripts perform chunked ATLAS EDA, yearly/country resistance estimation, gene prevalence, MDR proxy scoring (≥2 resistant classes), and supplementary-dataset summaries (`scripts/run_analysis.py`, `scripts/analyze_supplementary.py`, `scripts/generate_figures.py`). Methods follow reproducible practices from the 2025 Vivli Grand Prize VIT repository, adapted for bacterial/TB stewardship use cases.</w:t>
      </w:r>
    </w:p>
    <w:p>
      <w:pPr>
        <w:pStyle w:val="Heading2"/>
      </w:pPr>
      <w:r>
        <w:t>Statistical considerations</w:t>
      </w:r>
    </w:p>
    <w:p>
      <w:r>
        <w:t>Resistance proportions are reported with isolate denominators. Temporal patterns are primarily descriptive. Limitations include surveillance sampling bias (ATLAS/KEYSTONE over-represent North America and Europe), incomplete gene testing coverage in ATLAS, heterogeneous DREAM subtype labeling, and absence of patient-level treatment outcomes.</w:t>
      </w:r>
    </w:p>
    <w:p>
      <w:pPr>
        <w:pStyle w:val="Heading1"/>
      </w:pPr>
      <w:r>
        <w:t>Results</w:t>
      </w:r>
    </w:p>
    <w:p>
      <w:pPr>
        <w:pStyle w:val="Heading2"/>
      </w:pPr>
      <w:r>
        <w:t>Dataset overview (multi-source)</w:t>
      </w:r>
    </w:p>
    <w:p>
      <w:r>
        <w:t>**Table 1. SurveilAMR Vivli Datasets Analyzed**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Contributor</w:t>
            </w:r>
          </w:p>
        </w:tc>
        <w:tc>
          <w:tcPr>
            <w:tcW w:type="dxa" w:w="1728"/>
          </w:tcPr>
          <w:p>
            <w:r>
              <w:t>Isolates</w:t>
            </w:r>
          </w:p>
        </w:tc>
        <w:tc>
          <w:tcPr>
            <w:tcW w:type="dxa" w:w="1728"/>
          </w:tcPr>
          <w:p>
            <w:r>
              <w:t>Years</w:t>
            </w:r>
          </w:p>
        </w:tc>
        <w:tc>
          <w:tcPr>
            <w:tcW w:type="dxa" w:w="1728"/>
          </w:tcPr>
          <w:p>
            <w:r>
              <w:t>Geography</w:t>
            </w:r>
          </w:p>
        </w:tc>
      </w:tr>
      <w:tr>
        <w:tc>
          <w:tcPr>
            <w:tcW w:type="dxa" w:w="1728"/>
          </w:tcPr>
          <w:p>
            <w:r>
              <w:t>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</w:tr>
      <w:tr>
        <w:tc>
          <w:tcPr>
            <w:tcW w:type="dxa" w:w="1728"/>
          </w:tcPr>
          <w:p>
            <w:r>
              <w:t>ATLAS Antibiotics</w:t>
            </w:r>
          </w:p>
        </w:tc>
        <w:tc>
          <w:tcPr>
            <w:tcW w:type="dxa" w:w="1728"/>
          </w:tcPr>
          <w:p>
            <w:r>
              <w:t>Pfizer</w:t>
            </w:r>
          </w:p>
        </w:tc>
        <w:tc>
          <w:tcPr>
            <w:tcW w:type="dxa" w:w="1728"/>
          </w:tcPr>
          <w:p>
            <w:r>
              <w:t>1,011,168</w:t>
            </w:r>
          </w:p>
        </w:tc>
        <w:tc>
          <w:tcPr>
            <w:tcW w:type="dxa" w:w="1728"/>
          </w:tcPr>
          <w:p>
            <w:r>
              <w:t>2004–2024</w:t>
            </w:r>
          </w:p>
        </w:tc>
        <w:tc>
          <w:tcPr>
            <w:tcW w:type="dxa" w:w="1728"/>
          </w:tcPr>
          <w:p>
            <w:r>
              <w:t>83 countries</w:t>
            </w:r>
          </w:p>
        </w:tc>
      </w:tr>
      <w:tr>
        <w:tc>
          <w:tcPr>
            <w:tcW w:type="dxa" w:w="1728"/>
          </w:tcPr>
          <w:p>
            <w:r>
              <w:t>KEYSTONE</w:t>
            </w:r>
          </w:p>
        </w:tc>
        <w:tc>
          <w:tcPr>
            <w:tcW w:type="dxa" w:w="1728"/>
          </w:tcPr>
          <w:p>
            <w:r>
              <w:t>Paratek</w:t>
            </w:r>
          </w:p>
        </w:tc>
        <w:tc>
          <w:tcPr>
            <w:tcW w:type="dxa" w:w="1728"/>
          </w:tcPr>
          <w:p>
            <w:r>
              <w:t>96,302</w:t>
            </w:r>
          </w:p>
        </w:tc>
        <w:tc>
          <w:tcPr>
            <w:tcW w:type="dxa" w:w="1728"/>
          </w:tcPr>
          <w:p>
            <w:r>
              <w:t>2015–2025</w:t>
            </w:r>
          </w:p>
        </w:tc>
        <w:tc>
          <w:tcPr>
            <w:tcW w:type="dxa" w:w="1728"/>
          </w:tcPr>
          <w:p>
            <w:r>
              <w:t>20 countries (NA/EU)</w:t>
            </w:r>
          </w:p>
        </w:tc>
      </w:tr>
      <w:tr>
        <w:tc>
          <w:tcPr>
            <w:tcW w:type="dxa" w:w="1728"/>
          </w:tcPr>
          <w:p>
            <w:r>
              <w:t>DREAM (MDR-TB)</w:t>
            </w:r>
          </w:p>
        </w:tc>
        <w:tc>
          <w:tcPr>
            <w:tcW w:type="dxa" w:w="1728"/>
          </w:tcPr>
          <w:p>
            <w:r>
              <w:t>Johnson &amp; Johnson</w:t>
            </w:r>
          </w:p>
        </w:tc>
        <w:tc>
          <w:tcPr>
            <w:tcW w:type="dxa" w:w="1728"/>
          </w:tcPr>
          <w:p>
            <w:r>
              <w:t>5,928</w:t>
            </w:r>
          </w:p>
        </w:tc>
        <w:tc>
          <w:tcPr>
            <w:tcW w:type="dxa" w:w="1728"/>
          </w:tcPr>
          <w:p>
            <w:r>
              <w:t>2011–2019</w:t>
            </w:r>
          </w:p>
        </w:tc>
        <w:tc>
          <w:tcPr>
            <w:tcW w:type="dxa" w:w="1728"/>
          </w:tcPr>
          <w:p>
            <w:r>
              <w:t>11 countries</w:t>
            </w:r>
          </w:p>
        </w:tc>
      </w:tr>
      <w:tr>
        <w:tc>
          <w:tcPr>
            <w:tcW w:type="dxa" w:w="1728"/>
          </w:tcPr>
          <w:p>
            <w:r>
              <w:t>GASAR Study III</w:t>
            </w:r>
          </w:p>
        </w:tc>
        <w:tc>
          <w:tcPr>
            <w:tcW w:type="dxa" w:w="1728"/>
          </w:tcPr>
          <w:p>
            <w:r>
              <w:t>Venus Remedies</w:t>
            </w:r>
          </w:p>
        </w:tc>
        <w:tc>
          <w:tcPr>
            <w:tcW w:type="dxa" w:w="1728"/>
          </w:tcPr>
          <w:p>
            <w:r>
              <w:t>496</w:t>
            </w:r>
          </w:p>
        </w:tc>
        <w:tc>
          <w:tcPr>
            <w:tcW w:type="dxa" w:w="1728"/>
          </w:tcPr>
          <w:p>
            <w:r>
              <w:t>2022–2023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</w:tr>
    </w:tbl>
    <w:p>
      <w:r>
        <w:t>ATLAS top contributors were the United States (165,880), Spain (65,418), and France (62,065). Dominant species were *S. aureus* (172,883), *E. coli* (125,878), *P. aeruginosa* (115,807), and *K. pneumoniae* (106,946). African ATLAS representation totaled 29,387 isolates (South Africa 14,958; Morocco 5,310; Nigeria 4,824; Ghana 210).</w:t>
      </w:r>
    </w:p>
    <w:p>
      <w:r>
        <w:t>**Figure 1.** Top 15 pathogens in ATLAS Antibiotics surveillance (2004–2024).</w:t>
      </w:r>
    </w:p>
    <w:p>
      <w:pPr>
        <w:pStyle w:val="Heading2"/>
      </w:pPr>
      <w:r>
        <w:t>Temporal resistance trends (ATLAS)</w:t>
      </w:r>
    </w:p>
    <w:p>
      <w:r>
        <w:t>*K. pneumoniae* meropenem resistance increased from **4.2% (2007)** to **20.7% (2024)**. *E. coli* meropenem resistance rose from &lt;1% historically to **3.2% (2024)**. *A. baumannii* meropenem resistance remained **65–71%**. *P. aeruginosa* stabilized near 18–22%. *S. aureus* oxacillin resistance declined from ~60% (2012–2017) to **25.7% (2024)**.</w:t>
      </w:r>
    </w:p>
    <w:p>
      <w:r>
        <w:t>**Figure 2.** Year-over-year resistance for priority antibiotic–pathogen pairs.</w:t>
      </w:r>
    </w:p>
    <w:p>
      <w:r>
        <w:t>**Table 2. Selected Resistance Rates — Global vs African ATLAS Subset**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Pathogen</w:t>
            </w:r>
          </w:p>
        </w:tc>
        <w:tc>
          <w:tcPr>
            <w:tcW w:type="dxa" w:w="2160"/>
          </w:tcPr>
          <w:p>
            <w:r>
              <w:t>Antibiotic</w:t>
            </w:r>
          </w:p>
        </w:tc>
        <w:tc>
          <w:tcPr>
            <w:tcW w:type="dxa" w:w="2160"/>
          </w:tcPr>
          <w:p>
            <w:r>
              <w:t>Global 2024</w:t>
            </w:r>
          </w:p>
        </w:tc>
        <w:tc>
          <w:tcPr>
            <w:tcW w:type="dxa" w:w="2160"/>
          </w:tcPr>
          <w:p>
            <w:r>
              <w:t>Africa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*K. pneumoniae*</w:t>
            </w:r>
          </w:p>
        </w:tc>
        <w:tc>
          <w:tcPr>
            <w:tcW w:type="dxa" w:w="2160"/>
          </w:tcPr>
          <w:p>
            <w:r>
              <w:t>Meropenem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12.8% (n=4,131)</w:t>
            </w:r>
          </w:p>
        </w:tc>
      </w:tr>
      <w:tr>
        <w:tc>
          <w:tcPr>
            <w:tcW w:type="dxa" w:w="2160"/>
          </w:tcPr>
          <w:p>
            <w:r>
              <w:t>*E. coli*</w:t>
            </w:r>
          </w:p>
        </w:tc>
        <w:tc>
          <w:tcPr>
            <w:tcW w:type="dxa" w:w="2160"/>
          </w:tcPr>
          <w:p>
            <w:r>
              <w:t>Meropenem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1.4% (n=4,469)</w:t>
            </w:r>
          </w:p>
        </w:tc>
      </w:tr>
      <w:tr>
        <w:tc>
          <w:tcPr>
            <w:tcW w:type="dxa" w:w="2160"/>
          </w:tcPr>
          <w:p>
            <w:r>
              <w:t>*P. aeruginosa*</w:t>
            </w:r>
          </w:p>
        </w:tc>
        <w:tc>
          <w:tcPr>
            <w:tcW w:type="dxa" w:w="2160"/>
          </w:tcPr>
          <w:p>
            <w:r>
              <w:t>Meropenem</w:t>
            </w:r>
          </w:p>
        </w:tc>
        <w:tc>
          <w:tcPr>
            <w:tcW w:type="dxa" w:w="2160"/>
          </w:tcPr>
          <w:p>
            <w:r>
              <w:t>18.0%</w:t>
            </w:r>
          </w:p>
        </w:tc>
        <w:tc>
          <w:tcPr>
            <w:tcW w:type="dxa" w:w="2160"/>
          </w:tcPr>
          <w:p>
            <w:r>
              <w:t>20.1% (n=3,547)</w:t>
            </w:r>
          </w:p>
        </w:tc>
      </w:tr>
      <w:tr>
        <w:tc>
          <w:tcPr>
            <w:tcW w:type="dxa" w:w="2160"/>
          </w:tcPr>
          <w:p>
            <w:r>
              <w:t>*A. baumannii*</w:t>
            </w:r>
          </w:p>
        </w:tc>
        <w:tc>
          <w:tcPr>
            <w:tcW w:type="dxa" w:w="2160"/>
          </w:tcPr>
          <w:p>
            <w:r>
              <w:t>Meropenem</w:t>
            </w:r>
          </w:p>
        </w:tc>
        <w:tc>
          <w:tcPr>
            <w:tcW w:type="dxa" w:w="2160"/>
          </w:tcPr>
          <w:p>
            <w:r>
              <w:t>68.5%</w:t>
            </w:r>
          </w:p>
        </w:tc>
        <w:tc>
          <w:tcPr>
            <w:tcW w:type="dxa" w:w="2160"/>
          </w:tcPr>
          <w:p>
            <w:r>
              <w:t>75.9% (n=1,496)</w:t>
            </w:r>
          </w:p>
        </w:tc>
      </w:tr>
      <w:tr>
        <w:tc>
          <w:tcPr>
            <w:tcW w:type="dxa" w:w="2160"/>
          </w:tcPr>
          <w:p>
            <w:r>
              <w:t>*S. aureus*</w:t>
            </w:r>
          </w:p>
        </w:tc>
        <w:tc>
          <w:tcPr>
            <w:tcW w:type="dxa" w:w="2160"/>
          </w:tcPr>
          <w:p>
            <w:r>
              <w:t>Oxacillin</w:t>
            </w:r>
          </w:p>
        </w:tc>
        <w:tc>
          <w:tcPr>
            <w:tcW w:type="dxa" w:w="2160"/>
          </w:tcPr>
          <w:p>
            <w:r>
              <w:t>25.7%</w:t>
            </w:r>
          </w:p>
        </w:tc>
        <w:tc>
          <w:tcPr>
            <w:tcW w:type="dxa" w:w="2160"/>
          </w:tcPr>
          <w:p>
            <w:r>
              <w:t>31.0% (n=3,657)</w:t>
            </w:r>
          </w:p>
        </w:tc>
      </w:tr>
    </w:tbl>
    <w:p>
      <w:pPr>
        <w:pStyle w:val="Heading2"/>
      </w:pPr>
      <w:r>
        <w:t>Geographic and mechanism patterns</w:t>
      </w:r>
    </w:p>
    <w:p>
      <w:r>
        <w:t>Country heatmaps highlighted *A. baumannii* meropenem non-susceptibility hotspots (Ukraine 93.8%, Jordan 93.0%, Greece 91.5%) and *K. pneumoniae* carbapenem resistance (Ukraine 60.9%, India 53.6%, Greece 50.4%). ATLAS gene detection was highest for CTX-M-1 (3.32%), TEM (2.88%), and SHV (2.76%); KPC/NDM/OXA were each ~0.5%. MDR proxy rates reached 29.1% (*A. baumannii*), 9.7% (*K. pneumoniae*), and 0.9% (*E. coli*).</w:t>
      </w:r>
    </w:p>
    <w:p>
      <w:r>
        <w:t>**Figure 3.** Country-level resistance heatmap for priority pathogens.</w:t>
      </w:r>
    </w:p>
    <w:p>
      <w:r>
        <w:t>**Figure 4.** Beta-lactamase and carbapenemase gene detection (ATLAS).</w:t>
      </w:r>
    </w:p>
    <w:p>
      <w:pPr>
        <w:pStyle w:val="Heading2"/>
      </w:pPr>
      <w:r>
        <w:t>KEYSTONE, DREAM, and GASAR findings</w:t>
      </w:r>
    </w:p>
    <w:p>
      <w:r>
        <w:t>In KEYSTONE, omadacycline retained potent activity against *S. aureus* (MIC50/90 0.12/0.25 µg/mL) and *S. pneumoniae* (0.06/0.12), with higher MICs for *K. pneumoniae* (2.0/4.0). DREAM bedaquiline broth MICs were low overall (median 0.03 µg/mL; &gt;0.25 µg/mL in 0.6% of isolates); African isolates (South Africa, n=978) had a higher median (0.06 µg/mL). GASAR (India) showed Non-ESBL/Non-MBL (n=200), ESBL (99), and MBL (77) as leading phenotypes; VIM-1+NDM-1 co-detection was frequent (n=41), and polymyxin B MIC ≥4 µg/mL occurred in 3.0% of isolates.</w:t>
      </w:r>
    </w:p>
    <w:p>
      <w:r>
        <w:t>**Figure 5.** DREAM bedaquiline MIC distributions by continent and year.</w:t>
      </w:r>
    </w:p>
    <w:p>
      <w:r>
        <w:t>**Figure 6.** GASAR phenotypic classes and top gene combinations (India).</w:t>
      </w:r>
    </w:p>
    <w:p>
      <w:pPr>
        <w:pStyle w:val="Heading1"/>
      </w:pPr>
      <w:r>
        <w:t>Impact of the Work</w:t>
      </w:r>
    </w:p>
    <w:p>
      <w:r>
        <w:t>SurveilAMR converts restricted Vivli surveillance assets into **open, reproducible intelligence** for Ghana Health Service stewardship and the 2026 Vivli challenge goals.</w:t>
      </w:r>
    </w:p>
    <w:p>
      <w:r>
        <w:t>**Clinical decision support.** Country- and pathogen-specific resistance views support empiric selection when cultures are delayed—critical where microbiology capacity is limited.</w:t>
      </w:r>
    </w:p>
    <w:p>
      <w:r>
        <w:t>**Antimicrobial stewardship.** Rising *K. pneumoniae* carbapenem resistance and African *A. baumannii* burden provide quantifiable ASP triggers. KEYSTONE MIC summaries inform positioning of newer agents; DREAM BDQ distributions support MDR-TB program monitoring; GASAR mechanism maps highlight NDM/VIM co-carriage risk.</w:t>
      </w:r>
    </w:p>
    <w:p>
      <w:r>
        <w:t>**Public health policy.** Temporal early-warning metrics align with WHO GLASS-style reporting and national guideline revision.</w:t>
      </w:r>
    </w:p>
    <w:p>
      <w:r>
        <w:t>**Research infrastructure.** The repository ([https://github.com/Nana-Safo-Duker/Vivli-AMR-2026-Data-Challenge-SurveilAMR](https://github.com/Nana-Safo-Duker/Vivli-AMR-2026-Data-Challenge-SurveilAMR)) provides chunked-analysis templates, processed CSVs, and figure scripts that lower barriers for Vivli data reuse, following the reproducibility standard of the 2025 VIT Grand Prize winners.</w:t>
      </w:r>
    </w:p>
    <w:p>
      <w:r>
        <w:t>Future work will add interactive dashboards and time-series forecasting for African sentinel sites, including Ghana.</w:t>
      </w:r>
    </w:p>
    <w:p>
      <w:pPr>
        <w:pStyle w:val="Heading1"/>
      </w:pPr>
      <w:r>
        <w:t>References</w:t>
      </w:r>
    </w:p>
    <w:p>
      <w:r>
        <w:t>1. Naghavi M, Vollset SE, Ikuta KS, et al. Global burden of bacterial antimicrobial resistance 1990–2021: a systematic analysis with forecasts to 2050. *Lancet*. 2024;404:1199–1226.</w:t>
      </w:r>
    </w:p>
    <w:p>
      <w:r>
        <w:t>2. World Health Organization. WHO bacterial priority pathogens list, 2024. Geneva: WHO; 2024.</w:t>
      </w:r>
    </w:p>
    <w:p>
      <w:r>
        <w:t>3. Vivli AMR Register. 2026 Vivli AMR Surveillance Data Challenge. Available at: https://amr.vivli.org/tag/datachallenge/</w:t>
      </w:r>
    </w:p>
    <w:p>
      <w:r>
        <w:t>4. Haryini SS, Karve S, Priya Doss CG, et al. Temporal links between ambient air pollutants and antifungal drug resistance in *Candida glabrata*. *Wellcome Open Res*. 2026. Code: https://github.com/Belindaharyini/Vivli-AMR-data-challenge-2025-VIT-</w:t>
      </w:r>
    </w:p>
    <w:p>
      <w:r>
        <w:t>5. Pfizer Inc. ATLAS Global Antimicrobial Surveillance Program. Data via Vivli AMR Register (ATLAS_Antibiotics).</w:t>
      </w:r>
    </w:p>
    <w:p>
      <w:r>
        <w:t>6. SurveilAMR Team. SurveilAMR: Vivli AMR 2026 Data Challenge Repository. 2026. https://github.com/Nana-Safo-Duker/Vivli-AMR-2026-Data-Challenge-SurveilAMR</w:t>
      </w:r>
    </w:p>
    <w:p>
      <w:r>
        <w:t>7. Prestinaci F, Pezzotti P, Pantosti A. Antimicrobial resistance: a global multifaceted phenomenon. *Pathog Glob Health*. 2015;109(7):309–318.</w:t>
      </w:r>
    </w:p>
    <w:p>
      <w:r>
        <w:t>8. Tadesse BT, Ashley EA, Ongarello S, et al. Antimicrobial resistance in Africa: a systematic review. *BMC Infect Dis*. 2017;17(1):616.</w:t>
      </w:r>
    </w:p>
    <w:p>
      <w:r>
        <w:t>9. World Health Organization. WHO consolidated guidelines on tuberculosis. Module 4: treatment — drug-resistant tuberculosis treatment. Geneva: WHO; 2022.</w:t>
      </w:r>
    </w:p>
    <w:p>
      <w:r>
        <w:t>10. Johnson &amp; Johnson; Paratek Pharmaceuticals; Pfizer Inc.; Venus Remedies Limited. Vivli AMR Register industry surveillance datasets. Accessed via https://amr.vivli.org (Data Request 00013370).</w:t>
      </w:r>
    </w:p>
    <w:p>
      <w:r>
        <w:t>**Acknowledgement:** This publication is based on research using data from Johnson &amp; Johnson, Paratek, Pfizer, Venus Remedies Limited, obtained through https://amr.vivli.org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