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SurveilAMR: AI-Enabled Surveillance Intelligence for Global Antimicrobial Resistance Trends</w:t>
      </w:r>
    </w:p>
    <w:p>
      <w:pPr>
        <w:spacing w:after="80"/>
      </w:pPr>
      <w:r>
        <w:t>**2026 Vivli AMR Surveillance Data Challenge Submission**</w:t>
      </w:r>
    </w:p>
    <w:p>
      <w:pPr>
        <w:spacing w:after="80"/>
      </w:pPr>
      <w:r>
        <w:t>Nana Safo Duker¹, Dr. Agnes Achiamaa Anane², Dr. Marwin Afari² | ¹GeneHus, Ghana | ²Ghana Health Service, Ghana</w:t>
      </w:r>
    </w:p>
    <w:p>
      <w:pPr>
        <w:spacing w:after="80"/>
      </w:pPr>
      <w:r>
        <w:t>**Repository:** [https://github.com/Nana-Safo-Duker/Vivli-AMR-2026-Data-Challenge-SurveilAMR](https://github.com/Nana-Safo-Duker/Vivli-AMR-2026-Data-Challenge-SurveilAMR) | **Data Request ID:** 00013370 | **DOI:** [10.25934/PR00013370](https://doi.org/10.25934/PR00013370)</w:t>
      </w:r>
    </w:p>
    <w:p>
      <w:pPr>
        <w:pStyle w:val="Heading1"/>
      </w:pPr>
      <w:r>
        <w:t>Abstract</w:t>
      </w:r>
    </w:p>
    <w:p>
      <w:pPr>
        <w:spacing w:after="80"/>
      </w:pPr>
      <w:r>
        <w:t>Industry surveillance data in the Vivli AMR Register remain underused for LMIC decision support. **SurveilAMR** provides a reproducible pipeline across four approved datasets—Pfizer ATLAS Antibiotics (1,011,168 isolates; 83 countries; 2004–2024), Paratek KEYSTONE (96,302; 2015–2025), Johnson &amp; Johnson DREAM MDR-TB (5,928; 2011–2019), and Venus Remedies GASAR III (496; India, 2022–2023). We quantified ESKAPE spatiotemporal resistance, beta-lactamase/carbapenemase markers, bedaquiline MICs, and omadacycline potency. *K. pneumoniae* meropenem resistance rose from 4.2% (2007) to 20.7% (2024). African ATLAS isolates (n = 29,387) showed elevated *A. baumannii* meropenem resistance (75.9%). DREAM bedaquiline MICs remained low (median 0.03 µg/mL; Africa 0.06). GASAR revealed ESBL/MBL phenotypes and NDM/VIM co-carriage. Code, tables, and figures are openly available.</w:t>
      </w:r>
    </w:p>
    <w:p>
      <w:pPr>
        <w:pStyle w:val="Heading1"/>
      </w:pPr>
      <w:r>
        <w:t>Objectives</w:t>
      </w:r>
    </w:p>
    <w:p>
      <w:pPr>
        <w:spacing w:after="80"/>
      </w:pPr>
      <w:r>
        <w:t>1. Quantify country/regional AMR trends for empiric therapy and guideline updates.</w:t>
      </w:r>
    </w:p>
    <w:p>
      <w:pPr>
        <w:spacing w:after="80"/>
      </w:pPr>
      <w:r>
        <w:t>2. Characterize ESKAPE and priority Gram-negative pathogens against WHO-priority antibiotic classes.</w:t>
      </w:r>
    </w:p>
    <w:p>
      <w:pPr>
        <w:spacing w:after="80"/>
      </w:pPr>
      <w:r>
        <w:t>3. Profile resistance mechanisms (CTX-M, KPC, NDM, OXA, SHV, TEM; GASAR gene/phenotype combinations).</w:t>
      </w:r>
    </w:p>
    <w:p>
      <w:pPr>
        <w:spacing w:after="80"/>
      </w:pPr>
      <w:r>
        <w:t>4. Detect temporal early-warning signals for antimicrobial stewardship program (ASP) alerts.</w:t>
      </w:r>
    </w:p>
    <w:p>
      <w:pPr>
        <w:spacing w:after="80"/>
      </w:pPr>
      <w:r>
        <w:t>5. Integrate ATLAS, KEYSTONE, DREAM, and GASAR for LMIC stewardship, including Ghana Health Service partners.</w:t>
      </w:r>
    </w:p>
    <w:p>
      <w:pPr>
        <w:pStyle w:val="Heading1"/>
      </w:pPr>
      <w:r>
        <w:t>Methods</w:t>
      </w:r>
    </w:p>
    <w:p>
      <w:pPr>
        <w:spacing w:after="80"/>
      </w:pPr>
      <w:r>
        <w:t>**Data sources.** ATLAS_Antibiotics (Pfizer): metadata, MICs, S/I/R labels, and 23 gene markers. KEYSTONE (Paratek): omadacycline MICs. DREAM (J&amp;J): MDR-TB bedaquiline MICs. GASAR III (Venus Remedies): Gram-negative phenotypic/genotypic combinations and polymyxin B MICs. Aggregates: [repository link](https://github.com/Nana-Safo-Duker/Vivli-AMR-2026-Data-Challenge-SurveilAMR).</w:t>
      </w:r>
    </w:p>
    <w:p>
      <w:pPr>
        <w:spacing w:after="80"/>
      </w:pPr>
      <w:r>
        <w:t>**Preprocessing.** Standardized S/I/R labels; minimum ATLAS stratum sizes (n ≥ 20 year–species–drug; n ≥ 50 country–species); parsed MIC inequalities; normalized DREAM TB subtypes and GASAR phenotype buckets.</w:t>
      </w:r>
    </w:p>
    <w:p>
      <w:pPr>
        <w:spacing w:after="80"/>
      </w:pPr>
      <w:r>
        <w:t>**Pipeline.** Python 3.10+ (Pandas, NumPy, SciPy, Matplotlib, Seaborn): chunked ATLAS EDA, resistance estimation, gene prevalence, MDR proxy (≥2 resistant classes), and supplementary summaries (`scripts/run_analysis.py`, `scripts/analyze_supplementary.py`, `scripts/generate_figures.py`). Methods follow 2025 Vivli VIT Grand Prize reproducibility practices.</w:t>
      </w:r>
    </w:p>
    <w:p>
      <w:pPr>
        <w:spacing w:after="80"/>
      </w:pPr>
      <w:r>
        <w:t>**Limitations.** Surveillance sampling bias (NA/EU over-representation), incomplete ATLAS gene testing, heterogeneous DREAM subtypes, no patient-level outcomes.</w:t>
      </w:r>
    </w:p>
    <w:p>
      <w:pPr>
        <w:pStyle w:val="Heading1"/>
      </w:pPr>
      <w:r>
        <w:t>Results</w:t>
      </w:r>
    </w:p>
    <w:p>
      <w:pPr>
        <w:spacing w:after="80"/>
      </w:pPr>
      <w:r>
        <w:t>**Table 1. SurveilAMR Vivli Datasets Analyzed**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sz w:val="18"/>
              </w:rPr>
              <w:t>Dataset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Contributor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Isolates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Years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Geography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-------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-----------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ATLAS Antibiotics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Pfizer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1,011,168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2004–2024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83 countries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KEYSTONE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Paratek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96,302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2015–2025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 countries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DREAM (MDR-TB)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Johnson &amp; Johnson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5,928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2011–2019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11 countries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GASAR Study III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Venus Remedies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496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2022–2023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India</w:t>
            </w:r>
          </w:p>
        </w:tc>
      </w:tr>
    </w:tbl>
    <w:p>
      <w:pPr>
        <w:spacing w:after="80"/>
      </w:pPr>
      <w:r>
        <w:t>ATLAS dominant species: *S. aureus* (172,883), *E. coli* (125,878), *P. aeruginosa* (115,807), *K. pneumoniae* (106,946). African ATLAS: 29,387 isolates (Ghana 210).</w:t>
      </w:r>
    </w:p>
    <w:p>
      <w:r>
        <w:drawing>
          <wp:inline xmlns:a="http://schemas.openxmlformats.org/drawingml/2006/main" xmlns:pic="http://schemas.openxmlformats.org/drawingml/2006/picture">
            <wp:extent cx="384048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pecie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Top 15 pathogens</w:t>
      </w:r>
    </w:p>
    <w:p>
      <w:pPr>
        <w:spacing w:after="80"/>
      </w:pPr>
      <w:r>
        <w:t>**Figure 1.** Top 15 pathogens in ATLAS Antibiotics surveillance (2004–2024).</w:t>
      </w:r>
    </w:p>
    <w:p>
      <w:pPr>
        <w:spacing w:after="80"/>
      </w:pPr>
      <w:r>
        <w:t>*K. pneumoniae* meropenem resistance increased from **4.2% (2007)** to **20.7% (2024)**; *E. coli* to **3.2% (2024)**; *A. baumannii* remained **65–71%**; *S. aureus* oxacillin resistance declined to **25.7% (2024)**.</w:t>
      </w:r>
    </w:p>
    <w:p>
      <w:r>
        <w:drawing>
          <wp:inline xmlns:a="http://schemas.openxmlformats.org/drawingml/2006/main" xmlns:pic="http://schemas.openxmlformats.org/drawingml/2006/picture">
            <wp:extent cx="384048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sistance_tren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ESKAPE resistance trends</w:t>
      </w:r>
    </w:p>
    <w:p>
      <w:pPr>
        <w:spacing w:after="80"/>
      </w:pPr>
      <w:r>
        <w:t>**Figure 2.** Year-over-year resistance for priority antibiotic–pathogen pairs.</w:t>
      </w:r>
    </w:p>
    <w:p>
      <w:pPr>
        <w:spacing w:after="80"/>
      </w:pPr>
      <w:r>
        <w:t>**Table 2. Selected Resistance Rates — Global vs African ATLAS (2024)**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sz w:val="18"/>
              </w:rPr>
              <w:t>Pathogen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Antibiotic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Global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Africa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------------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--------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*K. pneumoniae*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Meropenem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20.7%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12.8%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*E. coli*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Meropenem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3.2%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1.4%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*A. baumannii*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Meropenem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68.5%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75.9%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*S. aureus*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Oxacillin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25.7%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31.0%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africa_vs_glob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Global vs Africa resistance comparison</w:t>
      </w:r>
    </w:p>
    <w:p>
      <w:pPr>
        <w:spacing w:after="80"/>
      </w:pPr>
      <w:r>
        <w:t>**Figure 3.** Primary-antibiotic resistance: global latest year vs African ATLAS subset.</w:t>
      </w:r>
    </w:p>
    <w:p>
      <w:pPr>
        <w:spacing w:after="80"/>
      </w:pPr>
      <w:r>
        <w:t>Hotspots included *A. baumannii* meropenem non-susceptibility (Ukraine 93.8%, Jordan 93.0%) and *K. pneumoniae* carbapenem resistance (Ukraine 60.9%, India 53.6%). Top ATLAS genes: CTX-M-1 (3.32%), TEM (2.88%), SHV (2.76%).</w:t>
      </w:r>
    </w:p>
    <w:p>
      <w:r>
        <w:drawing>
          <wp:inline xmlns:a="http://schemas.openxmlformats.org/drawingml/2006/main" xmlns:pic="http://schemas.openxmlformats.org/drawingml/2006/picture">
            <wp:extent cx="3840480" cy="182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gene_preval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Beta-lactamase gene prevalence</w:t>
      </w:r>
    </w:p>
    <w:p>
      <w:pPr>
        <w:spacing w:after="80"/>
      </w:pPr>
      <w:r>
        <w:t>**Figure 4.** Beta-lactamase and carbapenemase gene detection (ATLAS).</w:t>
      </w:r>
    </w:p>
    <w:p>
      <w:pPr>
        <w:spacing w:after="80"/>
      </w:pPr>
      <w:r>
        <w:t>KEYSTONE omadacycline retained potency against *S. aureus* (MIC90 0.25 µg/mL) and *S. pneumoniae* (0.12); DREAM bedaquiline median 0.03 µg/mL (Africa 0.06); GASAR showed ESBL/MBL phenotypes and VIM-1+NDM-1 co-detection (n=41).</w:t>
      </w:r>
    </w:p>
    <w:p>
      <w:r>
        <w:drawing>
          <wp:inline xmlns:a="http://schemas.openxmlformats.org/drawingml/2006/main" xmlns:pic="http://schemas.openxmlformats.org/drawingml/2006/picture">
            <wp:extent cx="3840480" cy="1828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keystone_omadacyc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KEYSTONE omadacycline MICs</w:t>
      </w:r>
    </w:p>
    <w:p>
      <w:pPr>
        <w:spacing w:after="80"/>
      </w:pPr>
      <w:r>
        <w:t>**Figure 5.** KEYSTONE omadacycline MIC90 by pathogen and MIC50 trends.</w:t>
      </w:r>
    </w:p>
    <w:p>
      <w:r>
        <w:drawing>
          <wp:inline xmlns:a="http://schemas.openxmlformats.org/drawingml/2006/main" xmlns:pic="http://schemas.openxmlformats.org/drawingml/2006/picture">
            <wp:extent cx="3840480" cy="1828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dream_bdq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DREAM bedaquiline</w:t>
      </w:r>
    </w:p>
    <w:p>
      <w:pPr>
        <w:spacing w:after="80"/>
      </w:pPr>
      <w:r>
        <w:t>**Figure 6.** DREAM bedaquiline MIC distributions by continent and year.</w:t>
      </w:r>
    </w:p>
    <w:p>
      <w:r>
        <w:drawing>
          <wp:inline xmlns:a="http://schemas.openxmlformats.org/drawingml/2006/main" xmlns:pic="http://schemas.openxmlformats.org/drawingml/2006/picture">
            <wp:extent cx="3840480" cy="1828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gasar_mechanism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GASAR mechanisms</w:t>
      </w:r>
    </w:p>
    <w:p>
      <w:pPr>
        <w:spacing w:after="80"/>
      </w:pPr>
      <w:r>
        <w:t>**Figure 7.** GASAR phenotypic classes and top gene combinations (India).</w:t>
      </w:r>
    </w:p>
    <w:p>
      <w:pPr>
        <w:spacing w:after="80"/>
      </w:pPr>
      <w:r>
        <w:t>*Additional figures (country distribution, heatmaps, MDR proxy, EDA plots) are in `outputs/figures/` and the GitHub repository.*</w:t>
      </w:r>
    </w:p>
    <w:p>
      <w:pPr>
        <w:pStyle w:val="Heading1"/>
      </w:pPr>
      <w:r>
        <w:t>Impact of the Work</w:t>
      </w:r>
    </w:p>
    <w:p>
      <w:pPr>
        <w:spacing w:after="80"/>
      </w:pPr>
      <w:r>
        <w:t>SurveilAMR converts restricted Vivli assets into **open stewardship intelligence** for Ghana Health Service and the 2026 challenge. Country- and pathogen-specific views support empiric therapy where cultures are delayed. Rising *K. pneumoniae* carbapenem resistance and African *A. baumannii* burden provide ASP triggers; KEYSTONE, DREAM, and GASAR summaries support novel-agent positioning, MDR-TB monitoring, and mechanism-aware prescribing. The [repository](https://github.com/Nana-Safo-Duker/Vivli-AMR-2026-Data-Challenge-SurveilAMR) provides chunked-analysis templates, processed CSVs, and figure scripts following 2025 VIT reproducibility standards. Future work: interactive dashboards and forecasting for African sentinel sites including Ghana.</w:t>
      </w:r>
    </w:p>
    <w:p>
      <w:r>
        <w:br w:type="page"/>
      </w:r>
    </w:p>
    <w:p>
      <w:pPr>
        <w:sectPr>
          <w:footerReference w:type="default" r:id="rId16"/>
          <w:pgSz w:w="12240" w:h="15840"/>
          <w:pgMar w:top="1224" w:right="1296" w:bottom="1296" w:left="1296" w:header="720" w:footer="720" w:gutter="0"/>
          <w:cols w:space="720"/>
          <w:docGrid w:linePitch="360"/>
        </w:sectPr>
      </w:pPr>
    </w:p>
    <w:p>
      <w:pPr>
        <w:pStyle w:val="Heading1"/>
      </w:pPr>
      <w:r>
        <w:t>References</w:t>
      </w:r>
    </w:p>
    <w:p>
      <w:pPr>
        <w:spacing w:after="80"/>
      </w:pPr>
      <w:r>
        <w:t>1. Naghavi M, Vollset SE, Ikuta KS, et al. Global burden of bacterial antimicrobial resistance 1990–2021: a systematic analysis with forecasts to 2050. *Lancet*. 2024;404:1199–1226.</w:t>
      </w:r>
    </w:p>
    <w:p>
      <w:pPr>
        <w:spacing w:after="80"/>
      </w:pPr>
      <w:r>
        <w:t>2. World Health Organization. WHO bacterial priority pathogens list, 2024. Geneva: WHO; 2024.</w:t>
      </w:r>
    </w:p>
    <w:p>
      <w:pPr>
        <w:spacing w:after="80"/>
      </w:pPr>
      <w:r>
        <w:t>3. Vivli AMR Register. 2026 Vivli AMR Surveillance Data Challenge. Available at: https://amr.vivli.org/tag/datachallenge/</w:t>
      </w:r>
    </w:p>
    <w:p>
      <w:pPr>
        <w:spacing w:after="80"/>
      </w:pPr>
      <w:r>
        <w:t>4. Haryini SS, Karve S, Priya Doss CG, et al. Temporal links between ambient air pollutants and antifungal drug resistance in *Candida glabrata*. *Wellcome Open Res*. 2026. Code: https://github.com/Belindaharyini/Vivli-AMR-data-challenge-2025-VIT-</w:t>
      </w:r>
    </w:p>
    <w:p>
      <w:pPr>
        <w:spacing w:after="80"/>
      </w:pPr>
      <w:r>
        <w:t>5. Pfizer Inc. ATLAS Global Antimicrobial Surveillance Program. Data via Vivli AMR Register (ATLAS_Antibiotics).</w:t>
      </w:r>
    </w:p>
    <w:p>
      <w:pPr>
        <w:spacing w:after="80"/>
      </w:pPr>
      <w:r>
        <w:t>6. SurveilAMR Team. SurveilAMR: Vivli AMR 2026 Data Challenge Repository. 2026. https://github.com/Nana-Safo-Duker/Vivli-AMR-2026-Data-Challenge-SurveilAMR</w:t>
      </w:r>
    </w:p>
    <w:p>
      <w:pPr>
        <w:spacing w:after="80"/>
      </w:pPr>
      <w:r>
        <w:t>7. Prestinaci F, Pezzotti P, Pantosti A. Antimicrobial resistance: a global multifaceted phenomenon. *Pathog Glob Health*. 2015;109(7):309–318.</w:t>
      </w:r>
    </w:p>
    <w:p>
      <w:pPr>
        <w:spacing w:after="80"/>
      </w:pPr>
      <w:r>
        <w:t>8. Tadesse BT, Ashley EA, Ongarello S, et al. Antimicrobial resistance in Africa: a systematic review. *BMC Infect Dis*. 2017;17(1):616.</w:t>
      </w:r>
    </w:p>
    <w:p>
      <w:pPr>
        <w:spacing w:after="80"/>
      </w:pPr>
      <w:r>
        <w:t>9. World Health Organization. WHO consolidated guidelines on tuberculosis. Module 4: treatment — drug-resistant tuberculosis treatment. Geneva: WHO; 2022.</w:t>
      </w:r>
    </w:p>
    <w:p>
      <w:pPr>
        <w:spacing w:after="80"/>
      </w:pPr>
      <w:r>
        <w:t>10. Johnson &amp; Johnson; Paratek Pharmaceuticals; Pfizer Inc.; Venus Remedies Limited. Vivli AMR Register industry surveillance datasets. Accessed via https://amr.vivli.org (Data Request 00013370).</w:t>
      </w:r>
    </w:p>
    <w:p>
      <w:r>
        <w:t>**Acknowledgement:** This publication is based on research using data from Johnson &amp; Johnson, Paratek, Pfizer, Venus Remedies Limited, obtained through https://amr.vivli.org</w:t>
      </w:r>
    </w:p>
    <w:sectPr w:rsidR="00FC693F" w:rsidRPr="0006063C" w:rsidSect="00034616">
      <w:pgSz w:w="12240" w:h="15840"/>
      <w:pgMar w:top="1224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2026 Vivli AMR Surveillance Data Challenge</w:t>
    </w:r>
    <w:r>
      <w:t xml:space="preserve">  |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