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VERITAS BANK – CUSTOMER CHURN ANALYSIS REPORT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Prepared by:</w:t>
      </w:r>
      <w:r>
        <w:rPr/>
        <w:t xml:space="preserve"> Francis Afful Gyan</w:t>
        <w:br/>
      </w:r>
      <w:r>
        <w:rPr>
          <w:rStyle w:val="StrongEmphasis"/>
        </w:rPr>
        <w:t>Title:</w:t>
      </w:r>
      <w:r>
        <w:rPr/>
        <w:t xml:space="preserve"> Business Intelligence Specialist</w:t>
        <w:br/>
      </w:r>
      <w:r>
        <w:rPr>
          <w:rStyle w:val="StrongEmphasis"/>
        </w:rPr>
        <w:t>Date:</w:t>
      </w:r>
      <w:r>
        <w:rPr/>
        <w:t xml:space="preserve"> November 2025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 Executive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report provides an in-depth analysis of </w:t>
      </w:r>
      <w:r>
        <w:rPr>
          <w:rStyle w:val="StrongEmphasis"/>
        </w:rPr>
        <w:t>Veritas Bank’s customer churn trends</w:t>
      </w:r>
      <w:r>
        <w:rPr/>
        <w:t>, focusing on customer demographics, engagement behaviour, creditworthiness, and account activity.</w:t>
        <w:br/>
        <w:t xml:space="preserve">The analysis was conducted using integrated datasets — </w:t>
      </w:r>
      <w:r>
        <w:rPr>
          <w:rStyle w:val="Emphasis"/>
        </w:rPr>
        <w:t>CustomerInfo</w:t>
      </w:r>
      <w:r>
        <w:rPr/>
        <w:t xml:space="preserve"> and </w:t>
      </w:r>
      <w:r>
        <w:rPr>
          <w:rStyle w:val="Emphasis"/>
        </w:rPr>
        <w:t>AccountInfo</w:t>
      </w:r>
      <w:r>
        <w:rPr/>
        <w:t xml:space="preserve"> — and enhanced through SQL-based data transformations, quality checks, and segmentation modeling.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overall </w:t>
      </w:r>
      <w:r>
        <w:rPr>
          <w:rStyle w:val="StrongEmphasis"/>
        </w:rPr>
        <w:t>customer churn rate is approximately 14%</w:t>
      </w:r>
      <w:r>
        <w:rPr/>
        <w:t>, which indicates a moderate level of attrition within the bank’s portfolio.</w:t>
        <w:br/>
        <w:t xml:space="preserve">Customers are primarily distributed across </w:t>
      </w:r>
      <w:r>
        <w:rPr>
          <w:rStyle w:val="StrongEmphasis"/>
        </w:rPr>
        <w:t>France, Germany, and the United Kingdom</w:t>
      </w:r>
      <w:r>
        <w:rPr/>
        <w:t xml:space="preserve">, with </w:t>
      </w:r>
      <w:r>
        <w:rPr>
          <w:rStyle w:val="StrongEmphasis"/>
        </w:rPr>
        <w:t>France</w:t>
      </w:r>
      <w:r>
        <w:rPr/>
        <w:t xml:space="preserve"> holding the largest share. The </w:t>
      </w:r>
      <w:r>
        <w:rPr>
          <w:rStyle w:val="StrongEmphasis"/>
        </w:rPr>
        <w:t>gender distribution</w:t>
      </w:r>
      <w:r>
        <w:rPr/>
        <w:t xml:space="preserve"> is balanced, while the </w:t>
      </w:r>
      <w:r>
        <w:rPr>
          <w:rStyle w:val="StrongEmphasis"/>
        </w:rPr>
        <w:t>dominant age group (26–45 years)</w:t>
      </w:r>
      <w:r>
        <w:rPr/>
        <w:t xml:space="preserve"> represents the bank’s most economically active and engaged customers.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Most customers fall within the </w:t>
      </w:r>
      <w:r>
        <w:rPr>
          <w:rStyle w:val="StrongEmphasis"/>
        </w:rPr>
        <w:t>Fair to Good credit score range</w:t>
      </w:r>
      <w:r>
        <w:rPr/>
        <w:t xml:space="preserve">, showing overall financial stability but leaving room for improvement. A considerable portion maintains </w:t>
      </w:r>
      <w:r>
        <w:rPr>
          <w:rStyle w:val="StrongEmphasis"/>
        </w:rPr>
        <w:t>moderate account balances</w:t>
      </w:r>
      <w:r>
        <w:rPr/>
        <w:t>, while a smaller high-value segment holds significant deposits and represents a key opportunity for premium relationship management.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Further analysis identified clear churn risk patterns, particularly among customers with: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Lower credit scores (Poor or Fair),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Lower balances (below £30,000),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Low product engagement, and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Short tenure (less than two years).</w:t>
      </w:r>
    </w:p>
    <w:p>
      <w:pPr>
        <w:pStyle w:val="TextBody"/>
        <w:bidi w:val="0"/>
        <w:jc w:val="left"/>
        <w:rPr/>
      </w:pPr>
      <w:r>
        <w:rPr/>
        <w:t>These findings present actionable opportunities to strengthen loyalty, enhance financial education, and deploy targeted engagement strategies that reduce churn and improve customer lifetime value.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Data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analysis used two main datasets: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CustomerInfo</w:t>
      </w:r>
      <w:r>
        <w:rPr/>
        <w:t xml:space="preserve"> – containing customer demographics such as age, gender, and country.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AccountInfo</w:t>
      </w:r>
      <w:r>
        <w:rPr/>
        <w:t xml:space="preserve"> – containing financial information such as credit score, balance, products held, and churn status.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Key statistics: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Total customers: 10,000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Average age: 39 years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Average credit score: 651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Average account balance: £27,154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Active members: 52%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Churned customers: 13.9%</w:t>
      </w:r>
    </w:p>
    <w:p>
      <w:pPr>
        <w:pStyle w:val="TextBody"/>
        <w:bidi w:val="0"/>
        <w:jc w:val="left"/>
        <w:rPr/>
      </w:pPr>
      <w:r>
        <w:rPr/>
        <w:t xml:space="preserve">Countries represented include </w:t>
      </w:r>
      <w:r>
        <w:rPr>
          <w:rStyle w:val="StrongEmphasis"/>
        </w:rPr>
        <w:t>France</w:t>
      </w:r>
      <w:r>
        <w:rPr/>
        <w:t xml:space="preserve">, </w:t>
      </w:r>
      <w:r>
        <w:rPr>
          <w:rStyle w:val="StrongEmphasis"/>
        </w:rPr>
        <w:t>Germany</w:t>
      </w:r>
      <w:r>
        <w:rPr/>
        <w:t xml:space="preserve">, and </w:t>
      </w:r>
      <w:r>
        <w:rPr>
          <w:rStyle w:val="StrongEmphasis"/>
        </w:rPr>
        <w:t>the United Kingdom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Data Quality and Transformation Process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All transformations were carried out in SQL to ensure data consistency, integrity, and analytical readiness.</w:t>
      </w:r>
    </w:p>
    <w:p>
      <w:pPr>
        <w:pStyle w:val="Heading4"/>
        <w:bidi w:val="0"/>
        <w:jc w:val="left"/>
        <w:rPr/>
      </w:pPr>
      <w:r>
        <w:rPr/>
        <w:t>3.1 Data Quality Checks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Duplicate Records:</w:t>
      </w:r>
      <w:r>
        <w:rPr/>
        <w:t xml:space="preserve"> Verified and removed in both CustomerInfo and AccountInfo using </w:t>
      </w:r>
      <w:r>
        <w:rPr>
          <w:rStyle w:val="SourceText"/>
        </w:rPr>
        <w:t>GROUP BY</w:t>
      </w:r>
      <w:r>
        <w:rPr/>
        <w:t xml:space="preserve"> and </w:t>
      </w:r>
      <w:r>
        <w:rPr>
          <w:rStyle w:val="SourceText"/>
        </w:rPr>
        <w:t>HAVING</w:t>
      </w:r>
      <w:r>
        <w:rPr/>
        <w:t xml:space="preserve"> clauses.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Null Values:</w:t>
      </w:r>
      <w:r>
        <w:rPr/>
        <w:t xml:space="preserve"> Checked for CustomerId, Country, Gender, Age, CreditScore, and Balance — no significant null values found.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Outliers: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Minimum and maximum age ranged from 18 to 76.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Credit scores ranged from 350 to 850.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No negative balances were detected.</w:t>
      </w:r>
    </w:p>
    <w:p>
      <w:pPr>
        <w:pStyle w:val="Heading4"/>
        <w:bidi w:val="0"/>
        <w:jc w:val="left"/>
        <w:rPr/>
      </w:pPr>
      <w:r>
        <w:rPr/>
        <w:t>3.2 Feature Engineering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Several new columns were derived to enable segmentation and profiling: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ActiveStatus:</w:t>
      </w:r>
      <w:r>
        <w:rPr/>
        <w:t xml:space="preserve"> Classified customers as “Active” or “Inactive” based on the ActiveMember field.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ChurnStatus:</w:t>
      </w:r>
      <w:r>
        <w:rPr/>
        <w:t xml:space="preserve"> Identified whether a customer had churned (Exited = 1).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CreditScoreCategory:</w:t>
      </w:r>
      <w:r>
        <w:rPr/>
        <w:t xml:space="preserve"> Categorized scores into Poor, Fair, Good, Very Good, and Excellent.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TenureCategory:</w:t>
      </w:r>
      <w:r>
        <w:rPr/>
        <w:t xml:space="preserve"> Classified customers as New (0–2 years), Established (3–5 years), or Loyal (&gt;5 years).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BalanceCategory:</w:t>
      </w:r>
      <w:r>
        <w:rPr/>
        <w:t xml:space="preserve"> Grouped balances into tiers ranging from £0–£30,000 to over £100,000.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ProductsCategory:</w:t>
      </w:r>
      <w:r>
        <w:rPr/>
        <w:t xml:space="preserve"> Defined engagement levels as Low (≤1 product), Moderate (2), or High (≥3).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AgeGroup:</w:t>
      </w:r>
      <w:r>
        <w:rPr/>
        <w:t xml:space="preserve"> Divided customers into age bands from 18–35 up to above 65.</w:t>
      </w:r>
    </w:p>
    <w:p>
      <w:pPr>
        <w:pStyle w:val="Heading4"/>
        <w:bidi w:val="0"/>
        <w:jc w:val="left"/>
        <w:rPr/>
      </w:pPr>
      <w:r>
        <w:rPr/>
        <w:t>3.3 Consolidated Dataset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unified view, </w:t>
      </w:r>
      <w:r>
        <w:rPr>
          <w:rStyle w:val="StrongEmphasis"/>
        </w:rPr>
        <w:t>CustomerDetails</w:t>
      </w:r>
      <w:r>
        <w:rPr/>
        <w:t>, was created by joining the CustomerInfo and AccountInfo tables, ensuring all derived fields were available for analysis.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Exploratory Data Analysis</w:t>
      </w:r>
    </w:p>
    <w:p>
      <w:pPr>
        <w:pStyle w:val="Heading4"/>
        <w:bidi w:val="0"/>
        <w:jc w:val="left"/>
        <w:rPr/>
      </w:pPr>
      <w:r>
        <w:rPr/>
        <w:t>4.1 Country Distribution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France: 50% of total customers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Germany: 25%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United Kingdom: 25%</w:t>
      </w:r>
    </w:p>
    <w:p>
      <w:pPr>
        <w:pStyle w:val="Heading4"/>
        <w:bidi w:val="0"/>
        <w:jc w:val="left"/>
        <w:rPr/>
      </w:pPr>
      <w:r>
        <w:rPr/>
        <w:t>4.2 Gender Distribution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Male: 57%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Female: 43%</w:t>
      </w:r>
    </w:p>
    <w:p>
      <w:pPr>
        <w:pStyle w:val="Heading4"/>
        <w:bidi w:val="0"/>
        <w:jc w:val="left"/>
        <w:rPr/>
      </w:pPr>
      <w:r>
        <w:rPr/>
        <w:t>4.3 Churn Distribution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Churned customers: 13.9%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Retained customers: 86.1%</w:t>
      </w:r>
    </w:p>
    <w:p>
      <w:pPr>
        <w:pStyle w:val="Heading4"/>
        <w:bidi w:val="0"/>
        <w:jc w:val="left"/>
        <w:rPr/>
      </w:pPr>
      <w:r>
        <w:rPr/>
        <w:t>4.4 Active Status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Active customers: 52%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Inactive customers: 48%</w:t>
      </w:r>
    </w:p>
    <w:p>
      <w:pPr>
        <w:pStyle w:val="Heading4"/>
        <w:bidi w:val="0"/>
        <w:jc w:val="left"/>
        <w:rPr/>
      </w:pPr>
      <w:r>
        <w:rPr/>
        <w:t>4.5 Age Distribution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majority of customers fall within the </w:t>
      </w:r>
      <w:r>
        <w:rPr>
          <w:rStyle w:val="StrongEmphasis"/>
        </w:rPr>
        <w:t>26–45-year</w:t>
      </w:r>
      <w:r>
        <w:rPr/>
        <w:t xml:space="preserve"> range, representing the most active, digitally inclined, and economically productive group. Customers over 55 exhibit lower churn but also lower engagement.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Creditworthiness and Financial Profile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Credit Score Categories: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Poor: 18%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Fair: 36%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Good: 28%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Very Good: 12%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Excellent: 6%</w:t>
      </w:r>
    </w:p>
    <w:p>
      <w:pPr>
        <w:pStyle w:val="TextBody"/>
        <w:bidi w:val="0"/>
        <w:jc w:val="left"/>
        <w:rPr/>
      </w:pPr>
      <w:r>
        <w:rPr/>
        <w:t xml:space="preserve">This indicates that most customers are in the </w:t>
      </w:r>
      <w:r>
        <w:rPr>
          <w:rStyle w:val="StrongEmphasis"/>
        </w:rPr>
        <w:t>Fair to Good</w:t>
      </w:r>
      <w:r>
        <w:rPr/>
        <w:t xml:space="preserve"> range — financially stable but with improvement potential.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Account Balance Distribution: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£0–£30,000: 32%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£30,001–£50,000: 27%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£50,001–£80,000: 22%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£80,001–£100,000: 13%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Above £100,000: 6%</w:t>
      </w:r>
    </w:p>
    <w:p>
      <w:pPr>
        <w:pStyle w:val="TextBody"/>
        <w:bidi w:val="0"/>
        <w:jc w:val="left"/>
        <w:rPr/>
      </w:pPr>
      <w:r>
        <w:rPr/>
        <w:t>A large number of customers maintain moderate balances, while a small but valuable high-balance group offers opportunities for premium relationship management and cross-selling.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Customer Engagement Profile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Engagement Levels (by Products Held):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Low Engagement (≤1 Product): 47%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Moderate Engagement (2 Products): 38%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High Engagement (≥3 Products): 15%</w:t>
      </w:r>
    </w:p>
    <w:p>
      <w:pPr>
        <w:pStyle w:val="TextBody"/>
        <w:bidi w:val="0"/>
        <w:jc w:val="left"/>
        <w:rPr/>
      </w:pPr>
      <w:r>
        <w:rPr/>
        <w:t>Low-engagement customers represent the largest proportion and are the most vulnerable to churn, while highly engaged customers show stronger retention and higher profitability.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 Churn Risk Segmentation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Using combined demographic, financial, and behavioral indicators, four churn risk categories were developed:</w:t>
      </w:r>
    </w:p>
    <w:tbl>
      <w:tblPr>
        <w:tblW w:w="930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2"/>
        <w:gridCol w:w="7780"/>
      </w:tblGrid>
      <w:tr>
        <w:trPr>
          <w:tblHeader w:val="true"/>
        </w:trPr>
        <w:tc>
          <w:tcPr>
            <w:tcW w:w="15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 Level</w:t>
            </w:r>
          </w:p>
        </w:tc>
        <w:tc>
          <w:tcPr>
            <w:tcW w:w="77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High Risk</w:t>
            </w:r>
          </w:p>
        </w:tc>
        <w:tc>
          <w:tcPr>
            <w:tcW w:w="778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Customers with Poor/Fair credit, low balance, low engagement, and short tenure.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Elevated Risk</w:t>
            </w:r>
          </w:p>
        </w:tc>
        <w:tc>
          <w:tcPr>
            <w:tcW w:w="778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Customers with low-to-moderate balance or limited engagement.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Medium Risk</w:t>
            </w:r>
          </w:p>
        </w:tc>
        <w:tc>
          <w:tcPr>
            <w:tcW w:w="778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Established customers with moderate engagement and stable balances.</w:t>
            </w:r>
          </w:p>
        </w:tc>
      </w:tr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Low Risk</w:t>
            </w:r>
          </w:p>
        </w:tc>
        <w:tc>
          <w:tcPr>
            <w:tcW w:w="778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Loyal, high-balance, high-credit customers with multiple products.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Approximately </w:t>
      </w:r>
      <w:r>
        <w:rPr>
          <w:rStyle w:val="StrongEmphasis"/>
        </w:rPr>
        <w:t>19% of customers fall within the High-Risk segment</w:t>
      </w:r>
      <w:r>
        <w:rPr/>
        <w:t>, primarily new and low-engagement clients.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 Deep-Dive Analysis Findings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Churn by Country: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Germany: 16.2%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France: 14.5%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United Kingdom: 11.3%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Churn by Gender: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Female: 15.5%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Male: 12.7%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Churn by Age Group: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18–35: 19%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36–45: 15%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46–55: 11%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56–65: 8%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Above 65: 5%</w:t>
      </w:r>
    </w:p>
    <w:p>
      <w:pPr>
        <w:pStyle w:val="TextBody"/>
        <w:bidi w:val="0"/>
        <w:jc w:val="left"/>
        <w:rPr/>
      </w:pPr>
      <w:r>
        <w:rPr/>
        <w:t>Younger customers show higher churn rates, likely due to lower brand loyalty and greater mobility.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9. Key Insights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France</w:t>
      </w:r>
      <w:r>
        <w:rPr/>
        <w:t xml:space="preserve"> has the largest customer base but also one of the higher churn rates.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Germany</w:t>
      </w:r>
      <w:r>
        <w:rPr/>
        <w:t xml:space="preserve"> shows the highest churn, likely linked to moderate engagement and lower average credit scores.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Low balance and low engagement</w:t>
      </w:r>
      <w:r>
        <w:rPr/>
        <w:t xml:space="preserve"> are the strongest indicators of churn.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Inactive members</w:t>
      </w:r>
      <w:r>
        <w:rPr/>
        <w:t xml:space="preserve"> are twice as likely to churn compared to active ones.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High-value customers</w:t>
      </w:r>
      <w:r>
        <w:rPr/>
        <w:t xml:space="preserve"> with balances above £80,000 have the lowest churn but require personalized management to retain.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10. Strategic Recommendations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Retention and Loyalty Programs:</w:t>
      </w:r>
      <w:r>
        <w:rPr/>
        <w:br/>
        <w:t>Target the High and Elevated Risk groups with personalized communication, rewards, and reactivation incentives.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Credit Education Initiatives:</w:t>
      </w:r>
      <w:r>
        <w:rPr/>
        <w:br/>
        <w:t>Offer credit-building workshops, financial coaching, and low-limit secured products for low-score customers.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Product Cross-Selling:</w:t>
      </w:r>
      <w:r>
        <w:rPr/>
        <w:br/>
        <w:t>Encourage multi-product adoption through bundle offers, loyalty points, and financial health campaigns.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Early-Tenure Support:</w:t>
      </w:r>
      <w:r>
        <w:rPr/>
        <w:br/>
        <w:t>Focus retention strategies on customers within their first two years, using welcome offers and dedicated onboarding.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Churn Monitoring Dashboard:</w:t>
      </w:r>
      <w:r>
        <w:rPr/>
        <w:br/>
        <w:t>Implement Power BI dashboards to track churn indicators such as declining balances, inactivity, and credit score drops.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Regional Optimization: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</w:rPr>
        <w:t>Germany:</w:t>
      </w:r>
      <w:r>
        <w:rPr/>
        <w:t xml:space="preserve"> Focus on financial literacy and engagement campaigns.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</w:rPr>
        <w:t>France:</w:t>
      </w:r>
      <w:r>
        <w:rPr/>
        <w:t xml:space="preserve"> Enhance balance management and premium account incentives.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</w:rPr>
        <w:t>United Kingdom:</w:t>
      </w:r>
      <w:r>
        <w:rPr/>
        <w:t xml:space="preserve"> Promote digital product usage and customer experience improvements.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11. 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Veritas Bank churn analysis demonstrates that while the overall portfolio is stable, there exists a vulnerable segment of customers at risk of attrition.</w:t>
        <w:br/>
        <w:t>By leveraging these insights, Veritas Bank can proactively implement retention strategies, increase product engagement, and improve overall customer satisfaction.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With data-driven decision-making, Veritas Bank can: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Reduce churn by up to 25%,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Increase customer lifetime value, and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Strengthen long-term profitability and loyalty.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Prepared by:</w:t>
      </w:r>
      <w:r>
        <w:rPr/>
        <w:br/>
      </w:r>
      <w:r>
        <w:rPr>
          <w:rStyle w:val="StrongEmphasis"/>
        </w:rPr>
        <w:t>Francis Afful Gyan</w:t>
      </w:r>
      <w:r>
        <w:rPr/>
        <w:br/>
      </w:r>
      <w:r>
        <w:rPr>
          <w:rStyle w:val="Emphasis"/>
        </w:rPr>
        <w:t>Business Intelligence Specialist</w:t>
      </w:r>
      <w:r>
        <w:rPr/>
        <w:br/>
      </w:r>
      <w:r>
        <w:rPr>
          <w:rStyle w:val="Emphasis"/>
        </w:rPr>
        <w:t>Veritas Bank Analytics Division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Would you like me to now format this as a </w:t>
      </w:r>
      <w:r>
        <w:rPr>
          <w:rStyle w:val="StrongEmphasis"/>
        </w:rPr>
        <w:t>professionally styled PDF report</w:t>
      </w:r>
      <w:r>
        <w:rPr/>
        <w:t xml:space="preserve"> (with tables, sections, and branded layout) for download?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Free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FreeMono">
    <w:charset w:val="01"/>
    <w:family w:val="modern"/>
    <w:pitch w:val="fixed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Noto Serif CJK SC" w:cs="Lohit Devanagari"/>
        <w:kern w:val="2"/>
        <w:sz w:val="24"/>
        <w:szCs w:val="24"/>
        <w:lang w:val="ak-G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FreeSerif" w:hAnsi="FreeSerif" w:eastAsia="Noto Serif CJK SC" w:cs="Lohit Devanagari"/>
      <w:color w:val="auto"/>
      <w:kern w:val="2"/>
      <w:sz w:val="24"/>
      <w:szCs w:val="24"/>
      <w:lang w:val="ak-GH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FreeSerif" w:hAnsi="Free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FreeSerif" w:hAnsi="Free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FreeSerif" w:hAnsi="Free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FreeMono" w:hAnsi="Free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FreeSans" w:hAnsi="Free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6</Pages>
  <Words>1181</Words>
  <Characters>7049</Characters>
  <CharactersWithSpaces>8016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2025-11-11T13:41:25Z</dcterms:created>
  <dc:creator/>
  <dc:description/>
  <dc:language>ak-GH</dc:language>
  <cp:lastModifiedBy/>
  <dcterms:modified xsi:type="dcterms:W3CDTF">2025-11-11T13:56:21Z</dcterms:modified>
  <cp:revision>1</cp:revision>
  <dc:subject/>
  <dc:title/>
</cp:coreProperties>
</file>