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32"/>
          <w:szCs w:val="32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highlight w:val="white"/>
          <w:rtl w:val="0"/>
        </w:rPr>
        <w:t xml:space="preserve">Благотворительные платежи в России в 2018-2019 гг.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Как развивается благотворительность в России? </w:t>
      </w:r>
    </w:p>
    <w:p w:rsidR="00000000" w:rsidDel="00000000" w:rsidP="00000000" w:rsidRDefault="00000000" w:rsidRPr="00000000" w14:paraId="00000003">
      <w:pPr>
        <w:spacing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Исторический ракурс и реальные данные. </w:t>
      </w:r>
    </w:p>
    <w:p w:rsidR="00000000" w:rsidDel="00000000" w:rsidP="00000000" w:rsidRDefault="00000000" w:rsidRPr="00000000" w14:paraId="00000004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Согласно Википедии [1]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“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б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лаготворительность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— это оказание помощи (безвозмездной или на льготных условиях) тем, кто в ней нуждается. Основной чертой благотворительности является добровольный выбор вида, времени и места, а также содержания (целевой) помощи”. Среди основных форм благотворительности обычно выделяют передачу знаний и умений, материальную помощь и волонтерство; по источнику выделяют государственную, церковную или личную помощь.</w:t>
      </w:r>
    </w:p>
    <w:p w:rsidR="00000000" w:rsidDel="00000000" w:rsidP="00000000" w:rsidRDefault="00000000" w:rsidRPr="00000000" w14:paraId="00000005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  <w:t xml:space="preserve">Начало благотворительной деятельности на территории России было напрямую связано с принятием христианства в Киевской Руси. Церковь при князе Владимире стала собирать дотации, десятины, которые шли на социальную помощь старым, бедным, сиротам, убогим и больным. При Иване Грозном благотворительность получила уже государственный масштаб, начали появляться богадельни, приюты для инвалидов, спонсируемые из государственной казны. Позже, при Михаиле Федоровиче Романове, открылись и первые сиротские дома, а также появились частные благотворители. Конец XVIII века в России был ознаменован распространением меценатства, покровительства искусства;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так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в нашей истории отметились Третьяковы, Морозовы и многие другие.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Несмотря на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позитивную тенденцию предшествующую XX веку, с приходом к власти большевиков социальные проблемы перешли полностью на плечи государства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, в то время как в США начали открываться первые благотворительные фонды, усилиями Джона Рокфеллера и Эндрю Карнеги. Международные благотворительные организации присутствовали на территории СССР, но, например Обществу Красного Креста и Полумесяца пришлось собирать не добровольные пожертвования, а членские взносы, вычитаемые из зарплаты. Первые национальные благотворительные фонды появились в СССР лишь во время перестройки: Фонд культуры, Детский фонд, Фонд милосердия и здоровья.</w:t>
      </w:r>
    </w:p>
    <w:p w:rsidR="00000000" w:rsidDel="00000000" w:rsidP="00000000" w:rsidRDefault="00000000" w:rsidRPr="00000000" w14:paraId="00000006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ab/>
        <w:t xml:space="preserve">Резкий рост благотворительной деятельности, «Благотворительная революция», пришелся на конец XX века, и связан он был с развитием финансовых инструментов, которые позволили эффективно привлекать частные ресурсы для различных инициатив. </w:t>
      </w:r>
    </w:p>
    <w:p w:rsidR="00000000" w:rsidDel="00000000" w:rsidP="00000000" w:rsidRDefault="00000000" w:rsidRPr="00000000" w14:paraId="00000007">
      <w:pPr>
        <w:spacing w:line="360" w:lineRule="auto"/>
        <w:ind w:left="0" w:firstLine="72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Россию он не прошел стороной, помимо крупных иностранных организаций появились фонд “Династия”, фонд культурных инициатив, фонд Потанина. Согласно данным исследования компании “Charities Aid Foundation” (CAF)[2] последние 10 лет ситуация в стране улучшается, Россия поднялась со 138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vertAlign w:val="superscript"/>
          <w:rtl w:val="0"/>
        </w:rPr>
        <w:t xml:space="preserve">ой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позиции на 110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vertAlign w:val="superscript"/>
          <w:rtl w:val="0"/>
        </w:rPr>
        <w:t xml:space="preserve">ую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в общемировом рейтинге. Увеличивается количество благотворительных фондов (по данным ProCharity [3] - около 9000), вовлеченность людей в волонтерские инициативы в крупных городах, а также размеры пожертвований.</w:t>
      </w:r>
    </w:p>
    <w:p w:rsidR="00000000" w:rsidDel="00000000" w:rsidP="00000000" w:rsidRDefault="00000000" w:rsidRPr="00000000" w14:paraId="00000008">
      <w:pPr>
        <w:spacing w:line="360" w:lineRule="auto"/>
        <w:ind w:left="0" w:firstLine="72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В 2019 году ВЦИОМ опубликовал результаты исследований [4], в котором можно наблюдать положительную тенденцию на продолжительном временном отрезке. Количество людей не участвовавших в общественных инициативах уменьшилось почти в два раза, соответственно л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юди стали больше обращать внимания на инициативы и больше в них участвовать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(Таблица 1).</w:t>
      </w:r>
    </w:p>
    <w:p w:rsidR="00000000" w:rsidDel="00000000" w:rsidP="00000000" w:rsidRDefault="00000000" w:rsidRPr="00000000" w14:paraId="00000009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  <w:drawing>
          <wp:inline distB="114300" distT="114300" distL="114300" distR="114300">
            <wp:extent cx="6301050" cy="2692400"/>
            <wp:effectExtent b="0" l="0" r="0" t="0"/>
            <wp:docPr descr="Диаграмма" id="9" name="image2.png"/>
            <a:graphic>
              <a:graphicData uri="http://schemas.openxmlformats.org/drawingml/2006/picture">
                <pic:pic>
                  <pic:nvPicPr>
                    <pic:cNvPr descr="Диаграмма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05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02122"/>
          <w:sz w:val="24"/>
          <w:szCs w:val="24"/>
          <w:highlight w:val="white"/>
          <w:rtl w:val="0"/>
        </w:rPr>
        <w:t xml:space="preserve">Таблица 1. Участие людей в инициативах в зависимости от года.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[8]</w:t>
      </w:r>
    </w:p>
    <w:p w:rsidR="00000000" w:rsidDel="00000000" w:rsidP="00000000" w:rsidRDefault="00000000" w:rsidRPr="00000000" w14:paraId="0000000A">
      <w:pPr>
        <w:spacing w:line="360" w:lineRule="auto"/>
        <w:ind w:left="0" w:firstLine="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0" w:firstLine="720"/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В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опросе проведенном ВЦИОМ в 2019 году также можно заметить позитивное изменение отношения к благотворительным фондам.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 По данным исследования CAF [5] среди населения всё ещё присутствует недоверие к НКО (некоммерческим организациям) из-за их первоначальной закрытости. Однако,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как можно увидеть, на примере группы 18-24 лет отношение к НКО начинает меняться </w:t>
      </w:r>
      <w:r w:rsidDel="00000000" w:rsidR="00000000" w:rsidRPr="00000000">
        <w:rPr>
          <w:rFonts w:ascii="Times New Roman" w:cs="Times New Roman" w:eastAsia="Times New Roman" w:hAnsi="Times New Roman"/>
          <w:color w:val="202122"/>
          <w:sz w:val="28"/>
          <w:szCs w:val="28"/>
          <w:highlight w:val="white"/>
          <w:rtl w:val="0"/>
        </w:rPr>
        <w:t xml:space="preserve">по сравнению с данными более старших групп населения. (Таблица 2)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1050" cy="3263900"/>
            <wp:effectExtent b="0" l="0" r="0" t="0"/>
            <wp:docPr descr="Диаграмма" id="10" name="image3.png"/>
            <a:graphic>
              <a:graphicData uri="http://schemas.openxmlformats.org/drawingml/2006/picture">
                <pic:pic>
                  <pic:nvPicPr>
                    <pic:cNvPr descr="Диаграмма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2. Участие различных возрастных групп людей в инициативах.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[8]</w:t>
      </w:r>
    </w:p>
    <w:p w:rsidR="00000000" w:rsidDel="00000000" w:rsidP="00000000" w:rsidRDefault="00000000" w:rsidRPr="00000000" w14:paraId="0000000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Попробуем сравнить эти исследования с данными банка Райффайзен за 2018-2019 год. [6]</w:t>
      </w:r>
    </w:p>
    <w:p w:rsidR="00000000" w:rsidDel="00000000" w:rsidP="00000000" w:rsidRDefault="00000000" w:rsidRPr="00000000" w14:paraId="0000000E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Можно заметить, что количество людей,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совершавших переводы на счёт НКО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, за этот период значительно увеличилось, что может подтверждать положительную динамику отношений к ним, о которой упоминалось выше. (Таблица 3)</w:t>
      </w:r>
    </w:p>
    <w:p w:rsidR="00000000" w:rsidDel="00000000" w:rsidP="00000000" w:rsidRDefault="00000000" w:rsidRPr="00000000" w14:paraId="0000000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1050" cy="2717800"/>
            <wp:effectExtent b="0" l="0" r="0" t="0"/>
            <wp:docPr descr="Диаграмма" id="3" name="image4.png"/>
            <a:graphic>
              <a:graphicData uri="http://schemas.openxmlformats.org/drawingml/2006/picture">
                <pic:pic>
                  <pic:nvPicPr>
                    <pic:cNvPr descr="Диаграмма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05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3. Динамика пожертвований через систему Райффайзен Банка.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11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словам исследователей CAF[5] на желание участвовать в благотворительных инициативах может влиять кризис и нестабильность в стране. Посмотрев на отчетность банка Райффайзен, можно сказать что это наблюдение подтверждается падающим чеком и растущим количеством участников инициатив. (Таблица 4)</w:t>
      </w:r>
    </w:p>
    <w:p w:rsidR="00000000" w:rsidDel="00000000" w:rsidP="00000000" w:rsidRDefault="00000000" w:rsidRPr="00000000" w14:paraId="0000001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1050" cy="2057400"/>
            <wp:effectExtent b="0" l="0" r="0" t="0"/>
            <wp:docPr descr="Диаграмма" id="5" name="image6.png"/>
            <a:graphic>
              <a:graphicData uri="http://schemas.openxmlformats.org/drawingml/2006/picture">
                <pic:pic>
                  <pic:nvPicPr>
                    <pic:cNvPr descr="Диаграмма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4. Средний размер пожертвований через систему Райффайзен Банка.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14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Это подтверждает исследование платформы “Если быть точным”. В их исследовании также показана тенденция снижающегося среднего чека в периоде 2018-2019 годах. (Таблица 5)</w:t>
      </w:r>
    </w:p>
    <w:p w:rsidR="00000000" w:rsidDel="00000000" w:rsidP="00000000" w:rsidRDefault="00000000" w:rsidRPr="00000000" w14:paraId="0000001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1050" cy="3263900"/>
            <wp:effectExtent b="0" l="0" r="0" t="0"/>
            <wp:docPr descr="Диаграмма" id="1" name="image8.png"/>
            <a:graphic>
              <a:graphicData uri="http://schemas.openxmlformats.org/drawingml/2006/picture">
                <pic:pic>
                  <pic:nvPicPr>
                    <pic:cNvPr descr="Диаграмма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105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5. Средний размер пожертвований в различные типы НКО.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[8]</w:t>
      </w:r>
    </w:p>
    <w:p w:rsidR="00000000" w:rsidDel="00000000" w:rsidP="00000000" w:rsidRDefault="00000000" w:rsidRPr="00000000" w14:paraId="00000017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Основной группой среди совершающих переводы в благотворительные фонды оказались люди 40-44 лет, вслед за ними идёт группа 45-49 лет и группа 35-39 лет, что скорее говорит больше о клиентской базе банка, чем о реальной статистике. (Таблица 6)</w:t>
      </w:r>
    </w:p>
    <w:p w:rsidR="00000000" w:rsidDel="00000000" w:rsidP="00000000" w:rsidRDefault="00000000" w:rsidRPr="00000000" w14:paraId="0000001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5550" cy="3113355"/>
            <wp:effectExtent b="0" l="0" r="0" t="0"/>
            <wp:docPr descr="Диаграмма" id="2" name="image5.png"/>
            <a:graphic>
              <a:graphicData uri="http://schemas.openxmlformats.org/drawingml/2006/picture">
                <pic:pic>
                  <pic:nvPicPr>
                    <pic:cNvPr descr="Диаграмма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113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6. Динамика пожертвований через систему Райффайзен Банка различных возрастных групп.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1A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По данным CAF [5] мужчины в России стали активнее жертвовать деньги и сравнялись по этому показателю с женщинами, 68% опрошенных (по 34% мужчин и женщин) участвовали в благотворительной деятельности в 2019 году. Данные полученные из отчёта банка косвенно подтверждают эту информацию. Так, например, в 2019 году корреляция между количеством пожертвований от каждого пола стала более явной, что говорит о схожести групп по поведению. (Таблица 7)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5550" cy="2591873"/>
            <wp:effectExtent b="0" l="0" r="0" t="0"/>
            <wp:docPr descr="Диаграмма" id="6" name="image9.png"/>
            <a:graphic>
              <a:graphicData uri="http://schemas.openxmlformats.org/drawingml/2006/picture">
                <pic:pic>
                  <pic:nvPicPr>
                    <pic:cNvPr descr="Диаграмма"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5918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7. Количество пожертвований в зависимости от пола через систему Райффайзен Банка.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ab/>
        <w:t xml:space="preserve">Можно заметить, что несмотря на меньшее количество мужчин участвующих в благотворительных инициативах, их среднее пожертвование сильно больше чем у женщин. Это может говорить как о большей зарплате, так и о большей эмоциональной или репутационной вовлеченности. (Таблица 8)</w:t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5550" cy="2388090"/>
            <wp:effectExtent b="0" l="0" r="0" t="0"/>
            <wp:docPr descr="Диаграмма" id="4" name="image10.png"/>
            <a:graphic>
              <a:graphicData uri="http://schemas.openxmlformats.org/drawingml/2006/picture">
                <pic:pic>
                  <pic:nvPicPr>
                    <pic:cNvPr descr="Диаграмма"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388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8. Размер среднего пожертвования в зависимости от пола через систему Райффайзен Банка.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20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Рассмотрим теперь статистику пожертвований по регионам. Можно заметить довольно предсказуемую тенденцию, увеличения количества пожертвований в Москве и Северо-Западном регионе (Санкт-Петербург) и уменьшения количества пожертвований в остальных регионах, что явно коррелирует с реальным финансовым состоянием субъектов. (Таблица 9) </w:t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5550" cy="2707668"/>
            <wp:effectExtent b="0" l="0" r="0" t="0"/>
            <wp:docPr descr="Диаграмма" id="7" name="image1.png"/>
            <a:graphic>
              <a:graphicData uri="http://schemas.openxmlformats.org/drawingml/2006/picture">
                <pic:pic>
                  <pic:nvPicPr>
                    <pic:cNvPr descr="Диаграмма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707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9. Количество пожертвований в зависимости от региона через систему Райффайзен Банка.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23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Размер среднего пожертвования через систему Райффайзен Банка косвенно подтверждает, что люди в регионах теряют возможность и желание участвовать в благотворительных инициативах. Всё так же на лидирующих позициях Москва и Санкт-Петербург, довольно близка к ним Сибирь, регион с третьим городом России по населению - Новосибирском. (Таблица 10)</w:t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</w:rPr>
        <w:drawing>
          <wp:inline distB="114300" distT="114300" distL="114300" distR="114300">
            <wp:extent cx="6305550" cy="2271911"/>
            <wp:effectExtent b="0" l="0" r="0" t="0"/>
            <wp:docPr descr="Диаграмма" id="8" name="image7.png"/>
            <a:graphic>
              <a:graphicData uri="http://schemas.openxmlformats.org/drawingml/2006/picture">
                <pic:pic>
                  <pic:nvPicPr>
                    <pic:cNvPr descr="Диаграмма"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271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highlight w:val="white"/>
          <w:rtl w:val="0"/>
        </w:rPr>
        <w:t xml:space="preserve">Таблица 10. Средний размер пожертвований в зависимости от региона через систему Райффайзен Банка.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[6]</w:t>
      </w:r>
    </w:p>
    <w:p w:rsidR="00000000" w:rsidDel="00000000" w:rsidP="00000000" w:rsidRDefault="00000000" w:rsidRPr="00000000" w14:paraId="00000026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Вне зависимости от неполноты и специфичности данных банка Райффайзен, в них присутствует корреляция с данными из других исследований: ВЦИОМ, CAF, “Если быть точным”. Можно сделать вывод, что ухудшающееся благосостояние людей неизбежно влияет на развитие подобных инициатив. Вследствие чего возникает тенденция снижения благотворительной активности вне больших городов: Москвы, Санкт-Петербурга, Новосибирска, Екатеринбурга. Однако, внутри больших городов благотворительность становится более популярной, появляется доверие со стороны людей по отношению к НКО. Этому помогает открытая отчетность и прозрачность действий, курирование проектов известными людьми, а также поддержка благотворительных фондов государством.</w:t>
      </w:r>
    </w:p>
    <w:p w:rsidR="00000000" w:rsidDel="00000000" w:rsidP="00000000" w:rsidRDefault="00000000" w:rsidRPr="00000000" w14:paraId="00000027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2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i w:val="1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highlight w:val="white"/>
          <w:rtl w:val="0"/>
        </w:rPr>
        <w:t xml:space="preserve">Ссылки: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ru.wikipedia.org/wiki/%D0%91%D0%BB%D0%B0%D0%B3%D0%BE%D1%82%D0%B2%D0%BE%D1%80%D0%B8%D1%82%D0%B5%D0%BB%D1%8C%D0%BD%D0%BE%D1%81%D1%82%D1%8C#%C2%AB%D0%91%D0%BB%D0%B0%D0%B3%D0%BE%D1%82%D0%B2%D0%BE%D1%80%D0%B8%D1%82%D0%B5%D0%BB%D1%8C%D0%BD%D0%B0%D1%8F_%D1%80%D0%B5%D0%B2%D0%BE%D0%BB%D1%8E%D1%86%D0%B8%D1%8F%C2%B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https://www.cafonline.org/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https://procharity.ru/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https://wciom.ru/analytical-reviews/analiticheskii-obzor/ot-milostyni-k-volonterstvu-kak-menyaetsya-blagotvoritelnost-v-rossii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http://cafrussia.ru/storage/files/file-105.pdf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https://docs.google.com/spreadsheets/d/1DzP2ouSdLF9ujAGcq9CjcGIGJeRgV5-bdlDFmP72Y5A/edit?usp=sharing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https://tochno.st/benchmark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https://docs.google.com/spreadsheets/d/1M7GeSvWpdMARwcMKMayfnUNOWK2QtrCY8_TKVXwb3Pw/edit?usp=sharing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https://docs.google.com/document/d/1yaN4MLz9ytRLU2Lnlb7MBxRms_zJkdjthnMx05-7Whg/edit?usp=sharing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(статья в Google Docs)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360" w:lineRule="auto"/>
        <w:ind w:left="425.19685039370086" w:hanging="36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highlight w:val="white"/>
            <w:u w:val="single"/>
            <w:rtl w:val="0"/>
          </w:rPr>
          <w:t xml:space="preserve">https://github.com/NanairoNika/JourSemiFin/upload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 (ссылка на файлы в Github)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832.9133858267733" w:top="708.6614173228347" w:left="1133.8582677165355" w:right="848.740157480316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cafrussia.ru/storage/files/file-105.pdf" TargetMode="External"/><Relationship Id="rId22" Type="http://schemas.openxmlformats.org/officeDocument/2006/relationships/hyperlink" Target="https://tochno.st/benchmark" TargetMode="External"/><Relationship Id="rId21" Type="http://schemas.openxmlformats.org/officeDocument/2006/relationships/hyperlink" Target="https://docs.google.com/spreadsheets/d/1DzP2ouSdLF9ujAGcq9CjcGIGJeRgV5-bdlDFmP72Y5A/edit?usp=sharing" TargetMode="External"/><Relationship Id="rId24" Type="http://schemas.openxmlformats.org/officeDocument/2006/relationships/hyperlink" Target="https://docs.google.com/document/d/1yaN4MLz9ytRLU2Lnlb7MBxRms_zJkdjthnMx05-7Whg/edit?usp=sharing" TargetMode="External"/><Relationship Id="rId23" Type="http://schemas.openxmlformats.org/officeDocument/2006/relationships/hyperlink" Target="https://docs.google.com/spreadsheets/d/1M7GeSvWpdMARwcMKMayfnUNOWK2QtrCY8_TKVXwb3Pw/edit?usp=shar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5" Type="http://schemas.openxmlformats.org/officeDocument/2006/relationships/hyperlink" Target="https://github.com/NanairoNika/JourSemiFin/upload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7" Type="http://schemas.openxmlformats.org/officeDocument/2006/relationships/hyperlink" Target="https://www.cafonline.org/" TargetMode="External"/><Relationship Id="rId16" Type="http://schemas.openxmlformats.org/officeDocument/2006/relationships/hyperlink" Target="https://ru.wikipedia.org/wiki/%D0%91%D0%BB%D0%B0%D0%B3%D0%BE%D1%82%D0%B2%D0%BE%D1%80%D0%B8%D1%82%D0%B5%D0%BB%D1%8C%D0%BD%D0%BE%D1%81%D1%82%D1%8C#%C2%AB%D0%91%D0%BB%D0%B0%D0%B3%D0%BE%D1%82%D0%B2%D0%BE%D1%80%D0%B8%D1%82%D0%B5%D0%BB%D1%8C%D0%BD%D0%B0%D1%8F_%D1%80%D0%B5%D0%B2%D0%BE%D0%BB%D1%8E%D1%86%D0%B8%D1%8F%C2%BB" TargetMode="External"/><Relationship Id="rId19" Type="http://schemas.openxmlformats.org/officeDocument/2006/relationships/hyperlink" Target="https://wciom.ru/analytical-reviews/analiticheskii-obzor/ot-milostyni-k-volonterstvu-kak-menyaetsya-blagotvoritelnost-v-rossii" TargetMode="External"/><Relationship Id="rId18" Type="http://schemas.openxmlformats.org/officeDocument/2006/relationships/hyperlink" Target="https://procharity.r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