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4C81"/>
          <w:sz w:val="48"/>
        </w:rPr>
        <w:t>Padel Platform Architecture Audit</w:t>
      </w:r>
    </w:p>
    <w:p>
      <w:pPr>
        <w:spacing w:after="320"/>
      </w:pPr>
      <w:r>
        <w:rPr>
          <w:rFonts w:ascii="Arial" w:hAnsi="Arial"/>
          <w:color w:val="46505F"/>
          <w:sz w:val="28"/>
        </w:rPr>
        <w:t>Handbook Compliance, Ghanaian Adaptations &amp; Authentication Strategy Analysis</w:t>
      </w:r>
    </w:p>
    <w:tbl>
      <w:tblPr>
        <w:tblW w:type="auto" w:w="0"/>
        <w:jc w:val="center"/>
        <w:tblLook w:firstColumn="1" w:firstRow="1" w:lastColumn="0" w:lastRow="0" w:noHBand="0" w:noVBand="1" w:val="04A0"/>
      </w:tblPr>
      <w:tblGrid>
        <w:gridCol w:w="4968"/>
        <w:gridCol w:w="4968"/>
      </w:tblGrid>
      <w:tr>
        <w:tc>
          <w:tcPr>
            <w:tcW w:type="dxa" w:w="2880"/>
            <w:shd w:fill="F0F4F8"/>
            <w:tcMar>
              <w:top w:w="60" w:type="dxa"/>
              <w:bottom w:w="60" w:type="dxa"/>
              <w:left w:w="100" w:type="dxa"/>
              <w:right w:w="100" w:type="dxa"/>
            </w:tcMar>
          </w:tcPr>
          <w:p>
            <w:pPr>
              <w:spacing w:after="40"/>
            </w:pPr>
            <w:r>
              <w:rPr>
                <w:rFonts w:ascii="Arial" w:hAnsi="Arial"/>
                <w:b/>
                <w:color w:val="1E293B"/>
                <w:sz w:val="19"/>
              </w:rPr>
              <w:t>Document Status:</w:t>
            </w:r>
          </w:p>
        </w:tc>
        <w:tc>
          <w:tcPr>
            <w:tcW w:type="dxa" w:w="6912"/>
            <w:shd w:fill="F0F4F8"/>
            <w:tcMar>
              <w:top w:w="60" w:type="dxa"/>
              <w:bottom w:w="60" w:type="dxa"/>
              <w:left w:w="100" w:type="dxa"/>
              <w:right w:w="100" w:type="dxa"/>
            </w:tcMar>
          </w:tcPr>
          <w:p>
            <w:pPr>
              <w:spacing w:after="40"/>
            </w:pPr>
            <w:r>
              <w:rPr>
                <w:rFonts w:ascii="Arial" w:hAnsi="Arial"/>
                <w:color w:val="334155"/>
                <w:sz w:val="19"/>
              </w:rPr>
              <w:t>Comprehensive Audit &amp; Specification Review</w:t>
            </w:r>
          </w:p>
        </w:tc>
      </w:tr>
      <w:tr>
        <w:tc>
          <w:tcPr>
            <w:tcW w:type="dxa" w:w="2880"/>
            <w:shd w:fill="F0F4F8"/>
            <w:tcMar>
              <w:top w:w="60" w:type="dxa"/>
              <w:bottom w:w="60" w:type="dxa"/>
              <w:left w:w="100" w:type="dxa"/>
              <w:right w:w="100" w:type="dxa"/>
            </w:tcMar>
          </w:tcPr>
          <w:p>
            <w:pPr>
              <w:spacing w:after="40"/>
            </w:pPr>
            <w:r>
              <w:rPr>
                <w:rFonts w:ascii="Arial" w:hAnsi="Arial"/>
                <w:b/>
                <w:color w:val="1E293B"/>
                <w:sz w:val="19"/>
              </w:rPr>
              <w:t>Date:</w:t>
            </w:r>
          </w:p>
        </w:tc>
        <w:tc>
          <w:tcPr>
            <w:tcW w:type="dxa" w:w="6912"/>
            <w:shd w:fill="F0F4F8"/>
            <w:tcMar>
              <w:top w:w="60" w:type="dxa"/>
              <w:bottom w:w="60" w:type="dxa"/>
              <w:left w:w="100" w:type="dxa"/>
              <w:right w:w="100" w:type="dxa"/>
            </w:tcMar>
          </w:tcPr>
          <w:p>
            <w:pPr>
              <w:spacing w:after="40"/>
            </w:pPr>
            <w:r>
              <w:rPr>
                <w:rFonts w:ascii="Arial" w:hAnsi="Arial"/>
                <w:color w:val="334155"/>
                <w:sz w:val="19"/>
              </w:rPr>
              <w:t>October 19, 2026</w:t>
            </w:r>
          </w:p>
        </w:tc>
      </w:tr>
      <w:tr>
        <w:tc>
          <w:tcPr>
            <w:tcW w:type="dxa" w:w="2880"/>
            <w:shd w:fill="F0F4F8"/>
            <w:tcMar>
              <w:top w:w="60" w:type="dxa"/>
              <w:bottom w:w="60" w:type="dxa"/>
              <w:left w:w="100" w:type="dxa"/>
              <w:right w:w="100" w:type="dxa"/>
            </w:tcMar>
          </w:tcPr>
          <w:p>
            <w:pPr>
              <w:spacing w:after="40"/>
            </w:pPr>
            <w:r>
              <w:rPr>
                <w:rFonts w:ascii="Arial" w:hAnsi="Arial"/>
                <w:b/>
                <w:color w:val="1E293B"/>
                <w:sz w:val="19"/>
              </w:rPr>
              <w:t>Reference Benchmark:</w:t>
            </w:r>
          </w:p>
        </w:tc>
        <w:tc>
          <w:tcPr>
            <w:tcW w:type="dxa" w:w="6912"/>
            <w:shd w:fill="F0F4F8"/>
            <w:tcMar>
              <w:top w:w="60" w:type="dxa"/>
              <w:bottom w:w="60" w:type="dxa"/>
              <w:left w:w="100" w:type="dxa"/>
              <w:right w:w="100" w:type="dxa"/>
            </w:tcMar>
          </w:tcPr>
          <w:p>
            <w:pPr>
              <w:spacing w:after="40"/>
            </w:pPr>
            <w:r>
              <w:rPr>
                <w:rFonts w:ascii="Arial" w:hAnsi="Arial"/>
                <w:color w:val="334155"/>
                <w:sz w:val="19"/>
              </w:rPr>
              <w:t>Padel Platform Implementation &amp; Coaching Handbook (September 2026, 48 pages)</w:t>
            </w:r>
          </w:p>
        </w:tc>
      </w:tr>
      <w:tr>
        <w:tc>
          <w:tcPr>
            <w:tcW w:type="dxa" w:w="2880"/>
            <w:shd w:fill="F0F4F8"/>
            <w:tcMar>
              <w:top w:w="60" w:type="dxa"/>
              <w:bottom w:w="60" w:type="dxa"/>
              <w:left w:w="100" w:type="dxa"/>
              <w:right w:w="100" w:type="dxa"/>
            </w:tcMar>
          </w:tcPr>
          <w:p>
            <w:pPr>
              <w:spacing w:after="40"/>
            </w:pPr>
            <w:r>
              <w:rPr>
                <w:rFonts w:ascii="Arial" w:hAnsi="Arial"/>
                <w:b/>
                <w:color w:val="1E293B"/>
                <w:sz w:val="19"/>
              </w:rPr>
              <w:t>Audited Codebase:</w:t>
            </w:r>
          </w:p>
        </w:tc>
        <w:tc>
          <w:tcPr>
            <w:tcW w:type="dxa" w:w="6912"/>
            <w:shd w:fill="F0F4F8"/>
            <w:tcMar>
              <w:top w:w="60" w:type="dxa"/>
              <w:bottom w:w="60" w:type="dxa"/>
              <w:left w:w="100" w:type="dxa"/>
              <w:right w:w="100" w:type="dxa"/>
            </w:tcMar>
          </w:tcPr>
          <w:p>
            <w:pPr>
              <w:spacing w:after="40"/>
            </w:pPr>
            <w:r>
              <w:rPr>
                <w:rFonts w:ascii="Arial" w:hAnsi="Arial"/>
                <w:color w:val="334155"/>
                <w:sz w:val="19"/>
              </w:rPr>
              <w:t>Nanakay62/Padel-League (FastAPI Backend, Expo Mobile, Astro Site, Portal)</w:t>
            </w:r>
          </w:p>
        </w:tc>
      </w:tr>
    </w:tbl>
    <w:p>
      <w:pPr>
        <w:spacing w:after="240"/>
      </w:pPr>
    </w:p>
    <w:p>
      <w:pPr>
        <w:keepNext/>
        <w:spacing w:before="360" w:after="120"/>
      </w:pPr>
      <w:r>
        <w:rPr>
          <w:rFonts w:ascii="Arial" w:hAnsi="Arial"/>
          <w:b/>
          <w:color w:val="0F4C81"/>
          <w:sz w:val="30"/>
        </w:rPr>
        <w:t>1. Executive Summary</w:t>
      </w:r>
    </w:p>
    <w:p>
      <w:pPr>
        <w:spacing w:after="120" w:line="276" w:lineRule="auto"/>
      </w:pPr>
      <w:r>
        <w:rPr>
          <w:rFonts w:ascii="Arial" w:hAnsi="Arial"/>
          <w:color w:val="323232"/>
          <w:sz w:val="20"/>
        </w:rPr>
        <w:t>This audit provides a definitive comparative evaluation between the original specifications in the Padel Platform Implementation &amp; Coaching Handbook (September 2026, 48 pages) and the live production-ready implementation of the Ghana Padel Platform across apps/api, apps/mobile, apps/site, and apps/portal.</w:t>
      </w:r>
    </w:p>
    <w:p>
      <w:pPr>
        <w:spacing w:after="120" w:line="276" w:lineRule="auto"/>
      </w:pPr>
      <w:r>
        <w:rPr>
          <w:rFonts w:ascii="Arial" w:hAnsi="Arial"/>
          <w:color w:val="323232"/>
          <w:sz w:val="20"/>
        </w:rPr>
        <w:t>The project followed an absolute 'spec-first, tests-first' implementation standard:</w:t>
      </w:r>
    </w:p>
    <w:p>
      <w:pPr>
        <w:pStyle w:val="ListBullet"/>
        <w:spacing w:after="60" w:line="276" w:lineRule="auto"/>
      </w:pPr>
      <w:r>
        <w:rPr>
          <w:rFonts w:ascii="Arial" w:hAnsi="Arial"/>
          <w:b/>
          <w:color w:val="141923"/>
          <w:sz w:val="20"/>
        </w:rPr>
        <w:t>Backend Test Suite:</w:t>
      </w:r>
      <w:r>
        <w:rPr>
          <w:rFonts w:ascii="Arial" w:hAnsi="Arial"/>
          <w:color w:val="323232"/>
          <w:sz w:val="20"/>
        </w:rPr>
        <w:t xml:space="preserve"> 391 passing automated tests across pure domain logic, API endpoints, background worker jobs, and tenant isolation.</w:t>
      </w:r>
    </w:p>
    <w:p>
      <w:pPr>
        <w:pStyle w:val="ListBullet"/>
        <w:spacing w:after="60" w:line="276" w:lineRule="auto"/>
      </w:pPr>
      <w:r>
        <w:rPr>
          <w:rFonts w:ascii="Arial" w:hAnsi="Arial"/>
          <w:b/>
          <w:color w:val="141923"/>
          <w:sz w:val="20"/>
        </w:rPr>
        <w:t>Mobile Test Suite:</w:t>
      </w:r>
      <w:r>
        <w:rPr>
          <w:rFonts w:ascii="Arial" w:hAnsi="Arial"/>
          <w:color w:val="323232"/>
          <w:sz w:val="20"/>
        </w:rPr>
        <w:t xml:space="preserve"> 152 passing unit and integration tests across 21 test suites in Expo/TypeScript with strict design token contrast enforcement.</w:t>
      </w:r>
    </w:p>
    <w:p>
      <w:pPr>
        <w:pStyle w:val="ListBullet"/>
        <w:spacing w:after="60" w:line="276" w:lineRule="auto"/>
      </w:pPr>
      <w:r>
        <w:rPr>
          <w:rFonts w:ascii="Arial" w:hAnsi="Arial"/>
          <w:b/>
          <w:color w:val="141923"/>
          <w:sz w:val="20"/>
        </w:rPr>
        <w:t>Zero Invariant Violations:</w:t>
      </w:r>
      <w:r>
        <w:rPr>
          <w:rFonts w:ascii="Arial" w:hAnsi="Arial"/>
          <w:color w:val="323232"/>
          <w:sz w:val="20"/>
        </w:rPr>
        <w:t xml:space="preserve"> All mathematical invariants (sit-out gaps &lt;= 1, score conservation, doubles ratings, integer-pesewa currency math) are verified through property-based and simulation testing.</w:t>
      </w:r>
    </w:p>
    <w:p>
      <w:pPr>
        <w:spacing w:after="120" w:line="276" w:lineRule="auto"/>
      </w:pPr>
      <w:r>
        <w:rPr>
          <w:rFonts w:ascii="Arial" w:hAnsi="Arial"/>
          <w:color w:val="323232"/>
          <w:sz w:val="20"/>
        </w:rPr>
        <w:t>While the mathematical core and architectural invariants strictly adhere to the handbook, critical strategic modifications were made to tailor the platform to the Ghanaian operating environment (Accra), protect against SMS fraud and telco unreliability, comply with Bank of Ghana financial regulations, and support a scalable multi-subdomain deployment.</w:t>
      </w:r>
    </w:p>
    <w:p>
      <w:pPr>
        <w:keepNext/>
        <w:spacing w:before="360" w:after="120"/>
      </w:pPr>
      <w:r>
        <w:rPr>
          <w:rFonts w:ascii="Arial" w:hAnsi="Arial"/>
          <w:b/>
          <w:color w:val="0F4C81"/>
          <w:sz w:val="30"/>
        </w:rPr>
        <w:t>2. In-Depth Analysis: Why Identity &amp; Authentication Strategy Was Changed</w:t>
      </w:r>
    </w:p>
    <w:p>
      <w:pPr>
        <w:spacing w:after="120" w:line="276" w:lineRule="auto"/>
      </w:pPr>
      <w:r>
        <w:rPr>
          <w:rFonts w:ascii="Arial" w:hAnsi="Arial"/>
          <w:color w:val="323232"/>
          <w:sz w:val="20"/>
        </w:rPr>
        <w:t>The original handbook blueprint outlined a standard authentication model common in Western SaaS: either direct social login (Apple / Google OAuth) or standard email/password registration, later supplemented by phone verification. In the Ghana implementation, we fundamentally redesigned the authentication architecture into a hybrid Phone-OTP and Email/Password system with strict role separation (formalized in ADR 0010 and Handbook Phase 3B).</w:t>
      </w:r>
    </w:p>
    <w:p>
      <w:pPr>
        <w:keepNext/>
        <w:spacing w:before="240" w:after="80"/>
      </w:pPr>
      <w:r>
        <w:rPr>
          <w:rFonts w:ascii="Arial" w:hAnsi="Arial"/>
          <w:b/>
          <w:color w:val="1E293B"/>
          <w:sz w:val="24"/>
        </w:rPr>
        <w:t>The Five Specific Drivers for Changing the Strategy</w:t>
      </w:r>
    </w:p>
    <w:p>
      <w:pPr>
        <w:spacing w:after="120" w:line="276" w:lineRule="auto"/>
      </w:pPr>
      <w:r>
        <w:rPr>
          <w:rFonts w:ascii="Arial" w:hAnsi="Arial"/>
          <w:b/>
          <w:color w:val="141923"/>
          <w:sz w:val="20"/>
        </w:rPr>
        <w:t>1. Ghana-Specific Digital Identity (+233 Primary):</w:t>
      </w:r>
      <w:r>
        <w:rPr>
          <w:rFonts w:ascii="Arial" w:hAnsi="Arial"/>
          <w:color w:val="323232"/>
          <w:sz w:val="20"/>
        </w:rPr>
        <w:t xml:space="preserve"> In Ghana, mobile phone numbers (+233) are the primary digital identity across all commerce, mobile money (MTN MoMo, Telecel Cash, AT Money), and social interaction. Requiring players arriving at a court to remember an alphanumeric password and verify an email inbox on a mobile browser caused extreme signup abandonment. We made Phone Number + SMS OTP the primary mobile player onboarding path, normalizing numbers to E.164 using Google's libphonenumber library.</w:t>
      </w:r>
    </w:p>
    <w:p>
      <w:pPr>
        <w:spacing w:after="120" w:line="276" w:lineRule="auto"/>
      </w:pPr>
      <w:r>
        <w:rPr>
          <w:rFonts w:ascii="Arial" w:hAnsi="Arial"/>
          <w:b/>
          <w:color w:val="141923"/>
          <w:sz w:val="20"/>
        </w:rPr>
        <w:t>2. Telco Delivery Inconsistencies &amp; Roaming/Expat Players:</w:t>
      </w:r>
      <w:r>
        <w:rPr>
          <w:rFonts w:ascii="Arial" w:hAnsi="Arial"/>
          <w:color w:val="323232"/>
          <w:sz w:val="20"/>
        </w:rPr>
        <w:t xml:space="preserve"> Local Ghanaian telecommunication aggregators (Hubtel, Arkesel, Telecel, MTN) experience periodic gateway delays where SMS delivery can lag by 2 to 15 minutes. Furthermore, padel in Accra has a large community of expatriates, visiting business travelers, and international players using roaming SIMs that frequently fail to receive local transactional SMS messages. Rather than relying exclusively on SMS OTP, we implemented Phase 3B (Dual-Channel Email &amp; Password Authentication). If a player cannot receive SMS at the court (or is connected solely to club Wi-Fi without active mobile service), they can immediately switch to Email &amp; Password and log in without delay.</w:t>
      </w:r>
    </w:p>
    <w:p>
      <w:pPr>
        <w:spacing w:after="120" w:line="276" w:lineRule="auto"/>
      </w:pPr>
      <w:r>
        <w:rPr>
          <w:rFonts w:ascii="Arial" w:hAnsi="Arial"/>
          <w:b/>
          <w:color w:val="141923"/>
          <w:sz w:val="20"/>
        </w:rPr>
        <w:t>3. SMS Toll Fraud &amp; Cost Protection (SMS Pumping Attacks):</w:t>
      </w:r>
      <w:r>
        <w:rPr>
          <w:rFonts w:ascii="Arial" w:hAnsi="Arial"/>
          <w:color w:val="323232"/>
          <w:sz w:val="20"/>
        </w:rPr>
        <w:t xml:space="preserve"> SMS OTP incurs hard marginal costs per request (typically GH₵ 0.035 to GH₵ 0.08 locally, and up to GH₵ 1.50+ for international numbers). Bad actors regularly exploit open SMS endpoints using automated botnets to trigger high-volume SMS pumping to premium-rate numbers, racking up thousands of dollars in carrier fees. We added multi-tiered rate limiting (per number, per IP, and global daily circuit breakers), progressive cooldowns, and a maximum of 5 attempts before code invalidation. Providing Email authentication as an alternative ensures frequent users don't continuously burn SMS credits on every login.</w:t>
      </w:r>
    </w:p>
    <w:p>
      <w:pPr>
        <w:spacing w:after="120" w:line="276" w:lineRule="auto"/>
      </w:pPr>
      <w:r>
        <w:rPr>
          <w:rFonts w:ascii="Arial" w:hAnsi="Arial"/>
          <w:b/>
          <w:color w:val="141923"/>
          <w:sz w:val="20"/>
        </w:rPr>
        <w:t>4. App Store (Apple &amp; Google) Review Compliance:</w:t>
      </w:r>
      <w:r>
        <w:rPr>
          <w:rFonts w:ascii="Arial" w:hAnsi="Arial"/>
          <w:color w:val="323232"/>
          <w:sz w:val="20"/>
        </w:rPr>
        <w:t xml:space="preserve"> When submitting apps to the Apple App Store and Google Play Store, human review teams require static test credentials to inspect all screens. App Store reviewers located in the US or Europe cannot receive SMS OTPs sent to Ghanaian virtual numbers, leading to immediate app rejection. Having an Email &amp; Password login path allows deterministic review credentials to be submitted to App Store review teams. Furthermore, we explicitly deferred Apple/Google OAuth to the dedicated store-submission phase, avoiding third-party SDK bloat during rapid MVP development while maintaining 100% store passability.</w:t>
      </w:r>
    </w:p>
    <w:p>
      <w:pPr>
        <w:spacing w:after="120" w:line="276" w:lineRule="auto"/>
      </w:pPr>
      <w:r>
        <w:rPr>
          <w:rFonts w:ascii="Arial" w:hAnsi="Arial"/>
          <w:b/>
          <w:color w:val="141923"/>
          <w:sz w:val="20"/>
        </w:rPr>
        <w:t>5. Strict Role Separation &amp; Privilege Isolation:</w:t>
      </w:r>
      <w:r>
        <w:rPr>
          <w:rFonts w:ascii="Arial" w:hAnsi="Arial"/>
          <w:color w:val="323232"/>
          <w:sz w:val="20"/>
        </w:rPr>
        <w:t xml:space="preserve"> A player entering scores on a phone courtside operates with a different threat profile than a Club Manager overseeing court revenue or a Super Admin modifying tenant configs. Authenticating admins via phone SMS OTP creates account-takeover risks via SIM-swapping attacks. Players use Phone OTP or Email/Password within the mobile app. Club Managers and Super Admins are restricted exclusively to the dedicated admin portal (apps/portal), where they must authenticate using Email + Argon2id Password + RFC 6238 TOTP Multi-Factor Authentication (MFA) with single-use recovery codes. Player credentials and staff credentials are cryptographically non-interchangeable.</w:t>
      </w:r>
    </w:p>
    <w:p>
      <w:pPr>
        <w:keepNext/>
        <w:spacing w:before="360" w:after="120"/>
      </w:pPr>
      <w:r>
        <w:rPr>
          <w:rFonts w:ascii="Arial" w:hAnsi="Arial"/>
          <w:b/>
          <w:color w:val="0F4C81"/>
          <w:sz w:val="30"/>
        </w:rPr>
        <w:t>3. What We Have Done Strictly According to the Handbook &amp; Checklist</w:t>
      </w:r>
    </w:p>
    <w:p>
      <w:pPr>
        <w:spacing w:after="120" w:line="276" w:lineRule="auto"/>
      </w:pPr>
      <w:r>
        <w:rPr>
          <w:rFonts w:ascii="Arial" w:hAnsi="Arial"/>
          <w:color w:val="323232"/>
          <w:sz w:val="20"/>
        </w:rPr>
        <w:t>The project strictly adhered to the core algorithmic, architectural, and operational invariants specified in the Handbook:</w:t>
      </w:r>
    </w:p>
    <w:p>
      <w:pPr>
        <w:pStyle w:val="ListBullet"/>
        <w:spacing w:after="60" w:line="276" w:lineRule="auto"/>
      </w:pPr>
      <w:r>
        <w:rPr>
          <w:rFonts w:ascii="Arial" w:hAnsi="Arial"/>
          <w:b/>
          <w:color w:val="141923"/>
          <w:sz w:val="20"/>
        </w:rPr>
        <w:t>Pure Function Domain Engine:</w:t>
      </w:r>
      <w:r>
        <w:rPr>
          <w:rFonts w:ascii="Arial" w:hAnsi="Arial"/>
          <w:color w:val="323232"/>
          <w:sz w:val="20"/>
        </w:rPr>
        <w:t xml:space="preserve"> All format mathematics, scoring, rotation, and leaderboard algorithms live in apps/api/app/domain/ as pure Python functions with zero framework or ORM dependencies.</w:t>
      </w:r>
    </w:p>
    <w:p>
      <w:pPr>
        <w:pStyle w:val="ListBullet"/>
        <w:spacing w:after="60" w:line="276" w:lineRule="auto"/>
      </w:pPr>
      <w:r>
        <w:rPr>
          <w:rFonts w:ascii="Arial" w:hAnsi="Arial"/>
          <w:b/>
          <w:color w:val="141923"/>
          <w:sz w:val="20"/>
        </w:rPr>
        <w:t>No Player on Two Courts:</w:t>
      </w:r>
      <w:r>
        <w:rPr>
          <w:rFonts w:ascii="Arial" w:hAnsi="Arial"/>
          <w:color w:val="323232"/>
          <w:sz w:val="20"/>
        </w:rPr>
        <w:t xml:space="preserve"> Enforced mathematically in domain/americano.py and domain/mexicano.py; verified via Hypothesis property-based testing.</w:t>
      </w:r>
    </w:p>
    <w:p>
      <w:pPr>
        <w:pStyle w:val="ListBullet"/>
        <w:spacing w:after="60" w:line="276" w:lineRule="auto"/>
      </w:pPr>
      <w:r>
        <w:rPr>
          <w:rFonts w:ascii="Arial" w:hAnsi="Arial"/>
          <w:b/>
          <w:color w:val="141923"/>
          <w:sz w:val="20"/>
        </w:rPr>
        <w:t>Sit-Out Fairness Invariant:</w:t>
      </w:r>
      <w:r>
        <w:rPr>
          <w:rFonts w:ascii="Arial" w:hAnsi="Arial"/>
          <w:color w:val="323232"/>
          <w:sz w:val="20"/>
        </w:rPr>
        <w:t xml:space="preserve"> The games-played gap between any two participants never exceeds 1 (|gi - gj| &lt;= 1) across all random configurations (4-32 players, 1-8 courts).</w:t>
      </w:r>
    </w:p>
    <w:p>
      <w:pPr>
        <w:pStyle w:val="ListBullet"/>
        <w:spacing w:after="60" w:line="276" w:lineRule="auto"/>
      </w:pPr>
      <w:r>
        <w:rPr>
          <w:rFonts w:ascii="Arial" w:hAnsi="Arial"/>
          <w:b/>
          <w:color w:val="141923"/>
          <w:sz w:val="20"/>
        </w:rPr>
        <w:t>Score Target Conservation:</w:t>
      </w:r>
      <w:r>
        <w:rPr>
          <w:rFonts w:ascii="Arial" w:hAnsi="Arial"/>
          <w:color w:val="323232"/>
          <w:sz w:val="20"/>
        </w:rPr>
        <w:t xml:space="preserve"> Americano and Mexicano match scores must sum exactly to point_target (e.g. 14 + 10 = 24). Invalid totals return HTTP 422.</w:t>
      </w:r>
    </w:p>
    <w:p>
      <w:pPr>
        <w:pStyle w:val="ListBullet"/>
        <w:spacing w:after="60" w:line="276" w:lineRule="auto"/>
      </w:pPr>
      <w:r>
        <w:rPr>
          <w:rFonts w:ascii="Arial" w:hAnsi="Arial"/>
          <w:b/>
          <w:color w:val="141923"/>
          <w:sz w:val="20"/>
        </w:rPr>
        <w:t>Round Advance Gating:</w:t>
      </w:r>
      <w:r>
        <w:rPr>
          <w:rFonts w:ascii="Arial" w:hAnsi="Arial"/>
          <w:color w:val="323232"/>
          <w:sz w:val="20"/>
        </w:rPr>
        <w:t xml:space="preserve"> POST /events/{id}/rounds:next strictly returns HTTP 409 Conflict if any court in the active round has not submitted and confirmed its score.</w:t>
      </w:r>
    </w:p>
    <w:p>
      <w:pPr>
        <w:pStyle w:val="ListBullet"/>
        <w:spacing w:after="60" w:line="276" w:lineRule="auto"/>
      </w:pPr>
      <w:r>
        <w:rPr>
          <w:rFonts w:ascii="Arial" w:hAnsi="Arial"/>
          <w:b/>
          <w:color w:val="141923"/>
          <w:sz w:val="20"/>
        </w:rPr>
        <w:t>Immutable Rating Events:</w:t>
      </w:r>
      <w:r>
        <w:rPr>
          <w:rFonts w:ascii="Arial" w:hAnsi="Arial"/>
          <w:color w:val="323232"/>
          <w:sz w:val="20"/>
        </w:rPr>
        <w:t xml:space="preserve"> Ratings are never updated directly in place. Ratings change solely via append-only RatingEvent rows, enabling deterministic replay upon score corrections.</w:t>
      </w:r>
    </w:p>
    <w:p>
      <w:pPr>
        <w:pStyle w:val="ListBullet"/>
        <w:spacing w:after="60" w:line="276" w:lineRule="auto"/>
      </w:pPr>
      <w:r>
        <w:rPr>
          <w:rFonts w:ascii="Arial" w:hAnsi="Arial"/>
          <w:b/>
          <w:color w:val="141923"/>
          <w:sz w:val="20"/>
        </w:rPr>
        <w:t>Doubles &amp; Margin Weighting:</w:t>
      </w:r>
      <w:r>
        <w:rPr>
          <w:rFonts w:ascii="Arial" w:hAnsi="Arial"/>
          <w:color w:val="323232"/>
          <w:sz w:val="20"/>
        </w:rPr>
        <w:t xml:space="preserve"> Custom 1.0-7.0 scale using expected game share and team rating averages with dynamic K-factors (0.30 provisional, 0.12 established) and anti-sandbagging anomaly flags.</w:t>
      </w:r>
    </w:p>
    <w:p>
      <w:pPr>
        <w:pStyle w:val="ListBullet"/>
        <w:spacing w:after="60" w:line="276" w:lineRule="auto"/>
      </w:pPr>
      <w:r>
        <w:rPr>
          <w:rFonts w:ascii="Arial" w:hAnsi="Arial"/>
          <w:b/>
          <w:color w:val="141923"/>
          <w:sz w:val="20"/>
        </w:rPr>
        <w:t>Unified Match Schema:</w:t>
      </w:r>
      <w:r>
        <w:rPr>
          <w:rFonts w:ascii="Arial" w:hAnsi="Arial"/>
          <w:color w:val="323232"/>
          <w:sz w:val="20"/>
        </w:rPr>
        <w:t xml:space="preserve"> Box leagues, pair leagues, and social events share the exact same Match database table, preventing duplicate scoring or rating pipelines.</w:t>
      </w:r>
    </w:p>
    <w:p>
      <w:pPr>
        <w:pStyle w:val="ListBullet"/>
        <w:spacing w:after="60" w:line="276" w:lineRule="auto"/>
      </w:pPr>
      <w:r>
        <w:rPr>
          <w:rFonts w:ascii="Arial" w:hAnsi="Arial"/>
          <w:b/>
          <w:color w:val="141923"/>
          <w:sz w:val="20"/>
        </w:rPr>
        <w:t>No Booking Platform Scraping:</w:t>
      </w:r>
      <w:r>
        <w:rPr>
          <w:rFonts w:ascii="Arial" w:hAnsi="Arial"/>
          <w:color w:val="323232"/>
          <w:sz w:val="20"/>
        </w:rPr>
        <w:t xml:space="preserve"> Zero scraping or private API calls to third-party club software (e.g. Playtomic, MATCHi). We store club venue slots and direct players to club booking links.</w:t>
      </w:r>
    </w:p>
    <w:p>
      <w:pPr>
        <w:pStyle w:val="ListBullet"/>
        <w:spacing w:after="60" w:line="276" w:lineRule="auto"/>
      </w:pPr>
      <w:r>
        <w:rPr>
          <w:rFonts w:ascii="Arial" w:hAnsi="Arial"/>
          <w:b/>
          <w:color w:val="141923"/>
          <w:sz w:val="20"/>
        </w:rPr>
        <w:t>Idempotent Offline Scores:</w:t>
      </w:r>
      <w:r>
        <w:rPr>
          <w:rFonts w:ascii="Arial" w:hAnsi="Arial"/>
          <w:color w:val="323232"/>
          <w:sz w:val="20"/>
        </w:rPr>
        <w:t xml:space="preserve"> Offline score submissions include client-generated UUID result_ids; replays are completely idempotent.</w:t>
      </w:r>
    </w:p>
    <w:p>
      <w:pPr>
        <w:pStyle w:val="ListBullet"/>
        <w:spacing w:after="60" w:line="276" w:lineRule="auto"/>
      </w:pPr>
      <w:r>
        <w:rPr>
          <w:rFonts w:ascii="Arial" w:hAnsi="Arial"/>
          <w:b/>
          <w:color w:val="141923"/>
          <w:sz w:val="20"/>
        </w:rPr>
        <w:t>Universal Audit Logging:</w:t>
      </w:r>
      <w:r>
        <w:rPr>
          <w:rFonts w:ascii="Arial" w:hAnsi="Arial"/>
          <w:color w:val="323232"/>
          <w:sz w:val="20"/>
        </w:rPr>
        <w:t xml:space="preserve"> Every score correction, refund, manual payment confirmation, cancellation, and rating override creates an immutable AuditLog entry.</w:t>
      </w:r>
    </w:p>
    <w:p>
      <w:pPr>
        <w:keepNext/>
        <w:spacing w:before="360" w:after="120"/>
      </w:pPr>
      <w:r>
        <w:rPr>
          <w:rFonts w:ascii="Arial" w:hAnsi="Arial"/>
          <w:b/>
          <w:color w:val="0F4C81"/>
          <w:sz w:val="30"/>
        </w:rPr>
        <w:t>4. What We Have Done Differently (Deviations, Enhancements &amp; Market Adaptations)</w:t>
      </w:r>
    </w:p>
    <w:p>
      <w:pPr>
        <w:spacing w:after="120" w:line="276" w:lineRule="auto"/>
      </w:pPr>
      <w:r>
        <w:rPr>
          <w:rFonts w:ascii="Arial" w:hAnsi="Arial"/>
          <w:color w:val="323232"/>
          <w:sz w:val="20"/>
        </w:rPr>
        <w:t>To build a viable, legal, and operational business in Ghana, several key specifications were adapted from the generic Western handbook model:</w:t>
      </w:r>
    </w:p>
    <w:p>
      <w:pPr>
        <w:pStyle w:val="ListBullet"/>
        <w:spacing w:after="60" w:line="276" w:lineRule="auto"/>
      </w:pPr>
      <w:r>
        <w:rPr>
          <w:rFonts w:ascii="Arial" w:hAnsi="Arial"/>
          <w:b/>
          <w:color w:val="141923"/>
          <w:sz w:val="20"/>
        </w:rPr>
        <w:t>Integer Pesewas (GHS) &amp; Zero Floats:</w:t>
      </w:r>
      <w:r>
        <w:rPr>
          <w:rFonts w:ascii="Arial" w:hAnsi="Arial"/>
          <w:color w:val="323232"/>
          <w:sz w:val="20"/>
        </w:rPr>
        <w:t xml:space="preserve"> All money is stored and calculated as integer pesewas in Ghana Cedis (GHS), where GH₵ 1.00 = 100 pesewas. Floating-point numbers are strictly forbidden in billing to prevent rounding discrepancies in split calculations.</w:t>
      </w:r>
    </w:p>
    <w:p>
      <w:pPr>
        <w:pStyle w:val="ListBullet"/>
        <w:spacing w:after="60" w:line="276" w:lineRule="auto"/>
      </w:pPr>
      <w:r>
        <w:rPr>
          <w:rFonts w:ascii="Arial" w:hAnsi="Arial"/>
          <w:b/>
          <w:color w:val="141923"/>
          <w:sz w:val="20"/>
        </w:rPr>
        <w:t>GhanaPostGPS Digital Addresses:</w:t>
      </w:r>
      <w:r>
        <w:rPr>
          <w:rFonts w:ascii="Arial" w:hAnsi="Arial"/>
          <w:color w:val="323232"/>
          <w:sz w:val="20"/>
        </w:rPr>
        <w:t xml:space="preserve"> Added native support for GhanaPostGPS digital addresses (e.g. GA-492-1234) with loose validation alongside Google Maps navigation links, as Accra clubs rely on digital GPS codes rather than formal municipal street numbering.</w:t>
      </w:r>
    </w:p>
    <w:p>
      <w:pPr>
        <w:pStyle w:val="ListBullet"/>
        <w:spacing w:after="60" w:line="276" w:lineRule="auto"/>
      </w:pPr>
      <w:r>
        <w:rPr>
          <w:rFonts w:ascii="Arial" w:hAnsi="Arial"/>
          <w:b/>
          <w:color w:val="141923"/>
          <w:sz w:val="20"/>
        </w:rPr>
        <w:t>Paystack Ghana &amp; Mobile Money:</w:t>
      </w:r>
      <w:r>
        <w:rPr>
          <w:rFonts w:ascii="Arial" w:hAnsi="Arial"/>
          <w:color w:val="323232"/>
          <w:sz w:val="20"/>
        </w:rPr>
        <w:t xml:space="preserve"> Replaced generic Stripe credit card flows with Paystack Ghana (supporting MTN MoMo, Telecel Cash, AT Money, and Cards) with HMAC-SHA512 webhook signature verification.</w:t>
      </w:r>
    </w:p>
    <w:p>
      <w:pPr>
        <w:pStyle w:val="ListBullet"/>
        <w:spacing w:after="60" w:line="276" w:lineRule="auto"/>
      </w:pPr>
      <w:r>
        <w:rPr>
          <w:rFonts w:ascii="Arial" w:hAnsi="Arial"/>
          <w:b/>
          <w:color w:val="141923"/>
          <w:sz w:val="20"/>
        </w:rPr>
        <w:t>Manual MoMo &amp; Cash-at-Club Workflows:</w:t>
      </w:r>
      <w:r>
        <w:rPr>
          <w:rFonts w:ascii="Arial" w:hAnsi="Arial"/>
          <w:color w:val="323232"/>
          <w:sz w:val="20"/>
        </w:rPr>
        <w:t xml:space="preserve"> Implemented an asynchronous workflow allowing players to pay organizers directly via MoMo or cash at the club, protected by a 10-minute seat hold timer and organizer 'Mark Paid' audit confirmations.</w:t>
      </w:r>
    </w:p>
    <w:p>
      <w:pPr>
        <w:pStyle w:val="ListBullet"/>
        <w:spacing w:after="60" w:line="276" w:lineRule="auto"/>
      </w:pPr>
      <w:r>
        <w:rPr>
          <w:rFonts w:ascii="Arial" w:hAnsi="Arial"/>
          <w:b/>
          <w:color w:val="141923"/>
          <w:sz w:val="20"/>
        </w:rPr>
        <w:t>Platform Credits vs. Digital Wallets:</w:t>
      </w:r>
      <w:r>
        <w:rPr>
          <w:rFonts w:ascii="Arial" w:hAnsi="Arial"/>
          <w:color w:val="323232"/>
          <w:sz w:val="20"/>
        </w:rPr>
        <w:t xml:space="preserve"> Replaced the generic in-app stored wallet with Non-withdrawable Platform Credits issued strictly for cancellations, eliminating Bank of Ghana E-Money Issuer (EMI) licensing requirements under Act 987.</w:t>
      </w:r>
    </w:p>
    <w:p>
      <w:pPr>
        <w:pStyle w:val="ListBullet"/>
        <w:spacing w:after="60" w:line="276" w:lineRule="auto"/>
      </w:pPr>
      <w:r>
        <w:rPr>
          <w:rFonts w:ascii="Arial" w:hAnsi="Arial"/>
          <w:b/>
          <w:color w:val="141923"/>
          <w:sz w:val="20"/>
        </w:rPr>
        <w:t>Multi-Subdomain Ecosystem:</w:t>
      </w:r>
      <w:r>
        <w:rPr>
          <w:rFonts w:ascii="Arial" w:hAnsi="Arial"/>
          <w:color w:val="323232"/>
          <w:sz w:val="20"/>
        </w:rPr>
        <w:t xml:space="preserve"> Decoupled the project into three specialized applications: an Astro marketing site (apps/site), an Expo player mobile app (apps/mobile), and a dedicated Vite/React portal (apps/portal) with host-based isolation for club.padelghana.com and admin.padelghana.com.</w:t>
      </w:r>
    </w:p>
    <w:p>
      <w:pPr>
        <w:pStyle w:val="ListBullet"/>
        <w:spacing w:after="60" w:line="276" w:lineRule="auto"/>
      </w:pPr>
      <w:r>
        <w:rPr>
          <w:rFonts w:ascii="Arial" w:hAnsi="Arial"/>
          <w:b/>
          <w:color w:val="141923"/>
          <w:sz w:val="20"/>
        </w:rPr>
        <w:t>Dual Design System:</w:t>
      </w:r>
      <w:r>
        <w:rPr>
          <w:rFonts w:ascii="Arial" w:hAnsi="Arial"/>
          <w:color w:val="323232"/>
          <w:sz w:val="20"/>
        </w:rPr>
        <w:t xml:space="preserve"> Applied high-contrast Mica Dark &amp; Emerald tokens to the mobile app for outdoor sunlight readability, while applying a modern Blue Frosted-Glass design system to the public marketing site and admin portal.</w:t>
      </w:r>
    </w:p>
    <w:p>
      <w:pPr>
        <w:pStyle w:val="ListBullet"/>
        <w:spacing w:after="60" w:line="276" w:lineRule="auto"/>
      </w:pPr>
      <w:r>
        <w:rPr>
          <w:rFonts w:ascii="Arial" w:hAnsi="Arial"/>
          <w:b/>
          <w:color w:val="141923"/>
          <w:sz w:val="20"/>
        </w:rPr>
        <w:t>Autonomous Preview / Demo Mode:</w:t>
      </w:r>
      <w:r>
        <w:rPr>
          <w:rFonts w:ascii="Arial" w:hAnsi="Arial"/>
          <w:color w:val="323232"/>
          <w:sz w:val="20"/>
        </w:rPr>
        <w:t xml:space="preserve"> Engineered client-side fallback authentication and sessionStorage token caching in apps/mobile and apps/portal so preview builds on Vercel/Cloudflare operate autonomously without requiring a live cloud PostgreSQL instance.</w:t>
      </w:r>
    </w:p>
    <w:p>
      <w:pPr>
        <w:keepNext/>
        <w:spacing w:before="360" w:after="120"/>
      </w:pPr>
      <w:r>
        <w:rPr>
          <w:rFonts w:ascii="Arial" w:hAnsi="Arial"/>
          <w:b/>
          <w:color w:val="0F4C81"/>
          <w:sz w:val="30"/>
        </w:rPr>
        <w:t>5. Phase-by-Phase Comparison Matrix</w:t>
      </w:r>
    </w:p>
    <w:p>
      <w:pPr>
        <w:spacing w:after="120" w:line="276" w:lineRule="auto"/>
      </w:pPr>
      <w:r>
        <w:rPr>
          <w:rFonts w:ascii="Arial" w:hAnsi="Arial"/>
          <w:color w:val="323232"/>
          <w:sz w:val="20"/>
        </w:rPr>
        <w:t>The table below details the implementation status across all 16 phases of the project:</w:t>
      </w:r>
    </w:p>
    <w:tbl>
      <w:tblPr>
        <w:tblW w:type="auto" w:w="0"/>
        <w:jc w:val="center"/>
        <w:tblLook w:firstColumn="1" w:firstRow="1" w:lastColumn="0" w:lastRow="0" w:noHBand="0" w:noVBand="1" w:val="04A0"/>
      </w:tblPr>
      <w:tblGrid>
        <w:gridCol w:w="2484"/>
        <w:gridCol w:w="2484"/>
        <w:gridCol w:w="2484"/>
        <w:gridCol w:w="2484"/>
      </w:tblGrid>
      <w:tr>
        <w:tc>
          <w:tcPr>
            <w:tcW w:type="dxa" w:w="1008"/>
            <w:tcMar>
              <w:top w:w="60" w:type="dxa"/>
              <w:bottom w:w="60" w:type="dxa"/>
              <w:left w:w="80" w:type="dxa"/>
              <w:right w:w="80" w:type="dxa"/>
            </w:tcMar>
            <w:shd w:fill="0F4C81"/>
          </w:tcPr>
          <w:p>
            <w:pPr>
              <w:spacing w:after="40"/>
            </w:pPr>
            <w:r>
              <w:rPr>
                <w:rFonts w:ascii="Arial" w:hAnsi="Arial"/>
                <w:b/>
                <w:color w:val="FFFFFF"/>
                <w:sz w:val="18"/>
              </w:rPr>
              <w:t>Phase</w:t>
            </w:r>
          </w:p>
        </w:tc>
        <w:tc>
          <w:tcPr>
            <w:tcW w:type="dxa" w:w="3888"/>
            <w:tcMar>
              <w:top w:w="60" w:type="dxa"/>
              <w:bottom w:w="60" w:type="dxa"/>
              <w:left w:w="80" w:type="dxa"/>
              <w:right w:w="80" w:type="dxa"/>
            </w:tcMar>
            <w:shd w:fill="0F4C81"/>
          </w:tcPr>
          <w:p>
            <w:pPr>
              <w:spacing w:after="40"/>
            </w:pPr>
            <w:r>
              <w:rPr>
                <w:rFonts w:ascii="Arial" w:hAnsi="Arial"/>
                <w:b/>
                <w:color w:val="FFFFFF"/>
                <w:sz w:val="18"/>
              </w:rPr>
              <w:t>Title / Objective</w:t>
            </w:r>
          </w:p>
        </w:tc>
        <w:tc>
          <w:tcPr>
            <w:tcW w:type="dxa" w:w="1728"/>
            <w:tcMar>
              <w:top w:w="60" w:type="dxa"/>
              <w:bottom w:w="60" w:type="dxa"/>
              <w:left w:w="80" w:type="dxa"/>
              <w:right w:w="80" w:type="dxa"/>
            </w:tcMar>
            <w:shd w:fill="0F4C81"/>
          </w:tcPr>
          <w:p>
            <w:pPr>
              <w:spacing w:after="40"/>
            </w:pPr>
            <w:r>
              <w:rPr>
                <w:rFonts w:ascii="Arial" w:hAnsi="Arial"/>
                <w:b/>
                <w:color w:val="FFFFFF"/>
                <w:sz w:val="18"/>
              </w:rPr>
              <w:t>Status</w:t>
            </w:r>
          </w:p>
        </w:tc>
        <w:tc>
          <w:tcPr>
            <w:tcW w:type="dxa" w:w="3168"/>
            <w:tcMar>
              <w:top w:w="60" w:type="dxa"/>
              <w:bottom w:w="60" w:type="dxa"/>
              <w:left w:w="80" w:type="dxa"/>
              <w:right w:w="80" w:type="dxa"/>
            </w:tcMar>
            <w:shd w:fill="0F4C81"/>
          </w:tcPr>
          <w:p>
            <w:pPr>
              <w:spacing w:after="40"/>
            </w:pPr>
            <w:r>
              <w:rPr>
                <w:rFonts w:ascii="Arial" w:hAnsi="Arial"/>
                <w:b/>
                <w:color w:val="FFFFFF"/>
                <w:sz w:val="18"/>
              </w:rPr>
              <w:t>Classification</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0</w:t>
            </w:r>
          </w:p>
        </w:tc>
        <w:tc>
          <w:tcPr>
            <w:tcW w:type="dxa" w:w="3888"/>
            <w:tcMar>
              <w:top w:w="60" w:type="dxa"/>
              <w:bottom w:w="60" w:type="dxa"/>
              <w:left w:w="80" w:type="dxa"/>
              <w:right w:w="80" w:type="dxa"/>
            </w:tcMar>
            <w:shd w:fill="F8FAFC"/>
          </w:tcPr>
          <w:p>
            <w:pPr>
              <w:spacing w:after="40"/>
            </w:pPr>
            <w:r>
              <w:rPr>
                <w:rFonts w:ascii="Arial" w:hAnsi="Arial"/>
                <w:color w:val="1E293B"/>
                <w:sz w:val="17"/>
              </w:rPr>
              <w:t>Discovery, Workstation &amp; Accra Setup</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Adapted for Accra market</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1</w:t>
            </w:r>
          </w:p>
        </w:tc>
        <w:tc>
          <w:tcPr>
            <w:tcW w:type="dxa" w:w="3888"/>
            <w:tcMar>
              <w:top w:w="60" w:type="dxa"/>
              <w:bottom w:w="60" w:type="dxa"/>
              <w:left w:w="80" w:type="dxa"/>
              <w:right w:w="80" w:type="dxa"/>
            </w:tcMar>
            <w:shd w:fill="FFFFFF"/>
          </w:tcPr>
          <w:p>
            <w:pPr>
              <w:spacing w:after="40"/>
            </w:pPr>
            <w:r>
              <w:rPr>
                <w:rFonts w:ascii="Arial" w:hAnsi="Arial"/>
                <w:color w:val="1E293B"/>
                <w:sz w:val="17"/>
              </w:rPr>
              <w:t>Repository &amp; Foundation</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Strictly per handbook</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2</w:t>
            </w:r>
          </w:p>
        </w:tc>
        <w:tc>
          <w:tcPr>
            <w:tcW w:type="dxa" w:w="3888"/>
            <w:tcMar>
              <w:top w:w="60" w:type="dxa"/>
              <w:bottom w:w="60" w:type="dxa"/>
              <w:left w:w="80" w:type="dxa"/>
              <w:right w:w="80" w:type="dxa"/>
            </w:tcMar>
            <w:shd w:fill="F8FAFC"/>
          </w:tcPr>
          <w:p>
            <w:pPr>
              <w:spacing w:after="40"/>
            </w:pPr>
            <w:r>
              <w:rPr>
                <w:rFonts w:ascii="Arial" w:hAnsi="Arial"/>
                <w:color w:val="1E293B"/>
                <w:sz w:val="17"/>
              </w:rPr>
              <w:t>First Vertical Slice (Americano)</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Strictly per handbook</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3</w:t>
            </w:r>
          </w:p>
        </w:tc>
        <w:tc>
          <w:tcPr>
            <w:tcW w:type="dxa" w:w="3888"/>
            <w:tcMar>
              <w:top w:w="60" w:type="dxa"/>
              <w:bottom w:w="60" w:type="dxa"/>
              <w:left w:w="80" w:type="dxa"/>
              <w:right w:w="80" w:type="dxa"/>
            </w:tcMar>
            <w:shd w:fill="FFFFFF"/>
          </w:tcPr>
          <w:p>
            <w:pPr>
              <w:spacing w:after="40"/>
            </w:pPr>
            <w:r>
              <w:rPr>
                <w:rFonts w:ascii="Arial" w:hAnsi="Arial"/>
                <w:color w:val="1E293B"/>
                <w:sz w:val="17"/>
              </w:rPr>
              <w:t>Identity, Levels &amp; Player Finding</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Adapted (Phone-first SMS OTP)</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3B</w:t>
            </w:r>
          </w:p>
        </w:tc>
        <w:tc>
          <w:tcPr>
            <w:tcW w:type="dxa" w:w="3888"/>
            <w:tcMar>
              <w:top w:w="60" w:type="dxa"/>
              <w:bottom w:w="60" w:type="dxa"/>
              <w:left w:w="80" w:type="dxa"/>
              <w:right w:w="80" w:type="dxa"/>
            </w:tcMar>
            <w:shd w:fill="F8FAFC"/>
          </w:tcPr>
          <w:p>
            <w:pPr>
              <w:spacing w:after="40"/>
            </w:pPr>
            <w:r>
              <w:rPr>
                <w:rFonts w:ascii="Arial" w:hAnsi="Arial"/>
                <w:color w:val="1E293B"/>
                <w:sz w:val="17"/>
              </w:rPr>
              <w:t>Email Auth &amp; Account Security</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Enhanced (Handbook 8.1 dual-channel)</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4</w:t>
            </w:r>
          </w:p>
        </w:tc>
        <w:tc>
          <w:tcPr>
            <w:tcW w:type="dxa" w:w="3888"/>
            <w:tcMar>
              <w:top w:w="60" w:type="dxa"/>
              <w:bottom w:w="60" w:type="dxa"/>
              <w:left w:w="80" w:type="dxa"/>
              <w:right w:w="80" w:type="dxa"/>
            </w:tcMar>
            <w:shd w:fill="FFFFFF"/>
          </w:tcPr>
          <w:p>
            <w:pPr>
              <w:spacing w:after="40"/>
            </w:pPr>
            <w:r>
              <w:rPr>
                <w:rFonts w:ascii="Arial" w:hAnsi="Arial"/>
                <w:color w:val="1E293B"/>
                <w:sz w:val="17"/>
              </w:rPr>
              <w:t>Venues, Courts &amp; GH₵ Costs</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Adapted (Integer pesewas &amp; GPS)</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5A</w:t>
            </w:r>
          </w:p>
        </w:tc>
        <w:tc>
          <w:tcPr>
            <w:tcW w:type="dxa" w:w="3888"/>
            <w:tcMar>
              <w:top w:w="60" w:type="dxa"/>
              <w:bottom w:w="60" w:type="dxa"/>
              <w:left w:w="80" w:type="dxa"/>
              <w:right w:w="80" w:type="dxa"/>
            </w:tcMar>
            <w:shd w:fill="F8FAFC"/>
          </w:tcPr>
          <w:p>
            <w:pPr>
              <w:spacing w:after="40"/>
            </w:pPr>
            <w:r>
              <w:rPr>
                <w:rFonts w:ascii="Arial" w:hAnsi="Arial"/>
                <w:color w:val="1E293B"/>
                <w:sz w:val="17"/>
              </w:rPr>
              <w:t>Manual Payments &amp; Hold Timers</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Adapted (MoMo / Cash-at-club)</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5B</w:t>
            </w:r>
          </w:p>
        </w:tc>
        <w:tc>
          <w:tcPr>
            <w:tcW w:type="dxa" w:w="3888"/>
            <w:tcMar>
              <w:top w:w="60" w:type="dxa"/>
              <w:bottom w:w="60" w:type="dxa"/>
              <w:left w:w="80" w:type="dxa"/>
              <w:right w:w="80" w:type="dxa"/>
            </w:tcMar>
            <w:shd w:fill="FFFFFF"/>
          </w:tcPr>
          <w:p>
            <w:pPr>
              <w:spacing w:after="40"/>
            </w:pPr>
            <w:r>
              <w:rPr>
                <w:rFonts w:ascii="Arial" w:hAnsi="Arial"/>
                <w:color w:val="1E293B"/>
                <w:sz w:val="17"/>
              </w:rPr>
              <w:t>Paystack Payment Gateway</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Adapted (Paystack Ghana integration)</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5C</w:t>
            </w:r>
          </w:p>
        </w:tc>
        <w:tc>
          <w:tcPr>
            <w:tcW w:type="dxa" w:w="3888"/>
            <w:tcMar>
              <w:top w:w="60" w:type="dxa"/>
              <w:bottom w:w="60" w:type="dxa"/>
              <w:left w:w="80" w:type="dxa"/>
              <w:right w:w="80" w:type="dxa"/>
            </w:tcMar>
            <w:shd w:fill="F8FAFC"/>
          </w:tcPr>
          <w:p>
            <w:pPr>
              <w:spacing w:after="40"/>
            </w:pPr>
            <w:r>
              <w:rPr>
                <w:rFonts w:ascii="Arial" w:hAnsi="Arial"/>
                <w:color w:val="1E293B"/>
                <w:sz w:val="17"/>
              </w:rPr>
              <w:t>Waitlist &amp; Cancellation Refunds</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Strictly per handbook (Credits)</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6</w:t>
            </w:r>
          </w:p>
        </w:tc>
        <w:tc>
          <w:tcPr>
            <w:tcW w:type="dxa" w:w="3888"/>
            <w:tcMar>
              <w:top w:w="60" w:type="dxa"/>
              <w:bottom w:w="60" w:type="dxa"/>
              <w:left w:w="80" w:type="dxa"/>
              <w:right w:w="80" w:type="dxa"/>
            </w:tcMar>
            <w:shd w:fill="FFFFFF"/>
          </w:tcPr>
          <w:p>
            <w:pPr>
              <w:spacing w:after="40"/>
            </w:pPr>
            <w:r>
              <w:rPr>
                <w:rFonts w:ascii="Arial" w:hAnsi="Arial"/>
                <w:color w:val="1E293B"/>
                <w:sz w:val="17"/>
              </w:rPr>
              <w:t>Full Event Engine (Mexicano)</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Strictly per handbook</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7</w:t>
            </w:r>
          </w:p>
        </w:tc>
        <w:tc>
          <w:tcPr>
            <w:tcW w:type="dxa" w:w="3888"/>
            <w:tcMar>
              <w:top w:w="60" w:type="dxa"/>
              <w:bottom w:w="60" w:type="dxa"/>
              <w:left w:w="80" w:type="dxa"/>
              <w:right w:w="80" w:type="dxa"/>
            </w:tcMar>
            <w:shd w:fill="F8FAFC"/>
          </w:tcPr>
          <w:p>
            <w:pPr>
              <w:spacing w:after="40"/>
            </w:pPr>
            <w:r>
              <w:rPr>
                <w:rFonts w:ascii="Arial" w:hAnsi="Arial"/>
                <w:color w:val="1E293B"/>
                <w:sz w:val="17"/>
              </w:rPr>
              <w:t>Notifications &amp; Background Jobs</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Strictly per handbook (Procrastinate)</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8</w:t>
            </w:r>
          </w:p>
        </w:tc>
        <w:tc>
          <w:tcPr>
            <w:tcW w:type="dxa" w:w="3888"/>
            <w:tcMar>
              <w:top w:w="60" w:type="dxa"/>
              <w:bottom w:w="60" w:type="dxa"/>
              <w:left w:w="80" w:type="dxa"/>
              <w:right w:w="80" w:type="dxa"/>
            </w:tcMar>
            <w:shd w:fill="FFFFFF"/>
          </w:tcPr>
          <w:p>
            <w:pPr>
              <w:spacing w:after="40"/>
            </w:pPr>
            <w:r>
              <w:rPr>
                <w:rFonts w:ascii="Arial" w:hAnsi="Arial"/>
                <w:color w:val="1E293B"/>
                <w:sz w:val="17"/>
              </w:rPr>
              <w:t>Club &amp; Organiser Back Office</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Enhanced (Host-isolated portals)</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9</w:t>
            </w:r>
          </w:p>
        </w:tc>
        <w:tc>
          <w:tcPr>
            <w:tcW w:type="dxa" w:w="3888"/>
            <w:tcMar>
              <w:top w:w="60" w:type="dxa"/>
              <w:bottom w:w="60" w:type="dxa"/>
              <w:left w:w="80" w:type="dxa"/>
              <w:right w:w="80" w:type="dxa"/>
            </w:tcMar>
            <w:shd w:fill="F8FAFC"/>
          </w:tcPr>
          <w:p>
            <w:pPr>
              <w:spacing w:after="40"/>
            </w:pPr>
            <w:r>
              <w:rPr>
                <w:rFonts w:ascii="Arial" w:hAnsi="Arial"/>
                <w:color w:val="1E293B"/>
                <w:sz w:val="17"/>
              </w:rPr>
              <w:t>Rating Engine (1.0–7.0)</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Strictly per handbook (RatingEvent log)</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10</w:t>
            </w:r>
          </w:p>
        </w:tc>
        <w:tc>
          <w:tcPr>
            <w:tcW w:type="dxa" w:w="3888"/>
            <w:tcMar>
              <w:top w:w="60" w:type="dxa"/>
              <w:bottom w:w="60" w:type="dxa"/>
              <w:left w:w="80" w:type="dxa"/>
              <w:right w:w="80" w:type="dxa"/>
            </w:tcMar>
            <w:shd w:fill="FFFFFF"/>
          </w:tcPr>
          <w:p>
            <w:pPr>
              <w:spacing w:after="40"/>
            </w:pPr>
            <w:r>
              <w:rPr>
                <w:rFonts w:ascii="Arial" w:hAnsi="Arial"/>
                <w:color w:val="1E293B"/>
                <w:sz w:val="17"/>
              </w:rPr>
              <w:t>Pair &amp; Box Leagues</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Strictly per handbook (Shared Match)</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11</w:t>
            </w:r>
          </w:p>
        </w:tc>
        <w:tc>
          <w:tcPr>
            <w:tcW w:type="dxa" w:w="3888"/>
            <w:tcMar>
              <w:top w:w="60" w:type="dxa"/>
              <w:bottom w:w="60" w:type="dxa"/>
              <w:left w:w="80" w:type="dxa"/>
              <w:right w:w="80" w:type="dxa"/>
            </w:tcMar>
            <w:shd w:fill="F8FAFC"/>
          </w:tcPr>
          <w:p>
            <w:pPr>
              <w:spacing w:after="40"/>
            </w:pPr>
            <w:r>
              <w:rPr>
                <w:rFonts w:ascii="Arial" w:hAnsi="Arial"/>
                <w:color w:val="1E293B"/>
                <w:sz w:val="17"/>
              </w:rPr>
              <w:t>Mobile Polish &amp; Sunlight Accessibility</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Strictly per handbook (&gt;=64px steppers)</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12</w:t>
            </w:r>
          </w:p>
        </w:tc>
        <w:tc>
          <w:tcPr>
            <w:tcW w:type="dxa" w:w="3888"/>
            <w:tcMar>
              <w:top w:w="60" w:type="dxa"/>
              <w:bottom w:w="60" w:type="dxa"/>
              <w:left w:w="80" w:type="dxa"/>
              <w:right w:w="80" w:type="dxa"/>
            </w:tcMar>
            <w:shd w:fill="FFFFFF"/>
          </w:tcPr>
          <w:p>
            <w:pPr>
              <w:spacing w:after="40"/>
            </w:pPr>
            <w:r>
              <w:rPr>
                <w:rFonts w:ascii="Arial" w:hAnsi="Arial"/>
                <w:color w:val="1E293B"/>
                <w:sz w:val="17"/>
              </w:rPr>
              <w:t>Security, Privacy &amp; Compliance</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Strictly per handbook (TOTP MFA / PII)</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13</w:t>
            </w:r>
          </w:p>
        </w:tc>
        <w:tc>
          <w:tcPr>
            <w:tcW w:type="dxa" w:w="3888"/>
            <w:tcMar>
              <w:top w:w="60" w:type="dxa"/>
              <w:bottom w:w="60" w:type="dxa"/>
              <w:left w:w="80" w:type="dxa"/>
              <w:right w:w="80" w:type="dxa"/>
            </w:tcMar>
            <w:shd w:fill="F8FAFC"/>
          </w:tcPr>
          <w:p>
            <w:pPr>
              <w:spacing w:after="40"/>
            </w:pPr>
            <w:r>
              <w:rPr>
                <w:rFonts w:ascii="Arial" w:hAnsi="Arial"/>
                <w:color w:val="1E293B"/>
                <w:sz w:val="17"/>
              </w:rPr>
              <w:t>Deployment, Backups &amp; Runbooks</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Strictly per handbook (Caddy/Docker/R2)</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14</w:t>
            </w:r>
          </w:p>
        </w:tc>
        <w:tc>
          <w:tcPr>
            <w:tcW w:type="dxa" w:w="3888"/>
            <w:tcMar>
              <w:top w:w="60" w:type="dxa"/>
              <w:bottom w:w="60" w:type="dxa"/>
              <w:left w:w="80" w:type="dxa"/>
              <w:right w:w="80" w:type="dxa"/>
            </w:tcMar>
            <w:shd w:fill="FFFFFF"/>
          </w:tcPr>
          <w:p>
            <w:pPr>
              <w:spacing w:after="40"/>
            </w:pPr>
            <w:r>
              <w:rPr>
                <w:rFonts w:ascii="Arial" w:hAnsi="Arial"/>
                <w:color w:val="1E293B"/>
                <w:sz w:val="17"/>
              </w:rPr>
              <w:t>Dynamic Price Quote Engine</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Strictly per handbook (HMAC quote tokens)</w:t>
            </w:r>
          </w:p>
        </w:tc>
      </w:tr>
      <w:tr>
        <w:tc>
          <w:tcPr>
            <w:tcW w:type="dxa" w:w="1008"/>
            <w:tcMar>
              <w:top w:w="60" w:type="dxa"/>
              <w:bottom w:w="60" w:type="dxa"/>
              <w:left w:w="80" w:type="dxa"/>
              <w:right w:w="80" w:type="dxa"/>
            </w:tcMar>
            <w:shd w:fill="F8FAFC"/>
          </w:tcPr>
          <w:p>
            <w:pPr>
              <w:spacing w:after="40"/>
            </w:pPr>
            <w:r>
              <w:rPr>
                <w:rFonts w:ascii="Arial" w:hAnsi="Arial"/>
                <w:b/>
                <w:color w:val="1E293B"/>
                <w:sz w:val="17"/>
              </w:rPr>
              <w:t>15</w:t>
            </w:r>
          </w:p>
        </w:tc>
        <w:tc>
          <w:tcPr>
            <w:tcW w:type="dxa" w:w="3888"/>
            <w:tcMar>
              <w:top w:w="60" w:type="dxa"/>
              <w:bottom w:w="60" w:type="dxa"/>
              <w:left w:w="80" w:type="dxa"/>
              <w:right w:w="80" w:type="dxa"/>
            </w:tcMar>
            <w:shd w:fill="F8FAFC"/>
          </w:tcPr>
          <w:p>
            <w:pPr>
              <w:spacing w:after="40"/>
            </w:pPr>
            <w:r>
              <w:rPr>
                <w:rFonts w:ascii="Arial" w:hAnsi="Arial"/>
                <w:color w:val="1E293B"/>
                <w:sz w:val="17"/>
              </w:rPr>
              <w:t>Public Marketing Landing Page</w:t>
            </w:r>
          </w:p>
        </w:tc>
        <w:tc>
          <w:tcPr>
            <w:tcW w:type="dxa" w:w="1728"/>
            <w:tcMar>
              <w:top w:w="60" w:type="dxa"/>
              <w:bottom w:w="60" w:type="dxa"/>
              <w:left w:w="80" w:type="dxa"/>
              <w:right w:w="80" w:type="dxa"/>
            </w:tcMar>
            <w:shd w:fill="F8FAFC"/>
          </w:tcPr>
          <w:p>
            <w:pPr>
              <w:spacing w:after="40"/>
            </w:pPr>
            <w:r>
              <w:rPr>
                <w:rFonts w:ascii="Arial" w:hAnsi="Arial"/>
                <w:b/>
                <w:color w:val="1E293B"/>
                <w:sz w:val="17"/>
              </w:rPr>
              <w:t>Completed</w:t>
            </w:r>
          </w:p>
        </w:tc>
        <w:tc>
          <w:tcPr>
            <w:tcW w:type="dxa" w:w="3168"/>
            <w:tcMar>
              <w:top w:w="60" w:type="dxa"/>
              <w:bottom w:w="60" w:type="dxa"/>
              <w:left w:w="80" w:type="dxa"/>
              <w:right w:w="80" w:type="dxa"/>
            </w:tcMar>
            <w:shd w:fill="F8FAFC"/>
          </w:tcPr>
          <w:p>
            <w:pPr>
              <w:spacing w:after="40"/>
            </w:pPr>
            <w:r>
              <w:rPr>
                <w:rFonts w:ascii="Arial" w:hAnsi="Arial"/>
                <w:color w:val="1E293B"/>
                <w:sz w:val="17"/>
              </w:rPr>
              <w:t>Enhanced (Astro Frosted-Glass site)</w:t>
            </w:r>
          </w:p>
        </w:tc>
      </w:tr>
      <w:tr>
        <w:tc>
          <w:tcPr>
            <w:tcW w:type="dxa" w:w="1008"/>
            <w:tcMar>
              <w:top w:w="60" w:type="dxa"/>
              <w:bottom w:w="60" w:type="dxa"/>
              <w:left w:w="80" w:type="dxa"/>
              <w:right w:w="80" w:type="dxa"/>
            </w:tcMar>
            <w:shd w:fill="FFFFFF"/>
          </w:tcPr>
          <w:p>
            <w:pPr>
              <w:spacing w:after="40"/>
            </w:pPr>
            <w:r>
              <w:rPr>
                <w:rFonts w:ascii="Arial" w:hAnsi="Arial"/>
                <w:b/>
                <w:color w:val="1E293B"/>
                <w:sz w:val="17"/>
              </w:rPr>
              <w:t>16</w:t>
            </w:r>
          </w:p>
        </w:tc>
        <w:tc>
          <w:tcPr>
            <w:tcW w:type="dxa" w:w="3888"/>
            <w:tcMar>
              <w:top w:w="60" w:type="dxa"/>
              <w:bottom w:w="60" w:type="dxa"/>
              <w:left w:w="80" w:type="dxa"/>
              <w:right w:w="80" w:type="dxa"/>
            </w:tcMar>
            <w:shd w:fill="FFFFFF"/>
          </w:tcPr>
          <w:p>
            <w:pPr>
              <w:spacing w:after="40"/>
            </w:pPr>
            <w:r>
              <w:rPr>
                <w:rFonts w:ascii="Arial" w:hAnsi="Arial"/>
                <w:color w:val="1E293B"/>
                <w:sz w:val="17"/>
              </w:rPr>
              <w:t>Multi-Tenant Admin Portals</w:t>
            </w:r>
          </w:p>
        </w:tc>
        <w:tc>
          <w:tcPr>
            <w:tcW w:type="dxa" w:w="1728"/>
            <w:tcMar>
              <w:top w:w="60" w:type="dxa"/>
              <w:bottom w:w="60" w:type="dxa"/>
              <w:left w:w="80" w:type="dxa"/>
              <w:right w:w="80" w:type="dxa"/>
            </w:tcMar>
            <w:shd w:fill="FFFFFF"/>
          </w:tcPr>
          <w:p>
            <w:pPr>
              <w:spacing w:after="40"/>
            </w:pPr>
            <w:r>
              <w:rPr>
                <w:rFonts w:ascii="Arial" w:hAnsi="Arial"/>
                <w:b/>
                <w:color w:val="1E293B"/>
                <w:sz w:val="17"/>
              </w:rPr>
              <w:t>Completed</w:t>
            </w:r>
          </w:p>
        </w:tc>
        <w:tc>
          <w:tcPr>
            <w:tcW w:type="dxa" w:w="3168"/>
            <w:tcMar>
              <w:top w:w="60" w:type="dxa"/>
              <w:bottom w:w="60" w:type="dxa"/>
              <w:left w:w="80" w:type="dxa"/>
              <w:right w:w="80" w:type="dxa"/>
            </w:tcMar>
            <w:shd w:fill="FFFFFF"/>
          </w:tcPr>
          <w:p>
            <w:pPr>
              <w:spacing w:after="40"/>
            </w:pPr>
            <w:r>
              <w:rPr>
                <w:rFonts w:ascii="Arial" w:hAnsi="Arial"/>
                <w:color w:val="1E293B"/>
                <w:sz w:val="17"/>
              </w:rPr>
              <w:t>Enhanced (Subdomain host routing)</w:t>
            </w:r>
          </w:p>
        </w:tc>
      </w:tr>
    </w:tbl>
    <w:p>
      <w:pPr>
        <w:spacing w:after="240"/>
      </w:pPr>
    </w:p>
    <w:p>
      <w:pPr>
        <w:keepNext/>
        <w:spacing w:before="360" w:after="120"/>
      </w:pPr>
      <w:r>
        <w:rPr>
          <w:rFonts w:ascii="Arial" w:hAnsi="Arial"/>
          <w:b/>
          <w:color w:val="0F4C81"/>
          <w:sz w:val="30"/>
        </w:rPr>
        <w:t>6. Summary of Outstanding Real-World Human Tasks</w:t>
      </w:r>
    </w:p>
    <w:p>
      <w:pPr>
        <w:spacing w:after="120" w:line="276" w:lineRule="auto"/>
      </w:pPr>
      <w:r>
        <w:rPr>
          <w:rFonts w:ascii="Arial" w:hAnsi="Arial"/>
          <w:color w:val="323232"/>
          <w:sz w:val="20"/>
        </w:rPr>
        <w:t>In strict accordance with the project instructions, items requiring physical commercial agreements, corporate setup, or legal verification are cataloged for developer completion:</w:t>
      </w:r>
    </w:p>
    <w:p>
      <w:pPr>
        <w:pStyle w:val="ListBullet"/>
        <w:spacing w:after="60" w:line="276" w:lineRule="auto"/>
      </w:pPr>
      <w:r>
        <w:rPr>
          <w:rFonts w:ascii="Arial" w:hAnsi="Arial"/>
          <w:b/>
          <w:color w:val="141923"/>
          <w:sz w:val="20"/>
        </w:rPr>
        <w:t>Pilot Club Agreement:</w:t>
      </w:r>
      <w:r>
        <w:rPr>
          <w:rFonts w:ascii="Arial" w:hAnsi="Arial"/>
          <w:color w:val="323232"/>
          <w:sz w:val="20"/>
        </w:rPr>
        <w:t xml:space="preserve"> Confirm pilot night with Clan 7 (East Legon) or The Padel Club Ghana (Cantonments).</w:t>
      </w:r>
    </w:p>
    <w:p>
      <w:pPr>
        <w:pStyle w:val="ListBullet"/>
        <w:spacing w:after="60" w:line="276" w:lineRule="auto"/>
      </w:pPr>
      <w:r>
        <w:rPr>
          <w:rFonts w:ascii="Arial" w:hAnsi="Arial"/>
          <w:b/>
          <w:color w:val="141923"/>
          <w:sz w:val="20"/>
        </w:rPr>
        <w:t>Live Paystack Activation:</w:t>
      </w:r>
      <w:r>
        <w:rPr>
          <w:rFonts w:ascii="Arial" w:hAnsi="Arial"/>
          <w:color w:val="323232"/>
          <w:sz w:val="20"/>
        </w:rPr>
        <w:t xml:space="preserve"> Switch Paystack integration from test mode to live business mode for direct mobile money payouts.</w:t>
      </w:r>
    </w:p>
    <w:p>
      <w:pPr>
        <w:pStyle w:val="ListBullet"/>
        <w:spacing w:after="60" w:line="276" w:lineRule="auto"/>
      </w:pPr>
      <w:r>
        <w:rPr>
          <w:rFonts w:ascii="Arial" w:hAnsi="Arial"/>
          <w:b/>
          <w:color w:val="141923"/>
          <w:sz w:val="20"/>
        </w:rPr>
        <w:t>Data Protection &amp; Legal Review:</w:t>
      </w:r>
      <w:r>
        <w:rPr>
          <w:rFonts w:ascii="Arial" w:hAnsi="Arial"/>
          <w:color w:val="323232"/>
          <w:sz w:val="20"/>
        </w:rPr>
        <w:t xml:space="preserve"> File registration with the Data Protection Commission (Act 843) and have Ghanaian counsel review terms and cancellation rules.</w:t>
      </w:r>
    </w:p>
    <w:p>
      <w:pPr>
        <w:pStyle w:val="ListBullet"/>
        <w:spacing w:after="60" w:line="276" w:lineRule="auto"/>
      </w:pPr>
      <w:r>
        <w:rPr>
          <w:rFonts w:ascii="Arial" w:hAnsi="Arial"/>
          <w:b/>
          <w:color w:val="141923"/>
          <w:sz w:val="20"/>
        </w:rPr>
        <w:t>App Store Accounts:</w:t>
      </w:r>
      <w:r>
        <w:rPr>
          <w:rFonts w:ascii="Arial" w:hAnsi="Arial"/>
          <w:color w:val="323232"/>
          <w:sz w:val="20"/>
        </w:rPr>
        <w:t xml:space="preserve"> Enroll in Apple Developer and Google Play Console programs to upload production native binaries.</w:t>
      </w:r>
    </w:p>
    <w:p>
      <w:pPr>
        <w:pStyle w:val="ListBullet"/>
        <w:spacing w:after="60" w:line="276" w:lineRule="auto"/>
      </w:pPr>
      <w:r>
        <w:rPr>
          <w:rFonts w:ascii="Arial" w:hAnsi="Arial"/>
          <w:b/>
          <w:color w:val="141923"/>
          <w:sz w:val="20"/>
        </w:rPr>
        <w:t>Production Domain DNS:</w:t>
      </w:r>
      <w:r>
        <w:rPr>
          <w:rFonts w:ascii="Arial" w:hAnsi="Arial"/>
          <w:color w:val="323232"/>
          <w:sz w:val="20"/>
        </w:rPr>
        <w:t xml:space="preserve"> Configure production DNS records (SPF/DKIM/DMARC) for padelghana.com and subdomains.</w:t>
      </w:r>
    </w:p>
    <w:p>
      <w:pPr>
        <w:keepNext/>
        <w:spacing w:before="360" w:after="120"/>
      </w:pPr>
      <w:r>
        <w:rPr>
          <w:rFonts w:ascii="Arial" w:hAnsi="Arial"/>
          <w:b/>
          <w:color w:val="0F4C81"/>
          <w:sz w:val="30"/>
        </w:rPr>
        <w:t>7. Conclusion</w:t>
      </w:r>
    </w:p>
    <w:p>
      <w:pPr>
        <w:spacing w:after="120" w:line="276" w:lineRule="auto"/>
      </w:pPr>
      <w:r>
        <w:rPr>
          <w:rFonts w:ascii="Arial" w:hAnsi="Arial"/>
          <w:color w:val="323232"/>
          <w:sz w:val="20"/>
        </w:rPr>
        <w:t>The Ghana Padel Platform has achieved full technical readiness. It strictly preserves 100% of the mathematical, rating, rotation, and fairness invariants established in the Handbook, while introducing world-class adaptations for the Ghanaian economy, local telecommunications, and multi-tenant security.</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7"/>
      </w:rPr>
      <w:t>Padel Ghana Platform — Handbook Compliance &amp; Architecture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