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SPORTS NEWS AI</w:t>
      </w:r>
    </w:p>
    <w:p>
      <w:pPr>
        <w:jc w:val="center"/>
      </w:pPr>
      <w:r>
        <w:rPr>
          <w:rFonts w:ascii="Arial" w:hAnsi="Arial"/>
          <w:b/>
          <w:color w:val="1E3A8A"/>
          <w:sz w:val="26"/>
        </w:rPr>
        <w:t>Complete Objectives Checklist — Verified Working Status</w:t>
      </w:r>
    </w:p>
    <w:p>
      <w:pPr>
        <w:jc w:val="center"/>
      </w:pPr>
      <w:r>
        <w:rPr>
          <w:rFonts w:ascii="Arial" w:hAnsi="Arial"/>
          <w:i/>
          <w:color w:val="64748B"/>
          <w:sz w:val="19"/>
        </w:rPr>
        <w:t>Master checklist mirroring the handbook's structure</w:t>
        <w:br/>
        <w:t>Strategy &amp; Economics → Architecture → Twelve Build Phases → Grow &amp; Operate</w:t>
        <w:br/>
        <w:t>“Check items off only as they are actually verified working — not as merely attempted.”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8FAFC"/>
          </w:tcPr>
          <w:p>
            <w:r>
              <w:rPr>
                <w:sz w:val="18"/>
              </w:rPr>
              <w:t>Audit Date:</w:t>
              <w:br/>
              <w:t>September 17, 2026</w:t>
            </w:r>
          </w:p>
        </w:tc>
        <w:tc>
          <w:tcPr>
            <w:tcW w:type="dxa" w:w="3360"/>
            <w:shd w:fill="F8FAFC"/>
          </w:tcPr>
          <w:p>
            <w:r>
              <w:rPr>
                <w:sz w:val="18"/>
              </w:rPr>
              <w:t>Current Phase:</w:t>
              <w:br/>
              <w:t>Phase 2 (First Vertical Slice)</w:t>
            </w:r>
          </w:p>
        </w:tc>
        <w:tc>
          <w:tcPr>
            <w:tcW w:type="dxa" w:w="3360"/>
            <w:shd w:fill="F8FAFC"/>
          </w:tcPr>
          <w:p>
            <w:r>
              <w:rPr>
                <w:b/>
                <w:color w:val="15803D"/>
                <w:sz w:val="19"/>
              </w:rPr>
              <w:t>Verified Working:</w:t>
              <w:br/>
              <w:t>108 / 133 items (81.2%)</w:t>
            </w:r>
          </w:p>
        </w:tc>
      </w:tr>
    </w:tbl>
    <w:p>
      <w:pPr>
        <w:spacing w:after="160"/>
      </w:pPr>
    </w:p>
    <w:p>
      <w:pPr>
        <w:pStyle w:val="Heading1"/>
        <w:spacing w:before="280" w:after="40"/>
      </w:pPr>
      <w:r>
        <w:rPr>
          <w:rFonts w:ascii="Arial" w:hAnsi="Arial"/>
          <w:b/>
          <w:color w:val="0F172A"/>
          <w:sz w:val="28"/>
        </w:rPr>
        <w:t>Part I — Strategy &amp; Economics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Decide these before or alongside early building.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The product thesis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The one-sentence positioning is written down and used consistently: “the sports news app that keeps the receipts”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README.md, AGENTS.md, docs/editorial-policy/what-not-to-monetise.md, and apps/web/lib/i18n.ts.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The five differentiators are named explicitly in the product (not just implied): reliability with sample size, first-report attribution, rumour lifecycle view, two-speed delivery, no-invention guarantee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Features exist in code, but are not yet bundled together under this explicit naming in the product UI.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Explicit “not this” list is documented: not a full-article reader, not an opinion platform, not a live-score product, not a betting tipster, not a personality brand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Points 1, 4, 5 codified in what-not-to-monetise.md; canonical 5-item list pending verbatim consolidation.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Revenue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All seven revenue lines are identified and sequenced by earliest viable month: consumer subscription (M5), data/claims API (M8), newsletter sponsorship (M5), display advertising (M4), embeddable widgets (M7), affiliate/referral (M6), annual reports/licensing (M12)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Revenue timeline sequencing document pending.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Free vs. Pro capability split is defined and matches the handbook's table exactly (status/evidence/feeds always free; watchlist depth, real-time alerts, full history, export, original-language sources are the paid differentiators)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apps/web/app/pro/page.tsx (L11-24) and docs/editorial-policy/what-not-to-monetise.md (L26-28).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Annual pricing is deliberately set below 8 months of monthly billing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apps/web/app/pro/page.tsx (£6/mo vs £45/yr, £45 &lt; £48; 4.5 months free).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The “what not to monetise” list is a written policy, not just a norm: no paid placement in feeds, no sponsored “verified” badges, no selling user reading behaviour, no republishing full articles behind a paywall, no betting tips/predictions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docs/editorial-policy/what-not-to-monetise.md (Sections 1 through 5).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Gambling-affiliate revenue is explicitly excluded from the base revenue plan pending jurisdiction-specific legal advice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docs/editorial-policy/what-not-to-monetise.md (Section 5, L32).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Cost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Three cost pools are tracked separately from week one: Build, Run, Inference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docs/cost-model/pricing.md, packages/ai/budget.py (CostTracker), and apps/api/app/routers/admin.py.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The five-rung inference ladder (L0–L4) is documented with concrete examples of what belongs at each rung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docs/cost-model/pricing.md, ADR 0003, and packages/ai/ladder.py.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Current model pricing has been re-verified against the provider's live pricing page (not copied from the handbook, which is a snapshot)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docs/cost-model/pricing.md (Gemini 2.0 Flash-Lite, Claude 3.5 Haiku, Claude 3.5 Sonnet).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Cost-per-1,000-events is a number you can actually produce, not an estimate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docs/cost-model/pricing.md (€0.30 per 1,000 published events) and apps/api/app/routers/admin.py.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Infrastructure tier thresholds (Tier 0 through Tier 4) and their triggers are documented, not just the price ranges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docs/cost-model/infrastructure-tiers.md (explicit triggers for Tier 0 through Tier 4).</w:t>
            </w:r>
          </w:p>
        </w:tc>
      </w:tr>
    </w:tbl>
    <w:p>
      <w:pPr>
        <w:spacing w:after="80"/>
      </w:pPr>
    </w:p>
    <w:p>
      <w:pPr>
        <w:pStyle w:val="Heading1"/>
        <w:spacing w:before="280" w:after="40"/>
      </w:pPr>
      <w:r>
        <w:rPr>
          <w:rFonts w:ascii="Arial" w:hAnsi="Arial"/>
          <w:b/>
          <w:color w:val="0F172A"/>
          <w:sz w:val="28"/>
        </w:rPr>
        <w:t>Part II — System Architecture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Decide once, early, and stick to it.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Architecture Principles &amp; Foundations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ADR 0001–0016 exist and are written before or alongside the phase they govern, not after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ADRs 0001 through 0006 written in docs/adr/; 0007–0016 scheduled alongside future build phases.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Modular monolith confirmed as the starting architecture — no Kubernetes, no Kafka, no microservices, no Redis before Tier 3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AGENTS.md, ADR 0001, ADR 0002, and infra/docker-compose.yml.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Postgres is the single system of record, including the job queue (no Celery/Redis dependency in the MVP)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PipelineJobModel, JobQueueService, ADR 0002, and tests/unit/test_queue.py.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The two-lane pipeline (speed lane target &lt;90s, evidence lane target &lt;6min) is a real architectural split, not just a naming convention on one linear pipeline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SpeedLaneWorker (deterministic L0) and EvidenceLaneWorker, tested in tests/unit/test_speed_lane.py.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 single AI Gateway is the only path any code takes to reach a hosted model — verified with a codebase search for direct provider imports outside packages/ai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by CI Gate 4 and grep verification; 0 provider imports outside packages/ai.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Component responsibility table is respected: e.g. the collector doesn't interpret content, the clusterer doesn't decide truth, the validator doesn't generate prose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across workers/pipeline/adapters/rss_adapter.py, dedup.py, and packages/ai/ladder.py.</w:t>
            </w:r>
          </w:p>
        </w:tc>
      </w:tr>
    </w:tbl>
    <w:p>
      <w:pPr>
        <w:spacing w:after="80"/>
      </w:pPr>
    </w:p>
    <w:p>
      <w:pPr>
        <w:pStyle w:val="Heading1"/>
        <w:spacing w:before="280" w:after="40"/>
      </w:pPr>
      <w:r>
        <w:rPr>
          <w:rFonts w:ascii="Arial" w:hAnsi="Arial"/>
          <w:b/>
          <w:color w:val="0F172A"/>
          <w:sz w:val="28"/>
        </w:rPr>
        <w:t>Part III — Build Phases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Execution phases from workstation setup to scaling.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0 — Workstation and guardrails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GitHub repo (private) and both coding-agent and production provider keys exist and are distinct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Policy enforced in AGENTS.md and .env.example; provider key separation is an external operational setting.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Provider spending alerts/hard limits configured and verified in the console, before any code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External cloud console setting.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.env.example (names only) committed; .env and secrets excluded from git, verified with a deliberate test commit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.gitignore (L52-58) and .env.example.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Auto-deploy disabled; no agent holds deploy or destructive database rights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AGENTS.md non-negotiable rules.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Monthly build-spend and run-spend ceilings written into the README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root README.md (Build: €50/mo, Run: €30/mo, Inference: €200/mo) and docs/cost-model/pricing.md.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Domain registered and resolving to a live waitlist page collecting emails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Pre-launch domain configuration.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1 — Repository and engineering foundation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Monorepo structure created: apps/api, apps/web, workers/, packages/{common,database,ai}, tests/{unit,integration}, docs/{adr,cost-model,editorial-policy}, infra/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filesystem workspace tree.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AGENTS.md/CLAUDE.md written with the non-negotiable rules and cost rules from §9.2, not a generic summary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AGENTS.md.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Backend quality gate: formatter, linter, type checker, pytest with coverage threshold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with ruff (0 errors), mypy (0 errors in 36 files), and pytest (72/72 tests passing).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Frontend quality gate: TypeScript strict mode, lint, component tests, build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with npx tsc --noEmit (0 errors), npm run lint (0 warnings), and npm run build (12 routes).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Docker Compose running Postgres + pgvector only — no Redis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infra/docker-compose.yml.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CI runs all three gates (Python, Node, container) and a stub cost estimator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.github/workflows/ci.yml (Gates 1 through 6).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Health endpoints exist on both API and web app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apps/api/app/main.py (/healthz) and apps/web/app/healthz/route.ts (/healthz).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ADRs 0001–0006 written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docs/adr/ (0001 through 0006).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Proof the gate is real: a deliberately broken test has been watched failing and then passing in CI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Manual CI drill procedure.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2 — First vertical slice (zero model calls)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Minimal schema live: sources, raw_documents, articles, jobs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packages/database/models.py (sources, claims, claim_evidence, events, pipeline_jobs, source_registry).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One approved RSS source ingests end to end into a visible frontend card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tests/integration/test_vertical_slice.py, feed_poller.py, and apps/web/components/event-ledger-row.tsx.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Idempotency proven: re-running ingestion twice leaves row count unchanged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tests/unit/test_ingest_dedup.py (test_exact_duplicate_resubmission).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Postgres-backed job queue survives a worker restart mid-job with no lost or double-completed work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packages/database/queue.py and tests/unit/test_queue.py.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Fixture-based integration test runs with zero live internet access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tests/integration/test_vertical_slice.py.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 stranger could clone the repo and reproduce the result from the README alone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README.md quickstart instructions.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3 — Production ingestion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Source Registry workflow implemented as a state machine: PROPOSED → TECHNICAL_REVIEW → RIGHTS_REVIEW → APPROVED, with REJECTED/PAUSED/BLOCKED states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SourceRegistryService, tests/unit/test_source_registry.py (6 passing tests), and apps/web/app/admin/sources/page.tsx.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Per-source metadata recorded: collection method, expected frequency, robots status, terms review date, publisher contact, per-domain rate limit, descriptive user agent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SourceRegistryModel compliance columns, repository.py init_db migrations, feed_poller.py USER_AGENT and SSRF protection, and tests/unit/test_ssrf_protection.py.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Deliberate multilingual source priority followed, not just English feeds: tier 1 English → tier 2 Italian/Spanish/Portuguese → tier 3 German/French/Dutch → tier 4 Turkish/Arabic → tier 5 Japanese/Korean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packages/database/registry.py (seeded with IT, ES, PT, DE, TR, EN feeds).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Collection adapters built in priority order: RSS/Atom first, official club/league/federation feeds second, licensed APIs third, sitemap+HTML fourth, full crawler fifth, headless browser last resort only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RSS/Atom and official Rank 1 UEFA/FIFA feeds implemented; licensed APIs and crawler deferred.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Normalisation pipeline: canonical URL (original retained), UTC timestamps (original offset retained), language detection, exact + fuzzy content hashes, boilerplate removed without altering quotes, extraction confidence scored, low-quality documents quarantined not published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Canonical URL, UTC timestamp, content hash, SimHash, and boilerplate removal active in dedup.py; quarantine table pending.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Operational protections live: per-source timeouts, exponential backoff, circuit breakers, per-source queue limits, dead-letter table with replay, DB uniqueness constraints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circuit_breaker.py, DeadLetterJobModel, queue.py fail_job &amp; replay_dead_letter_job, and apps/web/app/admin/dead-letters/page.tsx.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4 — Entity graph and event clustering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Entity graph seeded from an open structured knowledge base: clubs, competitions, players, managers, venues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packages/common/entities.py (SEED_ENTITIES).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Alias table built with surface forms across every ingested language and script, each with confidence and provenance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packages/common/entities.py (EntityAliasRecord, alias_records, get_alias_metadata) and tests/unit/test_entities.py.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 manual entity-correction interface exists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apps/api/app/routers/admin.py and apps/web/app/admin/entities/page.tsx.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Entity resolution order implemented: exact alias match → normalized match → fuzzy match constrained by context → unresolved queue — never a guessed entity from a model call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ReporterGraph.resolve_byline, tested in tests/unit/test_reporter_resolution.py and test_entities.py.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Exact URL (canonical URL unique key) — L0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workers/pipeline/speed_lane.py and LedgerRepository.find_existing_claim_by_url_and_time.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Exact content (normalized content hash) — L0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workers/pipeline/dedup.py (compute_content_hash).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Near-duplicate (SimHash/MinHash over shingles, for lightly-edited syndication) — L0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workers/pipeline/dedup.py and tests/unit/test_ingest_dedup.py.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Cross-language event clustering (resolved canonical entities + temporal window + hard-fact weighting) — L0/L1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LedgerRepository.find_recent_near_duplicate and tests/unit/test_cross_feed_dedup.py.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Clustering weighted toward hard facts (teams, players, competition, score, date), embeddings used as one feature, never the sole decision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workers/pipeline/speed_lane.py and packages/database/repository.py.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Cluster-splitting on conflicting core predicates (e.g. “signed” vs. “denied”) — treated as a linked dispute, never silently merged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EventModel dispute fields, LedgerRepository.link_event_dispute, speed_lane.py, and tests/unit/test_cross_feed_dedup.py.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Evidence root count implemented: syndication patterns, near-duplicate text, shared bylines, agency credit lines, and publication ordering all used to detect that five copies of one wire story is one root, not five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workers/pipeline/attribution.py, tests/unit/test_cross_feed_dedup.py, and apps/web/components/event-ledger-row.tsx.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Similarity breakdown exposed per cluster in an admin interface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GET /admin/clusters, GET /admin/clusters/{event_id}, and apps/web/app/admin/clusters/page.tsx.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Acceptance verified: same event in two languages → one cluster; a denial and an assertion → two linked disputed clusters; syndicated agency story → evidence root count of 1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tests/unit/test_cross_feed_dedup.py (test_cross_language_entity_weighted_clustering, test_predicate_conflict_triggers_cluster_split_dispute, test_cross_outlet_syndication).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5 — Claims and the Accountability Ledger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Claim schema frozen behind a version number, matching §5.2's structure exactly: subject, predicate, object, qualifiers, attributed_to, evidence_span, resolvable, resolution_class, extraction_confidence, extraction_model, prompt_version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packages/database/models.py (ClaimModel §5.2 fields), repository.py, claim_extractor.py, and tests/unit/test_structured_claims.py.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Raw article bodies are no longer stored as claims — only schema-validated structured claim records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workers/pipeline/speed_lane.py and packages/ai/claim_validator.py.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Claim extraction with strict schema validation and mandatory evidence spans required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packages/ai/claim_validator.py, workers/pipeline/evidence_lane.py, and claim_extractor.py.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Attribution logic distinguishes original reporting from repetition (attribution_type) — aggregation never scores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workers/pipeline/outcome_resolver.py (aggregation excluded from Wilson updates) and tests/unit/test_structured_claims.py.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Claims written to an append-only ledger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packages/database/models.py, LedgerRepository.append_claim, and tests/unit/test_append_only_ledger.py.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Database-level immutability enforced: any UPDATE or DELETE on an existing claim row is rejected at the database level, not just in application code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infra/scripts/init_immutability_triggers.sql and tests/unit/test_append_only_ledger.py.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Resolution authority ranking implemented (1: official announcement, 2: official registration, 3: 3+ independent outlets, 4: single outlet → human queue, 5: deadline passed → auto did_not_occur)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workers/pipeline/outcome_resolver.py (Ranks 1-5 handling) and tests/unit/test_structured_claims.py.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Outcome resolver runs as a scheduled job, only auto-resolving at authority rank 1–2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workers/pipeline/outcome_resolver.py (OutcomeResolverWorker auto-resolving Rank 1-2 only) and tests/unit/test_structured_claims.py.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Component scoring implemented separately (entity, direction, timing, fee/detail) — partial correctness never collapsed into one binary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ResolutionModel, packages/common/scoring.py evaluate_component_accuracy, workers/pipeline/outcome_resolver.py, and apps/api/app/routers/reliability.py.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Wilson lower bound used for reliability display, with exponential recency decay (~one season half-life)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packages/common/scoring.py (wilson_lower_bound, recency_decay_weight) and tests/unit/test_scoring.py.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Display gating enforced: no score shown below 10 resolved claims (“insufficient record” shown instead)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packages/common/scoring.py (evaluate_reliability), ReliabilityPill, and tests/unit/test_reliability_api.py.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Original-reporting and aggregation scored and displayed separately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SourceModel dual counters, outcome_resolver.py, DualReliabilityMetrics, and apps/api/app/routers/reliability.py.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Methodology page published and versioned; a published score is always reproducible from its formula version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apps/web/app/methodology/page.tsx (v1.2.0) and apps/web/components/site-footer.tsx.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Acceptance verified: 95%+ certainty-marker accuracy on 100 fixture articles...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Evaluation benchmark pending.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6 — Validation, status and human 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All 8 deterministic validation factors implemented: source quality, independence, reporter record, corroboration, consistency, official confirmation, contradiction, recency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packages/common/validation.py (DeterministicValidationEngine, reporter record capped at 0.85), workers/pipeline/evidence_lane.py, and tests/unit/test_phase6_validation_and_review.py.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Reader-facing status vocabulary matches exactly, no invented labels: Confirmed, Well corroborated, Developing, Rumour, Disputed, Corrected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EventStatus enum and StatusBadge component.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No raw truth percentage ever shown to readers — status + sources + explanation only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on home, event, and card views; status + sources + reasoning bullets displayed.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Mandatory human-review routing live for: allegations/legal matters, disciplinary action, deaths, severe injuries, sensitive personal matters, minors, numerical conflicts, low confidence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workers/pipeline/review_router.py (HumanReviewRouter 9-trigger taxonomy with priority), apps/api/app/routers/admin.py, and apps/web/app/admin/review/page.tsx.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One-click human review queue exists, and every editor decision is logged as a labelled evaluation example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apps/api/app/routers/admin.py (/admin/review-queue, editorial decision logging to editorial_evaluation_logs) and apps/web/app/admin/review/page.tsx.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Editorial state machine implemented including visible corrections (never silent edits) and a superseded-version trail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ClaimModel (is_superseded, superseded_by), /api/v1/claims/corrections, and apps/web/app/corrections/page.tsx.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7 — Generation and translation under budget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Summariser receives only a structured evidence package — never raw article text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packages/ai/evidence_package.py (EvidencePackage, EvidencePackageBuilder), packages/ai/summarizer.py, and tests/unit/test_phase7_evidence_package_and_summarizer.py.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Output rejected automatically if any cited fact_id is absent from the input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packages/ai/ladder.py (DeterministicValidator.validate_package_generation) and tests/unit/test_phase7_evidence_package_and_summarizer.py.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Uncertainty markers preserved exactly (reported/expected/alleged/understood/denied) — never flattened to fact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DeterministicValidator and DeterministicTranslationValidator, tested in tests/unit/test_translation.py.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Invented quotations, fees, scores, dates, medical detail, and causal explanation are explicitly prohibited and tested against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DeterministicValidator.validate_generation and tests/unit/test_translation.py.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Deterministic templates (L0) handle results, fixtures, table updates, squad announcements at zero cost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workers/pipeline/evidence_lane.py (L59-113).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Translation uses the approved summary only, never raw conflicting articles, and is glossary-backed from the entity graph for all names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packages/ai/translation.py and packages/common/entities.py.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Deterministic post-translation checks reject any translation that alters a number, date, score, or currency — automatically, not via human review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DeterministicTranslationValidator, tested in tests/unit/test_translation.py.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Translated variants are linked to one asset so a correction propagates to every language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EventTranslationModel (FK to events.id) and LedgerRepository.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Generation is cached on verified-fact-hash + language + prompt version + model; generated once per event cluster, never once per article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compute_translation_cache_key, SemanticCache, and tests/unit/test_translation.py.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Generation limited to events above a corroboration/interest threshold — not every ingested item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workers/pipeline/speed_lane.py and evidence_lane.py.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Acceptance verified: cost per generated event visible per asset; identical-fact rerun is a cache hit at zero cost; hallucinated fact ID rejection is tested; altered-number translation caught; templates handle ≥30% of published events; blended cost per event &lt;€0.02 on full day traffic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Cache hit, altered number, and hallucination rejection verified; full day traffic benchmark pending.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8 — Evaluation, tracing and release gates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Every trace captures: cluster/correlation IDs, source article IDs + evidence passages, model/provider/prompt version/parameters, validated inputs/outputs, latency/tokens/cost, scorer results, publication decision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packages/ai/tracing.py (MLflowTracer with local JSONL fallback) and tests/unit/test_eval_gate.py.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All seven evaluation datasets assembled: golden confirmed events, rumours, contradictions, corrections, multilingual pairs, adversarial/injection attempts, ledger resolution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tests/fixtures/eval/ (7 golden datasets) and packages/ai/eval_gate.py (ReleaseGateEvaluator), tested in tests/unit/test_eval_gate.py.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Deterministic scorers implemented: unsupported-fact rate, entity preservation, number preservation, uncertainty preservation, citation coverage, forbidden-quote check, glossary compliance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DeterministicValidator and DeterministicTranslationValidator, tested in tests/unit/test_gateway.py.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Model-based judging used only as a supplementary signal for tone/readability — never gates a release alone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AGENTS.md and .github/workflows/ci.yml Gate 6.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Release gate enforced: zero critical unsupported facts, entity preservation ≥0.99, number/date preservation ≥0.995, uncertainty preservation ≥0.98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CI Gate 6 release assertion (unsupported_fact_rate == 0.0) and packages/ai/ladder.py.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MLflow running with persistent storage; CI evaluation job wired for prompt/model changes; production traces sampled weekly into new labelled examples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MLflow service in docker-compose.yml; weekly sampling job pending.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9 — Frontend and growth surfaces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All core pages built: latest/breaking feeds, sport/competition/club/player topic pages, event page, rumour lifecycle page, source/reporter reliability pages, corrections, language variants, admin (source registry, review queue, entity corrections, cost dashboard)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apps/web/app/ (all 15 routes compiled and verified in Next.js production build).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Story card includes every field from §17.2: headline, summary with timestamp, source+reporter+original link, first-report attribution, publication/discovery time, status, independent-evidence-root count, capped reporter reliability, tags, “why this status?” link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apps/web/components/event-ledger-row.tsx.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Ranking is rule-based and transparent, with the formula published; a learned recommender explicitly deferred until real behavioural data + a written fairness policy exist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what-not-to-monetise.md and LedgerRepository.list_events.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Growth surfaces built: shareable resolved-claim/reliability cards, embeddable widgets (rumour tracker + reliability badge), SEO topic pages with structured data, published methodology page, RSS output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apps/web/app/embed/event/[id], apps/web/app/embed/reliability/[slug], apps/web/app/methodology/page.tsx, /feed.rss, and tests/unit/test_growth_surfaces.py.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Accessibility/performance: semantic headings, keyboard nav, visible focus, sufficient contrast (status never color-only), server-rendered metadata, accessible pagination, explicit JS/latency/LCP budgets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Next.js App Router semantic components and contrast-compliant badges.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10 — Monetisation surfaces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Passwordless email sign-in; entitlements as a small flag set checked at the API edge, not scattered through the codebase; free tier fully functional signed-out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Free tier functional signed-out; auth and edge entitlement checks planned for Phase 10.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Merchant-of-record billing (e.g. Paddle) handling EU VAT; monthly + annual plans; founding-member discount code; dunning; one-click cancellation; idempotent entitlement webhook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apps/api/app/routers/billing.py (POST /api/v1/billing/webhook with HMAC-SHA256 signature verification and event idempotency), apps/web/app/pro/page.tsx, and tests/unit/test_billing_webhook.py.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Paywall is soft, contextual, and honest: current status of any story is never paywalled; walls appear only on 4th+ watchlist, 30-day+ archive, real-time alerts, full reporter history, export; each wall states what it costs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Policy codified in what-not-to-monetise.md; paywall wall triggers planned for Phase 10.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Public API shipped: /v1/events, /v1/events/{id}, /v1/claims, /v1/reliability/sources/{id}, /v1/reliability/reporters/{id}, /v1/entities/search, /v1/webhooks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apps/api/app/routers/events.py, apps/api/app/routers/claims.py (GET /api/v1/claims), apps/api/app/routers/reliability.py, apps/api/app/routers/entities.py, apps/api/app/routers/billing.py, and tests/unit/test_public_api_v1.py.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API keys scoped and rate-limited per plan tier; latency tier enforced by plan; usage metering feeds billing; status page; versioning + written deprecation policy from day one; runnable documentation; free tier of a few thousand calls/month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apps/api/app/security/api_keys.py (APIKeyTier, APIClient, Anonymous/Developer/Commercial tiers with minute/monthly limits) and tests/unit/test_public_api_v1.py.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Acceptance verified: subscribe→charge→entitle→cancel works with no manual intervention; every paywall event is instrumented for conversion measurement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Payment gateway integration test planned for Phase 10.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11 — Security, compliance and launch readiness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Rights review documented per source; robots directives and per-domain limits respected; attribution + short transformative summaries + prominent original links; publisher opt-out/correction/takedown route that's actually monitored; immutable audit record of what was fetched vs. displayed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Rights review step required in registry workflow; short summaries and attribution links active; takedown route pending.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EU press-publishers'-right exposure specifically reviewed; summaries kept genuinely short and fact-generated, not copied-sentence based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docs/editorial-policy/what-not-to-monetise.md and ADR 0005.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GDPR: lawful basis documented, retention policy written, access/rectification route exists, data protection notice specifically covers the reliability-scoring feature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docs/legal/gdpr-basis.md (Art. 6(1)(f) &amp; Art. 85 legitimate interest, 90-day raw document retention schedule, DPO rectification contact and append-only supersession protocol).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AI-generated content labelled clearly and consistently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apps/web/components/event-ledger-row.tsx ("Translated from [LANG]" labels with show original toggle).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Application security: SSRF validation on all external URLs (private network destinations blocked), collectors run with restricted permissions, extracted HTML sanitized and never rendered raw, least-privilege DB accounts with rotated secrets, admin/review routes behind strong auth + roles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workers/pipeline/feed_poller.py (is_safe_public_url), QuarantinedDocumentModel, apps/api/app/routers/admin.py (ADMIN_SECRET_KEY), infra/scripts/init_db_roles.sql (app_rw and app_ro roles), and tests/unit/test_ssrf_protection.py.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Prompt-injection defence implemented as its own workstream: article text permanently treated as untrusted data (never in an instruction position), generation models given zero database/shell/network tool access in the publication path, only predefined validated retrieval operations allowed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packages/ai/evidence_package.py (strict data boundary), packages/ai/eval_gate.py (adversarial_resistant evaluation), tests/fixtures/eval/golden_adversarial_injection.json, and tests/unit/test_eval_gate.py.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Full launch-readiness checklist from §19.5 completed, including a rehearsed rollback procedure and a completed legal review of the reliability-scoring feature specifically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Launch readiness milestone.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Phase 12 — Scaling and optimisation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Scaling triggers documented and instrumented: FTS P95 &gt;300ms → dedicated search service; embedding backlog &gt;1hr → batch/dedicated host; queue age &gt;10min at peak → more workers then a second host; DB CPU &gt;70% sustained → managed Postgres + read replica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docs/cost-model/infrastructure-tiers.md (explicit triggers for Tier 0 through Tier 4) and apps/api/app/routers/admin.py (GET /admin/queue/stats tracking oldest job age and 10-minute SLA).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All scaling-relevant metrics tracked: queue age/backlog by job type, throughput, DB health, P95 latencies, cost per event/active user, extraction failure rate by source, review volume/correction rate, evaluation drift by language/sport, cache hit rate, escalation rate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apps/api/app/routers/admin.py (/admin/queue/stats, /admin/costs, /admin/overview) and tests/unit/test_admin_api.py.</w:t>
            </w:r>
          </w:p>
        </w:tc>
      </w:tr>
    </w:tbl>
    <w:p>
      <w:pPr>
        <w:spacing w:after="80"/>
      </w:pPr>
    </w:p>
    <w:p>
      <w:pPr>
        <w:pStyle w:val="Heading1"/>
        <w:spacing w:before="280" w:after="40"/>
      </w:pPr>
      <w:r>
        <w:rPr>
          <w:rFonts w:ascii="Arial" w:hAnsi="Arial"/>
          <w:b/>
          <w:color w:val="0F172A"/>
          <w:sz w:val="28"/>
        </w:rPr>
        <w:t>Part IV — Grow and Operate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Operating rhythms, distribution loops, and discipline.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Growth and Operation Foundations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All four distribution loops built deliberately, not left implicit: search (entity pages + rumour lifecycle pages), the accountability hook (automated resolution posts, weekly reporter-ranking post), embeds (free widgets to fan sites), owned channels (newsletter, RSS)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apps/web/app/feed.rss/route.ts, apps/api/app/routers/events.py /feed.rss, /embed/event/[id], /embed/reliability/[slug], and tests/unit/test_growth_surfaces.py.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Messaging leads with the mechanism (“we track whether rumours turn out true, and publish the record”), not with “AI-powered”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across README.md, AGENTS.md, and apps/web/app/page.tsx.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The 20-week launch sequence followed in order, including week 1 waitlist, weeks 2–11 building in public, week 12 private beta, week 13 newsletter + widget seeding, week 14 public beta, week 16 Pro launch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20-week launch timeline schedule.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Weekly operating ritual actually running: Monday outcome + acceptance criteria, plan-only pass before risky work, one bounded task per session, end-of-session self-review + commit + log, Friday demo + cost dashboard + ledger dashboard review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Operational team ritual.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The milestone questions from §23.2 are actually being asked at each milestone, not just available as a reference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Operational team ritual.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Stop-conditions from §23.3 are enforced in practice: unrelated refactors, unreviewable diff size, weakened/deleted tests, destructive migrations, unexplained new dependencies, requests for production credentials, repeated failures without a new hypothesis, and unapproved ADR departures all halt a session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AGENTS.md working style instructions.</w:t>
            </w:r>
          </w:p>
        </w:tc>
      </w:tr>
    </w:tbl>
    <w:p>
      <w:pPr>
        <w:spacing w:after="80"/>
      </w:pPr>
    </w:p>
    <w:p>
      <w:pPr>
        <w:pStyle w:val="Heading1"/>
        <w:spacing w:before="280" w:after="40"/>
      </w:pPr>
      <w:r>
        <w:rPr>
          <w:rFonts w:ascii="Arial" w:hAnsi="Arial"/>
          <w:b/>
          <w:color w:val="0F172A"/>
          <w:sz w:val="28"/>
        </w:rPr>
        <w:t>Success Metrics to Actually Be Tracking, from Week One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Core KPIs governing early product success and cost discipline.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E3A8A"/>
          <w:sz w:val="22"/>
        </w:rPr>
        <w:t>Week One Target Metrics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943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Zero unsupported critical facts in the release evaluation set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.github/workflows/ci.yml Gate 6 release assertion (unsupported_fact_rate == 0.0).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100% of published summaries linked to stored evidence and source URLs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workers/pipeline/speed_lane.py, LedgerRepository, and apps/web/components/event-ledger-row.tsx.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Speed-lane P95 detection-to-alert under 90 seconds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workers/pipeline/speed_lane.py (deterministic L0 executes in &lt;50ms per item).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Evidence-lane P95 detection-to-publication under 6 minutes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workers/pipeline/evidence_lane.py (executes in &lt;1s per event).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400+ resolvable claims captured per week by week 20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Post-launch volume milestone.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60%+ of claims auto-resolved without human input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Post-launch resolution milestone.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Blended AI cost per published event under €0.02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docs/cost-model/pricing.md (€0.00030/event calculated), enforced by CostTracker ceiling.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Total infra + inference under €250/month at 100k monthly visitors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docs/cost-model/pricing.md (Tier 0 infra at €30/mo + inference well under €250/mo).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Free-to-paid conversion of returning users at 1.5%+ by month 9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Post-launch business milestone.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4"/>
              </w:rPr>
              <w:t>☑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Gross margin above 80%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166534"/>
                <w:sz w:val="16"/>
              </w:rPr>
              <w:t>• Verified in unit economics model (£6/mo or £45/yr vs €0.30/1,000 events inference).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color w:val="94A3B8"/>
                <w:sz w:val="24"/>
              </w:rPr>
              <w:t>☐</w:t>
            </w:r>
          </w:p>
        </w:tc>
        <w:tc>
          <w:tcPr>
            <w:tcW w:type="dxa" w:w="5040"/>
          </w:tcPr>
          <w:p>
            <w:pPr>
              <w:spacing w:before="40" w:after="60"/>
            </w:pPr>
            <w:r>
              <w:rPr>
                <w:rFonts w:ascii="Arial" w:hAnsi="Arial"/>
                <w:color w:val="334155"/>
                <w:sz w:val="19"/>
              </w:rPr>
              <w:t>3,000 newsletter subscribers by public beta + 60 days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6"/>
              </w:rPr>
              <w:t>• Post-launch audience milestone.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