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CC54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 《企业库存周转健康度与呆滞品（滞销）管理办法 (v2023)》</w:t>
      </w:r>
    </w:p>
    <w:p w14:paraId="242D78A7" w14:textId="77777777" w:rsidR="00A0650E" w:rsidRDefault="00A0650E" w:rsidP="00A0650E">
      <w:pPr>
        <w:rPr>
          <w:rFonts w:hint="eastAsia"/>
        </w:rPr>
      </w:pPr>
    </w:p>
    <w:p w14:paraId="7F7A52BD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**文档编号：** SOP-FIN-2023-003</w:t>
      </w:r>
    </w:p>
    <w:p w14:paraId="12C52615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**生效日期：** 2023年02月01日</w:t>
      </w:r>
    </w:p>
    <w:p w14:paraId="3052AC33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**发布部门：** 财务部、S&amp;OP 产销协同卓越中心、供应链仓储部</w:t>
      </w:r>
    </w:p>
    <w:p w14:paraId="6EA4FFAF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**适用范围：** 各业务线、销售部、供应链计划部、财务合规部</w:t>
      </w:r>
    </w:p>
    <w:p w14:paraId="4AF1D0A3" w14:textId="77777777" w:rsidR="00A0650E" w:rsidRDefault="00A0650E" w:rsidP="00A0650E">
      <w:pPr>
        <w:rPr>
          <w:rFonts w:hint="eastAsia"/>
        </w:rPr>
      </w:pPr>
    </w:p>
    <w:p w14:paraId="39DDE4FE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---</w:t>
      </w:r>
    </w:p>
    <w:p w14:paraId="10A6ADB5" w14:textId="77777777" w:rsidR="00A0650E" w:rsidRDefault="00A0650E" w:rsidP="00A0650E">
      <w:pPr>
        <w:rPr>
          <w:rFonts w:hint="eastAsia"/>
        </w:rPr>
      </w:pPr>
    </w:p>
    <w:p w14:paraId="6562AC87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 1. 制定目的与管理理念</w:t>
      </w:r>
    </w:p>
    <w:p w14:paraId="1581A497" w14:textId="77777777" w:rsidR="00A0650E" w:rsidRDefault="00A0650E" w:rsidP="00A0650E">
      <w:pPr>
        <w:rPr>
          <w:rFonts w:hint="eastAsia"/>
        </w:rPr>
      </w:pPr>
    </w:p>
    <w:p w14:paraId="2993FDC3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### 1.1 管理目的</w:t>
      </w:r>
    </w:p>
    <w:p w14:paraId="2D7AF191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“库存是企业的血液，滞销是血液的凝块。”合理的库存能够保障前端销售履约，但过高的库存会严重占用公司的营运资金（Working Capital），增加仓储成本，并带来巨大的贬值减值风险。本办法旨在建立科学的库存健康度评估体系，设定不同品类的周转红线，并规范滞销品的清理与财务核销流程，以提升公司整体的资产周转率（Asset Turnover）。</w:t>
      </w:r>
    </w:p>
    <w:p w14:paraId="60920557" w14:textId="77777777" w:rsidR="00A0650E" w:rsidRDefault="00A0650E" w:rsidP="00A0650E">
      <w:pPr>
        <w:rPr>
          <w:rFonts w:hint="eastAsia"/>
        </w:rPr>
      </w:pPr>
    </w:p>
    <w:p w14:paraId="5CE3C740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### 1.2 责任归属</w:t>
      </w:r>
    </w:p>
    <w:p w14:paraId="295FCAA0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**前端业务（销售/运营部）：** 为前端销售目标的达成以及需求预测的准确性负责，是产生超龄库存的最终责任方。</w:t>
      </w:r>
    </w:p>
    <w:p w14:paraId="5AED36F0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**供应链计划部：** 负责日常库存水平的监控，及时发出库存积压预警，并推进促销或调拨计划。</w:t>
      </w:r>
    </w:p>
    <w:p w14:paraId="596174B8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**财务部：** 负责监督滞销品的减值计提，审批产生负毛利的清仓方案。</w:t>
      </w:r>
    </w:p>
    <w:p w14:paraId="0AC7A764" w14:textId="77777777" w:rsidR="00A0650E" w:rsidRDefault="00A0650E" w:rsidP="00A0650E">
      <w:pPr>
        <w:rPr>
          <w:rFonts w:hint="eastAsia"/>
        </w:rPr>
      </w:pPr>
    </w:p>
    <w:p w14:paraId="286D5410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---</w:t>
      </w:r>
    </w:p>
    <w:p w14:paraId="053EAE27" w14:textId="77777777" w:rsidR="00A0650E" w:rsidRDefault="00A0650E" w:rsidP="00A0650E">
      <w:pPr>
        <w:rPr>
          <w:rFonts w:hint="eastAsia"/>
        </w:rPr>
      </w:pPr>
    </w:p>
    <w:p w14:paraId="50ABB475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 2. 核心指标定义与统计算法</w:t>
      </w:r>
    </w:p>
    <w:p w14:paraId="6636BF5F" w14:textId="77777777" w:rsidR="00A0650E" w:rsidRDefault="00A0650E" w:rsidP="00A0650E">
      <w:pPr>
        <w:rPr>
          <w:rFonts w:hint="eastAsia"/>
        </w:rPr>
      </w:pPr>
    </w:p>
    <w:p w14:paraId="5D589BAB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在进行库存管控前，各部门需统一以下数据口径：</w:t>
      </w:r>
    </w:p>
    <w:p w14:paraId="2B58C823" w14:textId="77777777" w:rsidR="00A0650E" w:rsidRDefault="00A0650E" w:rsidP="00A0650E">
      <w:pPr>
        <w:rPr>
          <w:rFonts w:hint="eastAsia"/>
        </w:rPr>
      </w:pPr>
    </w:p>
    <w:p w14:paraId="0802B877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### 2.1 库存周转天数 (DOS, Days of Sales/Supply)</w:t>
      </w:r>
    </w:p>
    <w:p w14:paraId="6B6B6739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**定义：** 按照当前的销售速度，现有库存能够支撑消耗的天数。</w:t>
      </w:r>
    </w:p>
    <w:p w14:paraId="1263E62D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**计算公式：** DOS = 当期期末可用库存数量 / 过去 30 天的日均真实出库量 (ADU, Average Daily Usage)</w:t>
      </w:r>
    </w:p>
    <w:p w14:paraId="1D82188D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**说明：** 计算可用库存时，必须剔除处于次品区、待退回供应商区（RTV）的不可售库存。</w:t>
      </w:r>
    </w:p>
    <w:p w14:paraId="22F4A8A6" w14:textId="77777777" w:rsidR="00A0650E" w:rsidRDefault="00A0650E" w:rsidP="00A0650E">
      <w:pPr>
        <w:rPr>
          <w:rFonts w:hint="eastAsia"/>
        </w:rPr>
      </w:pPr>
    </w:p>
    <w:p w14:paraId="1EF6B077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### 2.2 库龄 (Inventory Age)</w:t>
      </w:r>
    </w:p>
    <w:p w14:paraId="78DC75A2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**定义：** 某批次商品自完成采购入库动作，到当前日期的自然天数。采用先进先出（FIFO）原则计算。</w:t>
      </w:r>
    </w:p>
    <w:p w14:paraId="3C99AEBB" w14:textId="77777777" w:rsidR="00A0650E" w:rsidRDefault="00A0650E" w:rsidP="00A0650E">
      <w:pPr>
        <w:rPr>
          <w:rFonts w:hint="eastAsia"/>
        </w:rPr>
      </w:pPr>
    </w:p>
    <w:p w14:paraId="6ED0FE8B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---</w:t>
      </w:r>
    </w:p>
    <w:p w14:paraId="62C206B1" w14:textId="77777777" w:rsidR="00A0650E" w:rsidRDefault="00A0650E" w:rsidP="00A0650E">
      <w:pPr>
        <w:rPr>
          <w:rFonts w:hint="eastAsia"/>
        </w:rPr>
      </w:pPr>
    </w:p>
    <w:p w14:paraId="4887993B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 3. 各品类库存周转天数管控红线要求（核心条款）</w:t>
      </w:r>
    </w:p>
    <w:p w14:paraId="150E399D" w14:textId="77777777" w:rsidR="00A0650E" w:rsidRDefault="00A0650E" w:rsidP="00A0650E">
      <w:pPr>
        <w:rPr>
          <w:rFonts w:hint="eastAsia"/>
        </w:rPr>
      </w:pPr>
    </w:p>
    <w:p w14:paraId="5DC4F2F5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由于不同类目的商品在保质期、产品生命周期（生命周期衰退速度）、更新换代频率上存在巨大差异，公司拒绝“一刀切”的管理方式。针对公司核心运营类目，明确设定以下库存周转天数（DOS）管控红线：</w:t>
      </w:r>
    </w:p>
    <w:p w14:paraId="67A98050" w14:textId="77777777" w:rsidR="00A0650E" w:rsidRDefault="00A0650E" w:rsidP="00A0650E">
      <w:pPr>
        <w:rPr>
          <w:rFonts w:hint="eastAsia"/>
        </w:rPr>
      </w:pPr>
    </w:p>
    <w:p w14:paraId="6CAC58B3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### 3.1 高周转易耗类目</w:t>
      </w:r>
    </w:p>
    <w:p w14:paraId="2AD3AA7D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**生鲜类目：** 要求库存周转天数不得超过 3 天。</w:t>
      </w:r>
    </w:p>
    <w:p w14:paraId="154040C6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**食品类目：** 由于涉及食品安全及严格的效期管理（临期品极难销售），**要求库存周转天数不超过 20 天**。超过 20 天且未达总保质期 1/3 的，需立即发起组合搭售。</w:t>
      </w:r>
    </w:p>
    <w:p w14:paraId="5D01AAB8" w14:textId="77777777" w:rsidR="00A0650E" w:rsidRDefault="00A0650E" w:rsidP="00A0650E">
      <w:pPr>
        <w:rPr>
          <w:rFonts w:hint="eastAsia"/>
        </w:rPr>
      </w:pPr>
    </w:p>
    <w:p w14:paraId="23FF36ED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### 3.2 中等周转消费品类目</w:t>
      </w:r>
    </w:p>
    <w:p w14:paraId="10EAF306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**数码3C类目：** 电子产品更新换代极快（摩尔定律），极易因新品发布导致旧款迅速贬值。**要求库存周转天数不超过 40 天**。</w:t>
      </w:r>
    </w:p>
    <w:p w14:paraId="2079E740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**化妆品类目：** 毛利较高且保质期通常在三年左右，可适度备货以应对大促波动。但为防范资金占用，**要求库存周转天数不超过 60 天。当化妆品 DOS 大于 60 天时，系统将直接视为具有中高强度的滞销风险**。</w:t>
      </w:r>
    </w:p>
    <w:p w14:paraId="7FA95352" w14:textId="77777777" w:rsidR="00A0650E" w:rsidRDefault="00A0650E" w:rsidP="00A0650E">
      <w:pPr>
        <w:rPr>
          <w:rFonts w:hint="eastAsia"/>
        </w:rPr>
      </w:pPr>
    </w:p>
    <w:p w14:paraId="1DEE5F29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### 3.3 低周转长尾类目</w:t>
      </w:r>
    </w:p>
    <w:p w14:paraId="5CC570CC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**服装鞋包类目：** 受季节性影响巨大，但允许季初存在一定规模的铺货。要求当季服装库存周转天数不超过 90 天，跨季即视为死库。</w:t>
      </w:r>
    </w:p>
    <w:p w14:paraId="1D853833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**家居建材类目：** 客单价高且体积大，要求库存周转天数不超过 120 天。</w:t>
      </w:r>
    </w:p>
    <w:p w14:paraId="1AC9BA32" w14:textId="77777777" w:rsidR="00A0650E" w:rsidRDefault="00A0650E" w:rsidP="00A0650E">
      <w:pPr>
        <w:rPr>
          <w:rFonts w:hint="eastAsia"/>
        </w:rPr>
      </w:pPr>
    </w:p>
    <w:p w14:paraId="47F8D672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---</w:t>
      </w:r>
    </w:p>
    <w:p w14:paraId="3047BBCA" w14:textId="77777777" w:rsidR="00A0650E" w:rsidRDefault="00A0650E" w:rsidP="00A0650E">
      <w:pPr>
        <w:rPr>
          <w:rFonts w:hint="eastAsia"/>
        </w:rPr>
      </w:pPr>
    </w:p>
    <w:p w14:paraId="4AFC0F32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 4. 库存健康度分级与预警机制</w:t>
      </w:r>
    </w:p>
    <w:p w14:paraId="42DFD0B3" w14:textId="77777777" w:rsidR="00A0650E" w:rsidRDefault="00A0650E" w:rsidP="00A0650E">
      <w:pPr>
        <w:rPr>
          <w:rFonts w:hint="eastAsia"/>
        </w:rPr>
      </w:pPr>
    </w:p>
    <w:p w14:paraId="1F562D35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系统将基于每日生成的 DOS 报表，对所有 SKU 的库存健康度进行颜色分级预警：</w:t>
      </w:r>
    </w:p>
    <w:p w14:paraId="48111D59" w14:textId="77777777" w:rsidR="00A0650E" w:rsidRDefault="00A0650E" w:rsidP="00A0650E">
      <w:pPr>
        <w:rPr>
          <w:rFonts w:hint="eastAsia"/>
        </w:rPr>
      </w:pPr>
    </w:p>
    <w:p w14:paraId="539FCA07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1. **绿区（健康状态）：** DOS 处于目标阈值的 50% - 80% 之间。无需干预。</w:t>
      </w:r>
    </w:p>
    <w:p w14:paraId="3416618F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2. **黄区（亚健康预警）：** DOS 达到目标阈值的 80% - 100%。供应链必须限制该 SKU 的再次采购入库动作（拦截 PO）。</w:t>
      </w:r>
    </w:p>
    <w:p w14:paraId="59A97DD2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3. **红区（超龄滞销状态）：** DOS 突破本规定第3章中设定的天数上限。系统将该部分库存标记为“超龄/滞销品”，并强制要求业务线启动清理流程。</w:t>
      </w:r>
    </w:p>
    <w:p w14:paraId="564CB715" w14:textId="77777777" w:rsidR="00A0650E" w:rsidRDefault="00A0650E" w:rsidP="00A0650E">
      <w:pPr>
        <w:rPr>
          <w:rFonts w:hint="eastAsia"/>
        </w:rPr>
      </w:pPr>
    </w:p>
    <w:p w14:paraId="581879A4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---</w:t>
      </w:r>
    </w:p>
    <w:p w14:paraId="3DFF80B0" w14:textId="77777777" w:rsidR="00A0650E" w:rsidRDefault="00A0650E" w:rsidP="00A0650E">
      <w:pPr>
        <w:rPr>
          <w:rFonts w:hint="eastAsia"/>
        </w:rPr>
      </w:pPr>
    </w:p>
    <w:p w14:paraId="0DF8C04C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 5. 滞销品清理机制与清仓审批流程（核心条款）</w:t>
      </w:r>
    </w:p>
    <w:p w14:paraId="1AF5EDB7" w14:textId="77777777" w:rsidR="00A0650E" w:rsidRDefault="00A0650E" w:rsidP="00A0650E">
      <w:pPr>
        <w:rPr>
          <w:rFonts w:hint="eastAsia"/>
        </w:rPr>
      </w:pPr>
    </w:p>
    <w:p w14:paraId="67AD519B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一旦商品触及红线，被系统认定为滞销品（Dead Stock）后，相关业务线必须在 7 个工作日内启动清仓特卖流程。为防范利益输送和非必要的利润损失，清理滞销品的折扣力度与审批权限必须严格遵守以下阶梯式矩阵：</w:t>
      </w:r>
    </w:p>
    <w:p w14:paraId="7F209620" w14:textId="77777777" w:rsidR="00A0650E" w:rsidRDefault="00A0650E" w:rsidP="00A0650E">
      <w:pPr>
        <w:rPr>
          <w:rFonts w:hint="eastAsia"/>
        </w:rPr>
      </w:pPr>
    </w:p>
    <w:p w14:paraId="202C3C44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### 5.1 第一阶梯：常规促销让利（保护成本区）</w:t>
      </w:r>
    </w:p>
    <w:p w14:paraId="5C10D33E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**适用场景：** 清仓设定的折扣力度属于常规促销范围，即打折后的终端销售价格，**仍</w:t>
      </w:r>
      <w:r>
        <w:rPr>
          <w:rFonts w:hint="eastAsia"/>
        </w:rPr>
        <w:lastRenderedPageBreak/>
        <w:t>高于**商品的采购入账成本及各项税费总和（保持正向毛利）。</w:t>
      </w:r>
    </w:p>
    <w:p w14:paraId="0C84E9DD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**举例：** 进价 50 元的洗面奶，原价 100 元。滞销后打 7 折按 70 元销售。</w:t>
      </w:r>
    </w:p>
    <w:p w14:paraId="620C6BD2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**审批权限：** 此方案由该品类的 **销售经理** 自行评估批准即可执行，运营部门配合安排流量资源。</w:t>
      </w:r>
    </w:p>
    <w:p w14:paraId="11913B65" w14:textId="77777777" w:rsidR="00A0650E" w:rsidRDefault="00A0650E" w:rsidP="00A0650E">
      <w:pPr>
        <w:rPr>
          <w:rFonts w:hint="eastAsia"/>
        </w:rPr>
      </w:pPr>
    </w:p>
    <w:p w14:paraId="0BA05EF2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### 5.2 第二阶梯：盈亏平衡特卖（微利或平价区）</w:t>
      </w:r>
    </w:p>
    <w:p w14:paraId="226727CF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**适用场景：** 为了快速回笼资金，将售价大幅下调，使其无限接近于采购成本，但尚未跌破成本线（零毛利或微弱正毛利）。</w:t>
      </w:r>
    </w:p>
    <w:p w14:paraId="6A6EE505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**审批权限：** 需升级至该业务线的 **销售总监** 审批同意后执行。</w:t>
      </w:r>
    </w:p>
    <w:p w14:paraId="3B54F331" w14:textId="77777777" w:rsidR="00A0650E" w:rsidRDefault="00A0650E" w:rsidP="00A0650E">
      <w:pPr>
        <w:rPr>
          <w:rFonts w:hint="eastAsia"/>
        </w:rPr>
      </w:pPr>
    </w:p>
    <w:p w14:paraId="45027ABD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### 5.3 第三阶梯：流血清仓特批（负毛利/跌破成本区）—— 【核心红线】</w:t>
      </w:r>
    </w:p>
    <w:p w14:paraId="0B2B79A2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**适用场景：** 商品滞销极其严重或即将过期，如果不采用“跳楼价”将彻底变为废品。此时的清仓折扣率极低，导致终端销售价格**低于商品的实际采购成本价**。</w:t>
      </w:r>
    </w:p>
    <w:p w14:paraId="1DE5EE95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**财务后果：** 这种行为在财务账面上会直接形成实际的利润亏损（即卖得越多亏得越多，但能回收部分现金流）。</w:t>
      </w:r>
    </w:p>
    <w:p w14:paraId="18FE7C7C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**特批权限要求：** 任何部门均无权擅自做出产生财务亏损的商业决定。**凡是清仓折扣率导致售价低于成本价的，该特卖方案必须经过 财务总监 (CFO) 的最终签字审批核准。**</w:t>
      </w:r>
    </w:p>
    <w:p w14:paraId="75FA56EB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 **惩罚连带：** 凡是触发财务总监审批的跌破成本清仓事件，产生的亏损金额将全额计入该业务团队当年的利润考核扣减项中。</w:t>
      </w:r>
    </w:p>
    <w:p w14:paraId="1FE56637" w14:textId="77777777" w:rsidR="00A0650E" w:rsidRDefault="00A0650E" w:rsidP="00A0650E">
      <w:pPr>
        <w:rPr>
          <w:rFonts w:hint="eastAsia"/>
        </w:rPr>
      </w:pPr>
    </w:p>
    <w:p w14:paraId="3E8F14BC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---</w:t>
      </w:r>
    </w:p>
    <w:p w14:paraId="121B5873" w14:textId="77777777" w:rsidR="00A0650E" w:rsidRDefault="00A0650E" w:rsidP="00A0650E">
      <w:pPr>
        <w:rPr>
          <w:rFonts w:hint="eastAsia"/>
        </w:rPr>
      </w:pPr>
    </w:p>
    <w:p w14:paraId="3E1CF9B0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 6. 物理销毁与账面核销流</w:t>
      </w:r>
    </w:p>
    <w:p w14:paraId="78A39A78" w14:textId="77777777" w:rsidR="00A0650E" w:rsidRDefault="00A0650E" w:rsidP="00A0650E">
      <w:pPr>
        <w:rPr>
          <w:rFonts w:hint="eastAsia"/>
        </w:rPr>
      </w:pPr>
    </w:p>
    <w:p w14:paraId="3769DD03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对于即使跌破成本也无法售出的极限死库存（如已过期变质的食品、已经彻底停产且毫无售后价值的 3C 零配件）：</w:t>
      </w:r>
    </w:p>
    <w:p w14:paraId="735099D3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1. **财务减值：** 财务部将全额计提存货跌价准备。</w:t>
      </w:r>
    </w:p>
    <w:p w14:paraId="762A1668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2. **物理销毁审批：** 需提交《库存报废销毁申请单》，经供应链总监、财务总监、内审部三方会签。</w:t>
      </w:r>
    </w:p>
    <w:p w14:paraId="47AA7D35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3. **执行与监督：** 销毁过程必须有内审部人员现场监督（或全程录像留痕），确保废品不再流入市场破坏品牌形象。对于化妆品和食品的销毁，必须委托具有正规环保资质的第三方垃圾处理机构执行。</w:t>
      </w:r>
    </w:p>
    <w:p w14:paraId="7292239B" w14:textId="77777777" w:rsidR="00A0650E" w:rsidRDefault="00A0650E" w:rsidP="00A0650E">
      <w:pPr>
        <w:rPr>
          <w:rFonts w:hint="eastAsia"/>
        </w:rPr>
      </w:pPr>
    </w:p>
    <w:p w14:paraId="6B6CEAD7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---</w:t>
      </w:r>
    </w:p>
    <w:p w14:paraId="4C7A2BEC" w14:textId="77777777" w:rsidR="00A0650E" w:rsidRDefault="00A0650E" w:rsidP="00A0650E">
      <w:pPr>
        <w:rPr>
          <w:rFonts w:hint="eastAsia"/>
        </w:rPr>
      </w:pPr>
    </w:p>
    <w:p w14:paraId="05F3D348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## 7. 附则与例外</w:t>
      </w:r>
    </w:p>
    <w:p w14:paraId="75FD1CC3" w14:textId="77777777" w:rsidR="00A0650E" w:rsidRDefault="00A0650E" w:rsidP="00A0650E">
      <w:pPr>
        <w:rPr>
          <w:rFonts w:hint="eastAsia"/>
        </w:rPr>
      </w:pPr>
    </w:p>
    <w:p w14:paraId="0A455A1B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1. 因公司战略级产品线调整导致的整体库存报废，不适用于本常规审批流，需由总裁办出具专门的董事会决议执行。</w:t>
      </w:r>
    </w:p>
    <w:p w14:paraId="219E7BA0" w14:textId="77777777" w:rsidR="00A0650E" w:rsidRDefault="00A0650E" w:rsidP="00A0650E">
      <w:pPr>
        <w:rPr>
          <w:rFonts w:hint="eastAsia"/>
        </w:rPr>
      </w:pPr>
      <w:r>
        <w:rPr>
          <w:rFonts w:hint="eastAsia"/>
        </w:rPr>
        <w:t>2. 各业务部门可根据本办法制定更为严苛的内部考核细则，但不得突破本管理办法设定的底线。</w:t>
      </w:r>
    </w:p>
    <w:p w14:paraId="634805BF" w14:textId="57F97D58" w:rsidR="00011E21" w:rsidRDefault="00A0650E" w:rsidP="00A0650E">
      <w:pPr>
        <w:rPr>
          <w:rFonts w:hint="eastAsia"/>
        </w:rPr>
      </w:pPr>
      <w:r>
        <w:rPr>
          <w:rFonts w:hint="eastAsia"/>
        </w:rPr>
        <w:t>3. 本管理办法自 2023 年 2 月 1 日起生效运行。</w:t>
      </w:r>
    </w:p>
    <w:sectPr w:rsidR="00011E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A3"/>
    <w:rsid w:val="00011E21"/>
    <w:rsid w:val="00107BA3"/>
    <w:rsid w:val="00132A8F"/>
    <w:rsid w:val="008621A0"/>
    <w:rsid w:val="00942A3F"/>
    <w:rsid w:val="00A0650E"/>
    <w:rsid w:val="00EB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3B03B7-DDBD-4BD7-AB26-1F02F311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7B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B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B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B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B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B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B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B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7B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7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7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7B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7BA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7B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7B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7B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7B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7B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B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7B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7B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7B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7B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7B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7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7B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7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浩然 李</dc:creator>
  <cp:keywords/>
  <dc:description/>
  <cp:lastModifiedBy>浩然 李</cp:lastModifiedBy>
  <cp:revision>3</cp:revision>
  <cp:lastPrinted>2026-04-06T03:07:00Z</cp:lastPrinted>
  <dcterms:created xsi:type="dcterms:W3CDTF">2026-04-06T03:06:00Z</dcterms:created>
  <dcterms:modified xsi:type="dcterms:W3CDTF">2026-04-06T03:07:00Z</dcterms:modified>
</cp:coreProperties>
</file>