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7FF92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# 《S&amp;OP 异常预警与跨部门协同审批流程管理办法》</w:t>
      </w:r>
    </w:p>
    <w:p w14:paraId="24743EB6" w14:textId="77777777" w:rsidR="00B649F8" w:rsidRDefault="00B649F8" w:rsidP="00B649F8">
      <w:pPr>
        <w:rPr>
          <w:rFonts w:hint="eastAsia"/>
        </w:rPr>
      </w:pPr>
    </w:p>
    <w:p w14:paraId="1A968836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**文档编号：** SOP-COE-2023-002</w:t>
      </w:r>
    </w:p>
    <w:p w14:paraId="1BF44D05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**生效日期：** 2023年01月15日</w:t>
      </w:r>
    </w:p>
    <w:p w14:paraId="063B84A6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**发布部门：** S&amp;OP 产销协同卓越中心、内控与合规部</w:t>
      </w:r>
    </w:p>
    <w:p w14:paraId="345C80E3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**适用范围：** 公司全体与供应链、销售、财务相关的业务部门</w:t>
      </w:r>
    </w:p>
    <w:p w14:paraId="5BC9613A" w14:textId="77777777" w:rsidR="00B649F8" w:rsidRDefault="00B649F8" w:rsidP="00B649F8">
      <w:pPr>
        <w:rPr>
          <w:rFonts w:hint="eastAsia"/>
        </w:rPr>
      </w:pPr>
    </w:p>
    <w:p w14:paraId="57A3C2F7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---</w:t>
      </w:r>
    </w:p>
    <w:p w14:paraId="407B4FDA" w14:textId="77777777" w:rsidR="00B649F8" w:rsidRDefault="00B649F8" w:rsidP="00B649F8">
      <w:pPr>
        <w:rPr>
          <w:rFonts w:hint="eastAsia"/>
        </w:rPr>
      </w:pPr>
    </w:p>
    <w:p w14:paraId="55B33B08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## 1. 目的与基本原则</w:t>
      </w:r>
    </w:p>
    <w:p w14:paraId="57EC7DC4" w14:textId="77777777" w:rsidR="00B649F8" w:rsidRDefault="00B649F8" w:rsidP="00B649F8">
      <w:pPr>
        <w:rPr>
          <w:rFonts w:hint="eastAsia"/>
        </w:rPr>
      </w:pPr>
    </w:p>
    <w:p w14:paraId="26A1BC92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### 1.1 目的</w:t>
      </w:r>
    </w:p>
    <w:p w14:paraId="25CBE3E3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在高度不确定的市场环境下，供应链的日常波动在所难免。本管理办法的设立，旨在将以往“事后追责”的管理模式转变为“事前预警、事中干预、事后闭环”的敏捷异常管理体系。通过明确各级异常的定义、固化跨部门的审批流（Workflow）与权限矩阵，确保在面临断货风险或高库存危机时，各部门能以最快速度响应并采取正确的止损措施。</w:t>
      </w:r>
    </w:p>
    <w:p w14:paraId="19F253CF" w14:textId="77777777" w:rsidR="00B649F8" w:rsidRDefault="00B649F8" w:rsidP="00B649F8">
      <w:pPr>
        <w:rPr>
          <w:rFonts w:hint="eastAsia"/>
        </w:rPr>
      </w:pPr>
    </w:p>
    <w:p w14:paraId="0085E599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### 1.2 异常处理原则</w:t>
      </w:r>
    </w:p>
    <w:p w14:paraId="2BC5D74E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 **分级干预原则：** 按照异常的严重程度，分为常规预警、严重异常与危机状态，匹配不同层级的管理人员介入审批。</w:t>
      </w:r>
    </w:p>
    <w:p w14:paraId="5FE19211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 **系统固化原则：** 所有预警均由 BI 系统自动触发，并推送到企业的协同办公平台（OA/钉钉/企微）。禁止通过私下沟通绕过系统审批流。</w:t>
      </w:r>
    </w:p>
    <w:p w14:paraId="6BAD8D7F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 **财务合规原则：** 任何涉及额外成本支出（如空运、紧急加班费、破价清仓折扣）的异常处理，必须严格遵守本办法规定的审批权限，杜绝权力滥用。</w:t>
      </w:r>
    </w:p>
    <w:p w14:paraId="7C1A3845" w14:textId="77777777" w:rsidR="00B649F8" w:rsidRDefault="00B649F8" w:rsidP="00B649F8">
      <w:pPr>
        <w:rPr>
          <w:rFonts w:hint="eastAsia"/>
        </w:rPr>
      </w:pPr>
    </w:p>
    <w:p w14:paraId="14EDA814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---</w:t>
      </w:r>
    </w:p>
    <w:p w14:paraId="7C55C83A" w14:textId="77777777" w:rsidR="00B649F8" w:rsidRDefault="00B649F8" w:rsidP="00B649F8">
      <w:pPr>
        <w:rPr>
          <w:rFonts w:hint="eastAsia"/>
        </w:rPr>
      </w:pPr>
    </w:p>
    <w:p w14:paraId="01EF456C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## 2. 预警级别分类定义</w:t>
      </w:r>
    </w:p>
    <w:p w14:paraId="5346E686" w14:textId="77777777" w:rsidR="00B649F8" w:rsidRDefault="00B649F8" w:rsidP="00B649F8">
      <w:pPr>
        <w:rPr>
          <w:rFonts w:hint="eastAsia"/>
        </w:rPr>
      </w:pPr>
    </w:p>
    <w:p w14:paraId="6206758D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为规范管理，S&amp;OP 中心将产销协同过程中的各类异常划分为四个预警等级：</w:t>
      </w:r>
    </w:p>
    <w:p w14:paraId="2CD88F05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1. **蓝色预警（Blue）：** 业务指标轻微偏离，部门内部自行消化调整。</w:t>
      </w:r>
    </w:p>
    <w:p w14:paraId="0AF382C5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2. **黄色预警（Yellow）：** 单月单项指标未达标，需部门主管介入监督并提交专项分析。</w:t>
      </w:r>
    </w:p>
    <w:p w14:paraId="3AEC6BC6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3. **橙色预警（Orange）：** 跨期连续未达标或中度供应链阻断，需跨部门协同与总监级介入。</w:t>
      </w:r>
    </w:p>
    <w:p w14:paraId="1AEF6B37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4. **红色预警（Red）：** 核心战略指标严重崩溃、重大财务损失风险，需VP（副总裁）或更高级别管理层紧急决策。</w:t>
      </w:r>
    </w:p>
    <w:p w14:paraId="6DF0E01D" w14:textId="77777777" w:rsidR="00B649F8" w:rsidRDefault="00B649F8" w:rsidP="00B649F8">
      <w:pPr>
        <w:rPr>
          <w:rFonts w:hint="eastAsia"/>
        </w:rPr>
      </w:pPr>
    </w:p>
    <w:p w14:paraId="4CD2AF25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---</w:t>
      </w:r>
    </w:p>
    <w:p w14:paraId="49960CF6" w14:textId="77777777" w:rsidR="00B649F8" w:rsidRDefault="00B649F8" w:rsidP="00B649F8">
      <w:pPr>
        <w:rPr>
          <w:rFonts w:hint="eastAsia"/>
        </w:rPr>
      </w:pPr>
    </w:p>
    <w:p w14:paraId="1C7C1023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## 3. 需求预测类异常预警与审批处理机制</w:t>
      </w:r>
    </w:p>
    <w:p w14:paraId="5E83CF3A" w14:textId="77777777" w:rsidR="00B649F8" w:rsidRDefault="00B649F8" w:rsidP="00B649F8">
      <w:pPr>
        <w:rPr>
          <w:rFonts w:hint="eastAsia"/>
        </w:rPr>
      </w:pPr>
    </w:p>
    <w:p w14:paraId="01B1CCF9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需求预测的准确性直接决定了后端供应链的从容度。针对预测偏差，系统依据《S&amp;OP供应链绩效考核指标管理规范》中的评级结果，自动触发以下处理流程：</w:t>
      </w:r>
    </w:p>
    <w:p w14:paraId="1D112B53" w14:textId="77777777" w:rsidR="00B649F8" w:rsidRDefault="00B649F8" w:rsidP="00B649F8">
      <w:pPr>
        <w:rPr>
          <w:rFonts w:hint="eastAsia"/>
        </w:rPr>
      </w:pPr>
    </w:p>
    <w:p w14:paraId="36B7D1D7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lastRenderedPageBreak/>
        <w:t>### 3.1 单月预测准确率“不合格”处理流程（黄色预警）</w:t>
      </w:r>
    </w:p>
    <w:p w14:paraId="44FA08E9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当某品类（如化妆品、食品等）单月预测准确率评定为**“不合格（&lt;75%）”**时：</w:t>
      </w:r>
    </w:p>
    <w:p w14:paraId="4734AA63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 **触发机制：** BI 系统于每月 3 号自动发送黄色预警邮件给对应品类计划员及业务线负责人。</w:t>
      </w:r>
    </w:p>
    <w:p w14:paraId="4A796657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 **处理时效：** 该品类计划员必须在收到预警后的 **3个工作日内** 登录 OA 系统，填写并提交《需求预测偏差分析报告》。</w:t>
      </w:r>
    </w:p>
    <w:p w14:paraId="2E57F14C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 **报告内容要求：** 需使用 5Why 分析法，明确指出是历史数据清洗错误、营销活动预期落空，还是市场趋势误判导致的偏差。</w:t>
      </w:r>
    </w:p>
    <w:p w14:paraId="7ED0B457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 **审批流程：** 该报告需由品类所属的 **部门经理** 进行最终审核与批准。若逾期未交，系统将冻结该部门本月所有新增采购申请。</w:t>
      </w:r>
    </w:p>
    <w:p w14:paraId="27A3759A" w14:textId="77777777" w:rsidR="00B649F8" w:rsidRDefault="00B649F8" w:rsidP="00B649F8">
      <w:pPr>
        <w:rPr>
          <w:rFonts w:hint="eastAsia"/>
        </w:rPr>
      </w:pPr>
    </w:p>
    <w:p w14:paraId="44E3627F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### 3.2 预测准确率连续异常升级处理机制（红色预警）—— 【核心条款】</w:t>
      </w:r>
    </w:p>
    <w:p w14:paraId="62467BE6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为了防止结构性的预测能力缺失，平台引入了连续异常的熔断升级机制：</w:t>
      </w:r>
    </w:p>
    <w:p w14:paraId="450C179F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如果某品类**连续两个月**处于预测准确率“不合格”状态（即连续两月准确率均 &lt; 75%），系统将自动把预警等级由黄色跃升至**红色预警**。</w:t>
      </w:r>
    </w:p>
    <w:p w14:paraId="7BF30C45" w14:textId="77777777" w:rsidR="00B649F8" w:rsidRDefault="00B649F8" w:rsidP="00B649F8">
      <w:pPr>
        <w:rPr>
          <w:rFonts w:hint="eastAsia"/>
        </w:rPr>
      </w:pPr>
    </w:p>
    <w:p w14:paraId="362AA748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在此极端情况下，必须执行以下升级审批流程：</w:t>
      </w:r>
    </w:p>
    <w:p w14:paraId="1D604482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1. **责任升级：** 基层计划员无权处理此类异常，必须由该品类的**业务线负责人（Business Line Head）**亲自牵头，联合数据分析团队，制定深度的《产销协同整改计划书》。</w:t>
      </w:r>
    </w:p>
    <w:p w14:paraId="1130F06B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2. **双签审批流升级：** 为了确保整改措施具备足够的资源支持与跨部门约束力，该《产销协同整改计划书》必须在 OA 系统中，经过 **供应链总监** 与 **销售业务线VP（副总裁）** 共同双签审批后方可生效执行。缺一不可。</w:t>
      </w:r>
    </w:p>
    <w:p w14:paraId="1D83ED66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3. **系统干预措施：** 在整改计划书执行期间（通常为随后的一个季度），为了防止继续错误备货导致库存爆炸，系统将把该品类的安全库存策略强制从“积极增长模式”锁定为“保守防御模式”，严格限制新品的首次备货深度。</w:t>
      </w:r>
    </w:p>
    <w:p w14:paraId="69372231" w14:textId="77777777" w:rsidR="00B649F8" w:rsidRDefault="00B649F8" w:rsidP="00B649F8">
      <w:pPr>
        <w:rPr>
          <w:rFonts w:hint="eastAsia"/>
        </w:rPr>
      </w:pPr>
    </w:p>
    <w:p w14:paraId="03279E3A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### 3.3 恶性偏差（连续三个月及以上）处理</w:t>
      </w:r>
    </w:p>
    <w:p w14:paraId="21EDC42E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若连续三个月以上预测准确率低于75%，除上述红牌流程外，将由 HR 部门介入，对该业务线负责人及主计划员启动绩效约谈，并暂停发放当季度所有的业务激励奖金。</w:t>
      </w:r>
    </w:p>
    <w:p w14:paraId="398BD987" w14:textId="77777777" w:rsidR="00B649F8" w:rsidRDefault="00B649F8" w:rsidP="00B649F8">
      <w:pPr>
        <w:rPr>
          <w:rFonts w:hint="eastAsia"/>
        </w:rPr>
      </w:pPr>
    </w:p>
    <w:p w14:paraId="4524DF18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---</w:t>
      </w:r>
    </w:p>
    <w:p w14:paraId="328F6766" w14:textId="77777777" w:rsidR="00B649F8" w:rsidRDefault="00B649F8" w:rsidP="00B649F8">
      <w:pPr>
        <w:rPr>
          <w:rFonts w:hint="eastAsia"/>
        </w:rPr>
      </w:pPr>
    </w:p>
    <w:p w14:paraId="427E7910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## 4. 供给履约及缺货类异常预警与审批流程</w:t>
      </w:r>
    </w:p>
    <w:p w14:paraId="08F73FD2" w14:textId="77777777" w:rsidR="00B649F8" w:rsidRDefault="00B649F8" w:rsidP="00B649F8">
      <w:pPr>
        <w:rPr>
          <w:rFonts w:hint="eastAsia"/>
        </w:rPr>
      </w:pPr>
    </w:p>
    <w:p w14:paraId="10580913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缺货直接导致订单流失与客户投诉。针对不同严重程度的缺货率，各级补货及救火措施的审批权限如下：</w:t>
      </w:r>
    </w:p>
    <w:p w14:paraId="1C60D0B5" w14:textId="77777777" w:rsidR="00B649F8" w:rsidRDefault="00B649F8" w:rsidP="00B649F8">
      <w:pPr>
        <w:rPr>
          <w:rFonts w:hint="eastAsia"/>
        </w:rPr>
      </w:pPr>
    </w:p>
    <w:p w14:paraId="49336913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### 4.1 日常缺货管理（缺货率 &lt;= 3%）</w:t>
      </w:r>
    </w:p>
    <w:p w14:paraId="5452D604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当单月缺货率处于正常波动范围时：</w:t>
      </w:r>
    </w:p>
    <w:p w14:paraId="08E948AC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 **处理方式：** 供应链计划员可直接依据系统 MRP 运算结果下发常规采购补货单（PO）至供应商，或安排自有仓储间的调拨。</w:t>
      </w:r>
    </w:p>
    <w:p w14:paraId="7895B391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 **审批流：** 走常规 PO 审批流即可，无需特批。</w:t>
      </w:r>
    </w:p>
    <w:p w14:paraId="2216ADA6" w14:textId="77777777" w:rsidR="00B649F8" w:rsidRDefault="00B649F8" w:rsidP="00B649F8">
      <w:pPr>
        <w:rPr>
          <w:rFonts w:hint="eastAsia"/>
        </w:rPr>
      </w:pPr>
    </w:p>
    <w:p w14:paraId="5B108967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### 4.2 中度缺货突发处理（3% &lt; 缺货率 &lt;= 5%）（黄色预警）</w:t>
      </w:r>
    </w:p>
    <w:p w14:paraId="247414ED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lastRenderedPageBreak/>
        <w:t>当缺货率突破 3%，说明常规补货机制已经失效。</w:t>
      </w:r>
    </w:p>
    <w:p w14:paraId="1453A024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 **处理方式：** 计划员需联系供应商要求加急生产，或申请工厂周末加班排产。</w:t>
      </w:r>
    </w:p>
    <w:p w14:paraId="673348F6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 **审批流：** 针对该区间的紧急补货申请及由此产生的轻微加急费用，需统一汇总，提交至 **供应链经理** 进行专项审批。</w:t>
      </w:r>
    </w:p>
    <w:p w14:paraId="3582F4F0" w14:textId="77777777" w:rsidR="00B649F8" w:rsidRDefault="00B649F8" w:rsidP="00B649F8">
      <w:pPr>
        <w:rPr>
          <w:rFonts w:hint="eastAsia"/>
        </w:rPr>
      </w:pPr>
    </w:p>
    <w:p w14:paraId="7BFB606B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### 4.3 严重异常与紧急补货特批机制（缺货率 &gt; 5%）（橙/红色预警）—— 【核心条款】</w:t>
      </w:r>
    </w:p>
    <w:p w14:paraId="75AEE2C7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当单月缺货率高于 **5%** 时，被公司定义为严重交付异常。此时为了抢回市场份额，通常需要采取极端手段，但这些手段往往伴随高昂的代价。</w:t>
      </w:r>
    </w:p>
    <w:p w14:paraId="513EDA83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因此，为了平衡履约时效与公司利润，权限被严格上收：</w:t>
      </w:r>
    </w:p>
    <w:p w14:paraId="7351B4EB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 **处理规定：** 针对此类严重状况，**任何**旨在缓解缺货的紧急补货计划、供应商高额加急生产排期、以及由海运/陆运临时变更为**空运物流**的昂贵费用申请，均不适用于任何常规授权或经理级授权。</w:t>
      </w:r>
    </w:p>
    <w:p w14:paraId="209699B4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 **特批流程：** 所有上述动作生成的工单和费用申请，必须直接推送到 **供应链总监** 的工作台，由 **供应链总监亲自审批** 后方可放行。</w:t>
      </w:r>
    </w:p>
    <w:p w14:paraId="4C934B75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 **事后追溯：** 紧急情况解除后，采购总监需在一周内向 S&amp;OP 委员会提交针对造成此次严重缺货的供应商的《履约违约追责与索赔报告》。</w:t>
      </w:r>
    </w:p>
    <w:p w14:paraId="49C2A2C4" w14:textId="77777777" w:rsidR="00B649F8" w:rsidRDefault="00B649F8" w:rsidP="00B649F8">
      <w:pPr>
        <w:rPr>
          <w:rFonts w:hint="eastAsia"/>
        </w:rPr>
      </w:pPr>
    </w:p>
    <w:p w14:paraId="4AEB1C2F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---</w:t>
      </w:r>
    </w:p>
    <w:p w14:paraId="38A50EE4" w14:textId="77777777" w:rsidR="00B649F8" w:rsidRDefault="00B649F8" w:rsidP="00B649F8">
      <w:pPr>
        <w:rPr>
          <w:rFonts w:hint="eastAsia"/>
        </w:rPr>
      </w:pPr>
    </w:p>
    <w:p w14:paraId="2F39162C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## 5. 库存积压与超龄库存（滞销）异常审批机制</w:t>
      </w:r>
    </w:p>
    <w:p w14:paraId="3C146B8E" w14:textId="77777777" w:rsidR="00B649F8" w:rsidRDefault="00B649F8" w:rsidP="00B649F8">
      <w:pPr>
        <w:rPr>
          <w:rFonts w:hint="eastAsia"/>
        </w:rPr>
      </w:pPr>
    </w:p>
    <w:p w14:paraId="766EEAB1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除缺货与预测不准外，高库存是吃掉公司现金流的另一个毒瘤。</w:t>
      </w:r>
    </w:p>
    <w:p w14:paraId="182E8CC7" w14:textId="77777777" w:rsidR="00B649F8" w:rsidRDefault="00B649F8" w:rsidP="00B649F8">
      <w:pPr>
        <w:rPr>
          <w:rFonts w:hint="eastAsia"/>
        </w:rPr>
      </w:pPr>
    </w:p>
    <w:p w14:paraId="4CDB672A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### 5.1 库存周转天数超标预警</w:t>
      </w:r>
    </w:p>
    <w:p w14:paraId="18118AEE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系统每日监控各品类的库存周转天数（DOS, Days of Sales）。当发现某商品库存周转天数超过本品类既定目标（例如化妆品超 60 天，食品超 20 天）的 20% 时，触发橙色预警。</w:t>
      </w:r>
    </w:p>
    <w:p w14:paraId="740B89AD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 **处理方式：** 计划部需联合销售部制定清理计划（如提报聚划算、买一赠一等）。</w:t>
      </w:r>
    </w:p>
    <w:p w14:paraId="79AD9B0B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 **审批流：** 涉及营销费用补贴的，需营销中心总监审批。</w:t>
      </w:r>
    </w:p>
    <w:p w14:paraId="1421F61A" w14:textId="77777777" w:rsidR="00B649F8" w:rsidRDefault="00B649F8" w:rsidP="00B649F8">
      <w:pPr>
        <w:rPr>
          <w:rFonts w:hint="eastAsia"/>
        </w:rPr>
      </w:pPr>
    </w:p>
    <w:p w14:paraId="75EAF5B8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### 5.2 严重滞销品清仓破价审批</w:t>
      </w:r>
    </w:p>
    <w:p w14:paraId="51E18F7A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当商品被系统判定为“死库（Dead Stock）”时，需启动彻底清仓流程。</w:t>
      </w:r>
    </w:p>
    <w:p w14:paraId="554A0A12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 **处理原则：** 若清仓特卖设定的折扣率计算后，导致商品售价**低于实际采购成本（即产生财务负毛利）**。</w:t>
      </w:r>
    </w:p>
    <w:p w14:paraId="14712AB6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 **特批流程：** 这种亏本清仓行为，必须由 **财务总监（CFO）** 最终审批核准，以确认当期财务坏账计提额度。</w:t>
      </w:r>
    </w:p>
    <w:p w14:paraId="5480373F" w14:textId="77777777" w:rsidR="00B649F8" w:rsidRDefault="00B649F8" w:rsidP="00B649F8">
      <w:pPr>
        <w:rPr>
          <w:rFonts w:hint="eastAsia"/>
        </w:rPr>
      </w:pPr>
    </w:p>
    <w:p w14:paraId="55D44F64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---</w:t>
      </w:r>
    </w:p>
    <w:p w14:paraId="4CF6918F" w14:textId="77777777" w:rsidR="00B649F8" w:rsidRDefault="00B649F8" w:rsidP="00B649F8">
      <w:pPr>
        <w:rPr>
          <w:rFonts w:hint="eastAsia"/>
        </w:rPr>
      </w:pPr>
    </w:p>
    <w:p w14:paraId="2A3AF9CF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## 6. 附件与执行表格</w:t>
      </w:r>
    </w:p>
    <w:p w14:paraId="338E5264" w14:textId="77777777" w:rsidR="00B649F8" w:rsidRDefault="00B649F8" w:rsidP="00B649F8">
      <w:pPr>
        <w:rPr>
          <w:rFonts w:hint="eastAsia"/>
        </w:rPr>
      </w:pPr>
    </w:p>
    <w:p w14:paraId="75FB9826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本管理办法配套以下电子化审批表单（内置于公司 OA 系统流程中心）：</w:t>
      </w:r>
    </w:p>
    <w:p w14:paraId="5008D121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 附件一：《S&amp;OP 需求预测偏差根本原因分析报告 (5Why模板)》</w:t>
      </w:r>
    </w:p>
    <w:p w14:paraId="7D4BCB68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 附件二：《产销协同重大异常整改计划书 (总监/VP双签版)》</w:t>
      </w:r>
    </w:p>
    <w:p w14:paraId="5FC74E9D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t>- 附件三：《严重缺货紧急空运/加急特批申请单》</w:t>
      </w:r>
    </w:p>
    <w:p w14:paraId="7C1FC45C" w14:textId="77777777" w:rsidR="00B649F8" w:rsidRDefault="00B649F8" w:rsidP="00B649F8">
      <w:pPr>
        <w:rPr>
          <w:rFonts w:hint="eastAsia"/>
        </w:rPr>
      </w:pPr>
      <w:r>
        <w:rPr>
          <w:rFonts w:hint="eastAsia"/>
        </w:rPr>
        <w:lastRenderedPageBreak/>
        <w:t>- 附件四：《超龄库存负毛利清仓财务审批表》</w:t>
      </w:r>
    </w:p>
    <w:p w14:paraId="69BCE9C4" w14:textId="77777777" w:rsidR="00B649F8" w:rsidRDefault="00B649F8" w:rsidP="00B649F8">
      <w:pPr>
        <w:rPr>
          <w:rFonts w:hint="eastAsia"/>
        </w:rPr>
      </w:pPr>
    </w:p>
    <w:p w14:paraId="58CA129C" w14:textId="0F60F739" w:rsidR="00011E21" w:rsidRDefault="00B649F8" w:rsidP="00B649F8">
      <w:pPr>
        <w:rPr>
          <w:rFonts w:hint="eastAsia"/>
        </w:rPr>
      </w:pPr>
      <w:r>
        <w:rPr>
          <w:rFonts w:hint="eastAsia"/>
        </w:rPr>
        <w:t>本管理办法自发布之日起全公司强制执行，S&amp;OP CoE 团队保留最终解释权。</w:t>
      </w:r>
    </w:p>
    <w:sectPr w:rsidR="00011E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B7"/>
    <w:rsid w:val="00011E21"/>
    <w:rsid w:val="00132A8F"/>
    <w:rsid w:val="00382AB7"/>
    <w:rsid w:val="005154CE"/>
    <w:rsid w:val="00942A3F"/>
    <w:rsid w:val="00B649F8"/>
    <w:rsid w:val="00EB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DD57D8-4585-458C-995B-6B51D7EDA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2A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2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2A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2A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2A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2AB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2A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2A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2A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2A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2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2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2A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2AB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2A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2A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2A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2A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2A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2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2A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2A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2A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2A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2A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2A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2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2A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2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浩然 李</dc:creator>
  <cp:keywords/>
  <dc:description/>
  <cp:lastModifiedBy>浩然 李</cp:lastModifiedBy>
  <cp:revision>3</cp:revision>
  <cp:lastPrinted>2026-04-06T03:03:00Z</cp:lastPrinted>
  <dcterms:created xsi:type="dcterms:W3CDTF">2026-04-06T03:02:00Z</dcterms:created>
  <dcterms:modified xsi:type="dcterms:W3CDTF">2026-04-06T03:03:00Z</dcterms:modified>
</cp:coreProperties>
</file>