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vnd.openxmlformats-officedocument.spreadsheetml.sheet" Extension="xlsx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 xmlns:v="urn:schemas-microsoft-com:vml" xmlns:o="urn:schemas-microsoft-com:office:office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智涌君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0" w:id="0"/>
      <w:r>
        <w:rPr>
          <w:rFonts w:eastAsia="等线" w:ascii="Arial" w:cs="Arial" w:hAnsi="Arial"/>
          <w:b w:val="true"/>
          <w:sz w:val="32"/>
        </w:rPr>
        <w:t>摘要</w:t>
      </w:r>
      <w:bookmarkEnd w:id="0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“智涌君”以国产大模型为底座，围绕 </w:t>
      </w:r>
      <w:r>
        <w:rPr>
          <w:rFonts w:eastAsia="等线" w:ascii="Arial" w:cs="Arial" w:hAnsi="Arial"/>
          <w:b w:val="true"/>
          <w:sz w:val="22"/>
        </w:rPr>
        <w:t>“四区实验 + 三级课程 + 开放生态”</w:t>
      </w:r>
      <w:r>
        <w:rPr>
          <w:rFonts w:eastAsia="等线" w:ascii="Arial" w:cs="Arial" w:hAnsi="Arial"/>
          <w:sz w:val="22"/>
        </w:rPr>
        <w:t xml:space="preserve"> 架构，为中国职业院校师生与管理者提供低门槛、高实践、强安全的一站式 AI 实训平台。平台顺应教育部关于建设“自主可控教育大模型”的政策导向，整合 DeepSeek R1、通义千问等备案模型，结合 Jupyter、AIIDE、ComfyUI、n8n/Dify 等开源工具，实现“学—练—评—用”闭环，通过真实行业案例提升学生就业竞争力、促进教师科研创新，并为管理者提供数据驱动的教学治理支撑。(</w:t>
      </w:r>
      <w:hyperlink r:id="rId4">
        <w:r>
          <w:rPr>
            <w:rFonts w:eastAsia="等线" w:ascii="Arial" w:cs="Arial" w:hAnsi="Arial"/>
            <w:color w:val="3370ff"/>
            <w:sz w:val="22"/>
          </w:rPr>
          <w:t>edu.cn</w:t>
        </w:r>
      </w:hyperlink>
      <w:r>
        <w:rPr>
          <w:rFonts w:eastAsia="等线" w:ascii="Arial" w:cs="Arial" w:hAnsi="Arial"/>
          <w:sz w:val="22"/>
        </w:rPr>
        <w:t xml:space="preserve">, </w:t>
      </w:r>
      <w:hyperlink r:id="rId5">
        <w:r>
          <w:rPr>
            <w:rFonts w:eastAsia="等线" w:ascii="Arial" w:cs="Arial" w:hAnsi="Arial"/>
            <w:color w:val="3370ff"/>
            <w:sz w:val="22"/>
          </w:rPr>
          <w:t>api-docs.deepseek.com</w:t>
        </w:r>
      </w:hyperlink>
      <w:r>
        <w:rPr>
          <w:rFonts w:eastAsia="等线" w:ascii="Arial" w:cs="Arial" w:hAnsi="Arial"/>
          <w:sz w:val="22"/>
        </w:rPr>
        <w:t xml:space="preserve">, </w:t>
      </w:r>
      <w:hyperlink r:id="rId6">
        <w:r>
          <w:rPr>
            <w:rFonts w:eastAsia="等线" w:ascii="Arial" w:cs="Arial" w:hAnsi="Arial"/>
            <w:color w:val="3370ff"/>
            <w:sz w:val="22"/>
          </w:rPr>
          <w:t>dify.ai</w:t>
        </w:r>
      </w:hyperlink>
      <w:r>
        <w:rPr>
          <w:rFonts w:eastAsia="等线" w:ascii="Arial" w:cs="Arial" w:hAnsi="Arial"/>
          <w:sz w:val="22"/>
        </w:rPr>
        <w:t>)</w:t>
      </w: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" w:id="1"/>
      <w:r>
        <w:rPr>
          <w:rFonts w:eastAsia="等线" w:ascii="Arial" w:cs="Arial" w:hAnsi="Arial"/>
          <w:b w:val="true"/>
          <w:sz w:val="32"/>
        </w:rPr>
        <w:t>1 政策与产业背景</w:t>
      </w:r>
      <w:bookmarkEnd w:id="1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" w:id="2"/>
      <w:r>
        <w:rPr>
          <w:rFonts w:eastAsia="等线" w:ascii="Arial" w:cs="Arial" w:hAnsi="Arial"/>
          <w:b w:val="true"/>
          <w:sz w:val="30"/>
        </w:rPr>
        <w:t>1.1 国家政策驱动</w:t>
      </w:r>
      <w:bookmarkEnd w:id="2"/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2025 年教育部等九部门《意见》明确提出“建设人工智能教育大模型”“完善多模态语料库”，要求高校加快数字化转型并保证模型自主可控(</w:t>
      </w:r>
      <w:hyperlink r:id="rId8">
        <w:r>
          <w:rPr>
            <w:rFonts w:eastAsia="等线" w:ascii="Arial" w:cs="Arial" w:hAnsi="Arial"/>
            <w:color w:val="3370ff"/>
            <w:sz w:val="22"/>
          </w:rPr>
          <w:t>edu.cn</w:t>
        </w:r>
      </w:hyperlink>
      <w:r>
        <w:rPr>
          <w:rFonts w:eastAsia="等线" w:ascii="Arial" w:cs="Arial" w:hAnsi="Arial"/>
          <w:sz w:val="22"/>
        </w:rPr>
        <w:t>)。</w:t>
      </w:r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数据安全与个人信息保护法律持续升级，对教育场景的数据采集、跨境流转、模型训练提出合规红线(</w:t>
      </w:r>
      <w:hyperlink r:id="rId9">
        <w:r>
          <w:rPr>
            <w:rFonts w:eastAsia="等线" w:ascii="Arial" w:cs="Arial" w:hAnsi="Arial"/>
            <w:color w:val="3370ff"/>
            <w:sz w:val="22"/>
          </w:rPr>
          <w:t>junhe.com</w:t>
        </w:r>
      </w:hyperlink>
      <w:r>
        <w:rPr>
          <w:rFonts w:eastAsia="等线" w:ascii="Arial" w:cs="Arial" w:hAnsi="Arial"/>
          <w:sz w:val="22"/>
        </w:rPr>
        <w:t>)。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3" w:id="3"/>
      <w:r>
        <w:rPr>
          <w:rFonts w:eastAsia="等线" w:ascii="Arial" w:cs="Arial" w:hAnsi="Arial"/>
          <w:b w:val="true"/>
          <w:sz w:val="30"/>
        </w:rPr>
        <w:t>1.2 国产大模型生态</w:t>
      </w:r>
      <w:bookmarkEnd w:id="3"/>
    </w:p>
    <w:p>
      <w:pPr>
        <w:numPr>
          <w:numId w:val="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DeepSeek R1 70B/660B 多参数梯度布局，开源且蒸馏模型在算术和编程能力上逼近国际主流模型，适合教学与科研双场景(</w:t>
      </w:r>
      <w:hyperlink r:id="rId10">
        <w:r>
          <w:rPr>
            <w:rFonts w:eastAsia="等线" w:ascii="Arial" w:cs="Arial" w:hAnsi="Arial"/>
            <w:color w:val="3370ff"/>
            <w:sz w:val="22"/>
          </w:rPr>
          <w:t>api-docs.deepseek.com</w:t>
        </w:r>
      </w:hyperlink>
      <w:r>
        <w:rPr>
          <w:rFonts w:eastAsia="等线" w:ascii="Arial" w:cs="Arial" w:hAnsi="Arial"/>
          <w:sz w:val="22"/>
        </w:rPr>
        <w:t xml:space="preserve">, </w:t>
      </w:r>
      <w:hyperlink r:id="rId11">
        <w:r>
          <w:rPr>
            <w:rFonts w:eastAsia="等线" w:ascii="Arial" w:cs="Arial" w:hAnsi="Arial"/>
            <w:color w:val="3370ff"/>
            <w:sz w:val="22"/>
          </w:rPr>
          <w:t>wsj.com</w:t>
        </w:r>
      </w:hyperlink>
      <w:r>
        <w:rPr>
          <w:rFonts w:eastAsia="等线" w:ascii="Arial" w:cs="Arial" w:hAnsi="Arial"/>
          <w:sz w:val="22"/>
        </w:rPr>
        <w:t>)。</w:t>
      </w:r>
    </w:p>
    <w:p>
      <w:pPr>
        <w:numPr>
          <w:numId w:val="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H800 GPU 成为职业院校建设本地算力中心的主流选择，单台服务器成本约 280 万元，需要混合云策略降低 CAPEX(</w:t>
      </w:r>
      <w:hyperlink r:id="rId12">
        <w:r>
          <w:rPr>
            <w:rFonts w:eastAsia="等线" w:ascii="Arial" w:cs="Arial" w:hAnsi="Arial"/>
            <w:color w:val="3370ff"/>
            <w:sz w:val="22"/>
          </w:rPr>
          <w:t>bilibili.com</w:t>
        </w:r>
      </w:hyperlink>
      <w:r>
        <w:rPr>
          <w:rFonts w:eastAsia="等线" w:ascii="Arial" w:cs="Arial" w:hAnsi="Arial"/>
          <w:sz w:val="22"/>
        </w:rPr>
        <w:t>)。</w:t>
      </w: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4" w:id="4"/>
      <w:r>
        <w:rPr>
          <w:rFonts w:eastAsia="等线" w:ascii="Arial" w:cs="Arial" w:hAnsi="Arial"/>
          <w:b w:val="true"/>
          <w:sz w:val="32"/>
        </w:rPr>
        <w:t>2 用户画像与需求分析</w:t>
      </w:r>
      <w:bookmarkEnd w:id="4"/>
    </w:p>
    <w:p>
      <w:pPr>
        <w:spacing w:before="120" w:after="120" w:line="288" w:lineRule="auto"/>
        <w:ind w:left="0"/>
      </w:pPr>
      <w:r>
        <w:object>
          <v:shapetype coordsize="21600,21600" filled="f" id="_x0000_t75" o:preferrelative="t" path="m@4@5l@4@11@9@11@9@5xe" stroked="f" o:spt="75.0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aspectratio="t" v:ext="edit"/>
          </v:shapetype>
          <v:shape id="_x0000_i1025" style="width:414pt;height:187pt;mso-width-percent:0;mso-height-percent:0;mso-width-percent:0;mso-height-percent:0" type="#_x0000_t75" o:ole="">
            <v:imagedata r:id="rId14" o:title=""/>
          </v:shape>
          <o:OLEObject DrawAspect="Icon" ObjectID="_1718471219" ProgID="Excel.Sheet.12" ShapeID="_x0000_i1025" Type="Embed" r:id="rId13"/>
        </w:object>
      </w:r>
    </w:p>
    <w:p>
      <w:pPr>
        <w:spacing w:after="120"/>
        <w:ind w:left="0"/>
        <w:jc w:val="center"/>
      </w:pPr>
      <w:r>
        <w:rPr>
          <w:rFonts w:eastAsia="等线" w:ascii="Arial" w:cs="Arial" w:hAnsi="Arial"/>
          <w:b w:val="true"/>
          <w:sz w:val="22"/>
        </w:rPr>
        <w:t>点击图片可查看完整电子表格</w:t>
      </w: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5" w:id="5"/>
      <w:r>
        <w:rPr>
          <w:rFonts w:eastAsia="等线" w:ascii="Arial" w:cs="Arial" w:hAnsi="Arial"/>
          <w:b w:val="true"/>
          <w:sz w:val="32"/>
        </w:rPr>
        <w:t>3 产品定位与核心优势</w:t>
      </w:r>
      <w:bookmarkEnd w:id="5"/>
    </w:p>
    <w:p>
      <w:pPr>
        <w:numPr>
          <w:numId w:val="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纯国产模型栈</w:t>
      </w:r>
      <w:r>
        <w:rPr>
          <w:rFonts w:eastAsia="等线" w:ascii="Arial" w:cs="Arial" w:hAnsi="Arial"/>
          <w:sz w:val="22"/>
        </w:rPr>
        <w:t>：DeepSeek R1、通义千问、百川 2 等模型随时切换，保障数据主权(</w:t>
      </w:r>
      <w:hyperlink r:id="rId15">
        <w:r>
          <w:rPr>
            <w:rFonts w:eastAsia="等线" w:ascii="Arial" w:cs="Arial" w:hAnsi="Arial"/>
            <w:color w:val="3370ff"/>
            <w:sz w:val="22"/>
          </w:rPr>
          <w:t>deepseek.csdn.net</w:t>
        </w:r>
      </w:hyperlink>
      <w:r>
        <w:rPr>
          <w:rFonts w:eastAsia="等线" w:ascii="Arial" w:cs="Arial" w:hAnsi="Arial"/>
          <w:sz w:val="22"/>
        </w:rPr>
        <w:t>)。</w:t>
      </w:r>
    </w:p>
    <w:p>
      <w:pPr>
        <w:numPr>
          <w:numId w:val="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四区实验驱动</w:t>
      </w:r>
      <w:r>
        <w:rPr>
          <w:rFonts w:eastAsia="等线" w:ascii="Arial" w:cs="Arial" w:hAnsi="Arial"/>
          <w:sz w:val="22"/>
        </w:rPr>
        <w:t>：覆盖代码、自然语言、图像多模态和多智能体，面向“新工科+数字技能”培养。</w:t>
      </w:r>
    </w:p>
    <w:p>
      <w:pPr>
        <w:numPr>
          <w:numId w:val="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教学与治理一体</w:t>
      </w:r>
      <w:r>
        <w:rPr>
          <w:rFonts w:eastAsia="等线" w:ascii="Arial" w:cs="Arial" w:hAnsi="Arial"/>
          <w:sz w:val="22"/>
        </w:rPr>
        <w:t>：学习进度、模型调用、算力消耗统一可视化，为管理层提供决策依据(</w:t>
      </w:r>
      <w:hyperlink r:id="rId16">
        <w:r>
          <w:rPr>
            <w:rFonts w:eastAsia="等线" w:ascii="Arial" w:cs="Arial" w:hAnsi="Arial"/>
            <w:color w:val="3370ff"/>
            <w:sz w:val="22"/>
          </w:rPr>
          <w:t>moe.gov.cn</w:t>
        </w:r>
      </w:hyperlink>
      <w:r>
        <w:rPr>
          <w:rFonts w:eastAsia="等线" w:ascii="Arial" w:cs="Arial" w:hAnsi="Arial"/>
          <w:sz w:val="22"/>
        </w:rPr>
        <w:t>)。</w:t>
      </w:r>
    </w:p>
    <w:p>
      <w:pPr>
        <w:numPr>
          <w:numId w:val="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合规内生安全</w:t>
      </w:r>
      <w:r>
        <w:rPr>
          <w:rFonts w:eastAsia="等线" w:ascii="Arial" w:cs="Arial" w:hAnsi="Arial"/>
          <w:sz w:val="22"/>
        </w:rPr>
        <w:t>：零信任网络、全链路加密、国产红队测试，满足《数据安全法》要求(</w:t>
      </w:r>
      <w:hyperlink r:id="rId17">
        <w:r>
          <w:rPr>
            <w:rFonts w:eastAsia="等线" w:ascii="Arial" w:cs="Arial" w:hAnsi="Arial"/>
            <w:color w:val="3370ff"/>
            <w:sz w:val="22"/>
          </w:rPr>
          <w:t>junhe.com</w:t>
        </w:r>
      </w:hyperlink>
      <w:r>
        <w:rPr>
          <w:rFonts w:eastAsia="等线" w:ascii="Arial" w:cs="Arial" w:hAnsi="Arial"/>
          <w:sz w:val="22"/>
        </w:rPr>
        <w:t>)。</w:t>
      </w: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6" w:id="6"/>
      <w:r>
        <w:rPr>
          <w:rFonts w:eastAsia="等线" w:ascii="Arial" w:cs="Arial" w:hAnsi="Arial"/>
          <w:b w:val="true"/>
          <w:sz w:val="32"/>
        </w:rPr>
        <w:t>4 平台总体架构</w:t>
      </w:r>
      <w:bookmarkEnd w:id="6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7" w:id="7"/>
      <w:r>
        <w:rPr>
          <w:rFonts w:eastAsia="等线" w:ascii="Arial" w:cs="Arial" w:hAnsi="Arial"/>
          <w:b w:val="true"/>
          <w:sz w:val="30"/>
        </w:rPr>
        <w:t>4.1 技术架构</w:t>
      </w:r>
      <w:bookmarkEnd w:id="7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Plain Text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前端门户  ←→  网关API  ←→  微服务集群</w:t>
              <w:br/>
              <w:t xml:space="preserve">                        ├─ 推理服务（国产LLM）</w:t>
              <w:br/>
              <w:t xml:space="preserve">                        ├─ Notebook &amp; 容器</w:t>
              <w:br/>
              <w:t xml:space="preserve">                        ├─ 向量检索 / 文件存储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                └─ 监控·审计·计费</w:t>
            </w: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8" w:id="8"/>
      <w:r>
        <w:rPr>
          <w:rFonts w:eastAsia="等线" w:ascii="Arial" w:cs="Arial" w:hAnsi="Arial"/>
          <w:b w:val="true"/>
          <w:sz w:val="30"/>
        </w:rPr>
        <w:t>4.2 功能架构</w:t>
      </w:r>
      <w:bookmarkEnd w:id="8"/>
    </w:p>
    <w:p>
      <w:pPr>
        <w:numPr>
          <w:numId w:val="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课程中心</w:t>
      </w:r>
      <w:r>
        <w:rPr>
          <w:rFonts w:eastAsia="等线" w:ascii="Arial" w:cs="Arial" w:hAnsi="Arial"/>
          <w:sz w:val="22"/>
        </w:rPr>
        <w:t>：短课、专项、Capstone 按标签检索。</w:t>
      </w:r>
    </w:p>
    <w:p>
      <w:pPr>
        <w:numPr>
          <w:numId w:val="1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实验区</w:t>
      </w:r>
      <w:r>
        <w:rPr>
          <w:rFonts w:eastAsia="等线" w:ascii="Arial" w:cs="Arial" w:hAnsi="Arial"/>
          <w:sz w:val="22"/>
        </w:rPr>
        <w:t>：Jupyter↔AIIDE↔ComfyUI↔n8n/Dify 可无缝跳转。</w:t>
      </w:r>
    </w:p>
    <w:p>
      <w:pPr>
        <w:numPr>
          <w:numId w:val="1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资源库</w:t>
      </w:r>
      <w:r>
        <w:rPr>
          <w:rFonts w:eastAsia="等线" w:ascii="Arial" w:cs="Arial" w:hAnsi="Arial"/>
          <w:sz w:val="22"/>
        </w:rPr>
        <w:t>：数据集、模型权重、工作流模板。</w:t>
      </w:r>
    </w:p>
    <w:p>
      <w:pPr>
        <w:numPr>
          <w:numId w:val="1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治理中心</w:t>
      </w:r>
      <w:r>
        <w:rPr>
          <w:rFonts w:eastAsia="等线" w:ascii="Arial" w:cs="Arial" w:hAnsi="Arial"/>
          <w:sz w:val="22"/>
        </w:rPr>
        <w:t>：学习分析、算力报表、合规日志。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9" w:id="9"/>
      <w:r>
        <w:rPr>
          <w:rFonts w:eastAsia="等线" w:ascii="Arial" w:cs="Arial" w:hAnsi="Arial"/>
          <w:b w:val="true"/>
          <w:sz w:val="30"/>
        </w:rPr>
        <w:t>4.3 安全与合规</w:t>
      </w:r>
      <w:bookmarkEnd w:id="9"/>
    </w:p>
    <w:p>
      <w:pPr>
        <w:numPr>
          <w:numId w:val="1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零信任网关在边界做强身份，内部微服务细颗粒 RBAC。</w:t>
      </w:r>
    </w:p>
    <w:p>
      <w:pPr>
        <w:numPr>
          <w:numId w:val="1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Guardrails CN + 日志留存 180 天，对抗提示注入与幻觉(</w:t>
      </w:r>
      <w:hyperlink r:id="rId18">
        <w:r>
          <w:rPr>
            <w:rFonts w:eastAsia="等线" w:ascii="Arial" w:cs="Arial" w:hAnsi="Arial"/>
            <w:color w:val="3370ff"/>
            <w:sz w:val="22"/>
          </w:rPr>
          <w:t>junhe.com</w:t>
        </w:r>
      </w:hyperlink>
      <w:r>
        <w:rPr>
          <w:rFonts w:eastAsia="等线" w:ascii="Arial" w:cs="Arial" w:hAnsi="Arial"/>
          <w:sz w:val="22"/>
        </w:rPr>
        <w:t>)。</w:t>
      </w: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0" w:id="10"/>
      <w:r>
        <w:rPr>
          <w:rFonts w:eastAsia="等线" w:ascii="Arial" w:cs="Arial" w:hAnsi="Arial"/>
          <w:b w:val="true"/>
          <w:sz w:val="32"/>
        </w:rPr>
        <w:t>5 “四区实验”体系</w:t>
      </w:r>
      <w:bookmarkEnd w:id="10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1" w:id="11"/>
      <w:r>
        <w:rPr>
          <w:rFonts w:eastAsia="等线" w:ascii="Arial" w:cs="Arial" w:hAnsi="Arial"/>
          <w:b w:val="true"/>
          <w:sz w:val="30"/>
        </w:rPr>
        <w:t>5.1 Jupyter 交互实验区</w:t>
      </w:r>
      <w:bookmarkEnd w:id="11"/>
    </w:p>
    <w:p>
      <w:pPr>
        <w:numPr>
          <w:numId w:val="1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Python/R/Julia 40+ 内核；GPU 按需分配。</w:t>
      </w:r>
    </w:p>
    <w:p>
      <w:pPr>
        <w:numPr>
          <w:numId w:val="1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案例</w:t>
      </w:r>
      <w:r>
        <w:rPr>
          <w:rFonts w:eastAsia="等线" w:ascii="Arial" w:cs="Arial" w:hAnsi="Arial"/>
          <w:sz w:val="22"/>
        </w:rPr>
        <w:t>：基于 DeepSeek 70B 微调的法律文本分类，展示 LoRA 低成本训练。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2" w:id="12"/>
      <w:r>
        <w:rPr>
          <w:rFonts w:eastAsia="等线" w:ascii="Arial" w:cs="Arial" w:hAnsi="Arial"/>
          <w:b w:val="true"/>
          <w:sz w:val="30"/>
        </w:rPr>
        <w:t>5.2 AIIDE 自然语言编程区</w:t>
      </w:r>
      <w:bookmarkEnd w:id="12"/>
    </w:p>
    <w:p>
      <w:pPr>
        <w:numPr>
          <w:numId w:val="1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“对话=代码”，实时返回解释与图形流程。</w:t>
      </w:r>
    </w:p>
    <w:p>
      <w:pPr>
        <w:numPr>
          <w:numId w:val="1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支持语义级调试，自动定位变量异常并生成修复补丁。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3" w:id="13"/>
      <w:r>
        <w:rPr>
          <w:rFonts w:eastAsia="等线" w:ascii="Arial" w:cs="Arial" w:hAnsi="Arial"/>
          <w:b w:val="true"/>
          <w:sz w:val="30"/>
        </w:rPr>
        <w:t>5.3 ComfyUI AIGC 实验区</w:t>
      </w:r>
      <w:bookmarkEnd w:id="13"/>
    </w:p>
    <w:p>
      <w:pPr>
        <w:numPr>
          <w:numId w:val="1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节点式工作流易于可视化讲解；中文社区活跃，插件安装简单(</w:t>
      </w:r>
      <w:hyperlink r:id="rId19">
        <w:r>
          <w:rPr>
            <w:rFonts w:eastAsia="等线" w:ascii="Arial" w:cs="Arial" w:hAnsi="Arial"/>
            <w:color w:val="3370ff"/>
            <w:sz w:val="22"/>
          </w:rPr>
          <w:t>blog.csdn.net</w:t>
        </w:r>
      </w:hyperlink>
      <w:r>
        <w:rPr>
          <w:rFonts w:eastAsia="等线" w:ascii="Arial" w:cs="Arial" w:hAnsi="Arial"/>
          <w:sz w:val="22"/>
        </w:rPr>
        <w:t>)。</w:t>
      </w:r>
    </w:p>
    <w:p>
      <w:pPr>
        <w:numPr>
          <w:numId w:val="2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案例</w:t>
      </w:r>
      <w:r>
        <w:rPr>
          <w:rFonts w:eastAsia="等线" w:ascii="Arial" w:cs="Arial" w:hAnsi="Arial"/>
          <w:sz w:val="22"/>
        </w:rPr>
        <w:t>：国潮插画 LoRA 微调 + Prompt 翻译插件，30 分钟产出稳定风格海报。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4" w:id="14"/>
      <w:r>
        <w:rPr>
          <w:rFonts w:eastAsia="等线" w:ascii="Arial" w:cs="Arial" w:hAnsi="Arial"/>
          <w:b w:val="true"/>
          <w:sz w:val="30"/>
        </w:rPr>
        <w:t>5.4 n8n/Dify 智能体实验区</w:t>
      </w:r>
      <w:bookmarkEnd w:id="14"/>
    </w:p>
    <w:p>
      <w:pPr>
        <w:numPr>
          <w:numId w:val="2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n8n 超 1000 节点与 AI 结合，实现“无代码”业务流程(</w:t>
      </w:r>
      <w:hyperlink r:id="rId20">
        <w:r>
          <w:rPr>
            <w:rFonts w:eastAsia="等线" w:ascii="Arial" w:cs="Arial" w:hAnsi="Arial"/>
            <w:color w:val="3370ff"/>
            <w:sz w:val="22"/>
          </w:rPr>
          <w:t>n8n.akashio.com</w:t>
        </w:r>
      </w:hyperlink>
      <w:r>
        <w:rPr>
          <w:rFonts w:eastAsia="等线" w:ascii="Arial" w:cs="Arial" w:hAnsi="Arial"/>
          <w:sz w:val="22"/>
        </w:rPr>
        <w:t>)。</w:t>
      </w:r>
    </w:p>
    <w:p>
      <w:pPr>
        <w:numPr>
          <w:numId w:val="2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Dify 支持知识库 QA、Agent 监控与多模型路由，可视化工单便于教务管理(</w:t>
      </w:r>
      <w:hyperlink r:id="rId21">
        <w:r>
          <w:rPr>
            <w:rFonts w:eastAsia="等线" w:ascii="Arial" w:cs="Arial" w:hAnsi="Arial"/>
            <w:color w:val="3370ff"/>
            <w:sz w:val="22"/>
          </w:rPr>
          <w:t>dify.ai</w:t>
        </w:r>
      </w:hyperlink>
      <w:r>
        <w:rPr>
          <w:rFonts w:eastAsia="等线" w:ascii="Arial" w:cs="Arial" w:hAnsi="Arial"/>
          <w:sz w:val="22"/>
        </w:rPr>
        <w:t>)。</w:t>
      </w: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5" w:id="15"/>
      <w:r>
        <w:rPr>
          <w:rFonts w:eastAsia="等线" w:ascii="Arial" w:cs="Arial" w:hAnsi="Arial"/>
          <w:b w:val="true"/>
          <w:sz w:val="32"/>
        </w:rPr>
        <w:t>6 课程体系设计</w:t>
      </w:r>
      <w:bookmarkEnd w:id="15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6" w:id="16"/>
      <w:r>
        <w:rPr>
          <w:rFonts w:eastAsia="等线" w:ascii="Arial" w:cs="Arial" w:hAnsi="Arial"/>
          <w:b w:val="true"/>
          <w:sz w:val="30"/>
        </w:rPr>
        <w:t>6.1 三级课程</w:t>
      </w:r>
      <w:bookmarkEnd w:id="16"/>
    </w:p>
    <w:p>
      <w:pPr>
        <w:numPr>
          <w:numId w:val="2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短课</w:t>
      </w:r>
      <w:r>
        <w:rPr>
          <w:rFonts w:eastAsia="等线" w:ascii="Arial" w:cs="Arial" w:hAnsi="Arial"/>
          <w:sz w:val="22"/>
        </w:rPr>
        <w:t>：1–3 小时，Prompt 工程、RAG、视觉大模型入门。</w:t>
      </w:r>
    </w:p>
    <w:p>
      <w:pPr>
        <w:numPr>
          <w:numId w:val="2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专项</w:t>
      </w:r>
      <w:r>
        <w:rPr>
          <w:rFonts w:eastAsia="等线" w:ascii="Arial" w:cs="Arial" w:hAnsi="Arial"/>
          <w:sz w:val="22"/>
        </w:rPr>
        <w:t>：8–12 小时，多智能体系统、LLMOps、安全评估。</w:t>
      </w:r>
    </w:p>
    <w:p>
      <w:pPr>
        <w:numPr>
          <w:numId w:val="2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Capstone</w:t>
      </w:r>
      <w:r>
        <w:rPr>
          <w:rFonts w:eastAsia="等线" w:ascii="Arial" w:cs="Arial" w:hAnsi="Arial"/>
          <w:sz w:val="22"/>
        </w:rPr>
        <w:t>：16–24 小时，围绕智能仓储、智慧交通等行业痛点，校企联合实战。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7" w:id="17"/>
      <w:r>
        <w:rPr>
          <w:rFonts w:eastAsia="等线" w:ascii="Arial" w:cs="Arial" w:hAnsi="Arial"/>
          <w:b w:val="true"/>
          <w:sz w:val="30"/>
        </w:rPr>
        <w:t>6.2 教学闭环</w:t>
      </w:r>
      <w:bookmarkEnd w:id="17"/>
    </w:p>
    <w:p>
      <w:pPr>
        <w:numPr>
          <w:numId w:val="2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任务发布</w:t>
      </w:r>
      <w:r>
        <w:rPr>
          <w:rFonts w:eastAsia="等线" w:ascii="Arial" w:cs="Arial" w:hAnsi="Arial"/>
          <w:sz w:val="22"/>
        </w:rPr>
        <w:t xml:space="preserve"> → 2. </w:t>
      </w:r>
      <w:r>
        <w:rPr>
          <w:rFonts w:eastAsia="等线" w:ascii="Arial" w:cs="Arial" w:hAnsi="Arial"/>
          <w:b w:val="true"/>
          <w:sz w:val="22"/>
        </w:rPr>
        <w:t>实验完成</w:t>
      </w:r>
      <w:r>
        <w:rPr>
          <w:rFonts w:eastAsia="等线" w:ascii="Arial" w:cs="Arial" w:hAnsi="Arial"/>
          <w:sz w:val="22"/>
        </w:rPr>
        <w:t xml:space="preserve"> → 3. </w:t>
      </w:r>
      <w:r>
        <w:rPr>
          <w:rFonts w:eastAsia="等线" w:ascii="Arial" w:cs="Arial" w:hAnsi="Arial"/>
          <w:b w:val="true"/>
          <w:sz w:val="22"/>
        </w:rPr>
        <w:t>自动评测</w:t>
      </w:r>
      <w:r>
        <w:rPr>
          <w:rFonts w:eastAsia="等线" w:ascii="Arial" w:cs="Arial" w:hAnsi="Arial"/>
          <w:sz w:val="22"/>
        </w:rPr>
        <w:t xml:space="preserve"> → 4. </w:t>
      </w:r>
      <w:r>
        <w:rPr>
          <w:rFonts w:eastAsia="等线" w:ascii="Arial" w:cs="Arial" w:hAnsi="Arial"/>
          <w:b w:val="true"/>
          <w:sz w:val="22"/>
        </w:rPr>
        <w:t>模型优化</w:t>
      </w:r>
      <w:r>
        <w:rPr>
          <w:rFonts w:eastAsia="等线" w:ascii="Arial" w:cs="Arial" w:hAnsi="Arial"/>
          <w:sz w:val="22"/>
        </w:rPr>
        <w:t xml:space="preserve"> → 5. </w:t>
      </w:r>
      <w:r>
        <w:rPr>
          <w:rFonts w:eastAsia="等线" w:ascii="Arial" w:cs="Arial" w:hAnsi="Arial"/>
          <w:b w:val="true"/>
          <w:sz w:val="22"/>
        </w:rPr>
        <w:t>作品发布</w:t>
      </w:r>
    </w:p>
    <w:p>
      <w:pPr>
        <w:numPr>
          <w:numId w:val="2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每单元配“实验报告+推理日志+效能得分”，支持一键导出。</w:t>
      </w: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8" w:id="18"/>
      <w:r>
        <w:rPr>
          <w:rFonts w:eastAsia="等线" w:ascii="Arial" w:cs="Arial" w:hAnsi="Arial"/>
          <w:b w:val="true"/>
          <w:sz w:val="32"/>
        </w:rPr>
        <w:t>7 教师与管理者支持模块</w:t>
      </w:r>
      <w:bookmarkEnd w:id="18"/>
    </w:p>
    <w:p>
      <w:pPr>
        <w:numPr>
          <w:numId w:val="2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教师成长</w:t>
      </w:r>
      <w:r>
        <w:rPr>
          <w:rFonts w:eastAsia="等线" w:ascii="Arial" w:cs="Arial" w:hAnsi="Arial"/>
          <w:sz w:val="22"/>
        </w:rPr>
        <w:t>：内置“示例脚本库”“科研数据沙箱”，支持一键生成教材附录与实验手册。</w:t>
      </w:r>
    </w:p>
    <w:p>
      <w:pPr>
        <w:numPr>
          <w:numId w:val="2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管理者治理</w:t>
      </w:r>
      <w:r>
        <w:rPr>
          <w:rFonts w:eastAsia="等线" w:ascii="Arial" w:cs="Arial" w:hAnsi="Arial"/>
          <w:sz w:val="22"/>
        </w:rPr>
        <w:t>：大屏展示学时、算力、经费消耗；AI 报告自动分析产教融合成效并给出决策建议。</w:t>
      </w: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9" w:id="19"/>
      <w:r>
        <w:rPr>
          <w:rFonts w:eastAsia="等线" w:ascii="Arial" w:cs="Arial" w:hAnsi="Arial"/>
          <w:b w:val="true"/>
          <w:sz w:val="32"/>
        </w:rPr>
        <w:t>8 生态合作与商业模式</w:t>
      </w:r>
      <w:bookmarkEnd w:id="19"/>
    </w:p>
    <w:p>
      <w:pPr>
        <w:numPr>
          <w:numId w:val="3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开源社区</w:t>
      </w:r>
      <w:r>
        <w:rPr>
          <w:rFonts w:eastAsia="等线" w:ascii="Arial" w:cs="Arial" w:hAnsi="Arial"/>
          <w:sz w:val="22"/>
        </w:rPr>
        <w:t>：与 LangChain-CN、Llama-Index-CN、ComfyUI 中文社区同频迭代(</w:t>
      </w:r>
      <w:hyperlink r:id="rId22">
        <w:r>
          <w:rPr>
            <w:rFonts w:eastAsia="等线" w:ascii="Arial" w:cs="Arial" w:hAnsi="Arial"/>
            <w:color w:val="3370ff"/>
            <w:sz w:val="22"/>
          </w:rPr>
          <w:t>dify.ai</w:t>
        </w:r>
      </w:hyperlink>
      <w:r>
        <w:rPr>
          <w:rFonts w:eastAsia="等线" w:ascii="Arial" w:cs="Arial" w:hAnsi="Arial"/>
          <w:sz w:val="22"/>
        </w:rPr>
        <w:t>)。</w:t>
      </w:r>
    </w:p>
    <w:p>
      <w:pPr>
        <w:numPr>
          <w:numId w:val="3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云服务商</w:t>
      </w:r>
      <w:r>
        <w:rPr>
          <w:rFonts w:eastAsia="等线" w:ascii="Arial" w:cs="Arial" w:hAnsi="Arial"/>
          <w:sz w:val="22"/>
        </w:rPr>
        <w:t>：华为云、阿里云教育贷 GPU 资源包按需扩容(</w:t>
      </w:r>
      <w:hyperlink r:id="rId23">
        <w:r>
          <w:rPr>
            <w:rFonts w:eastAsia="等线" w:ascii="Arial" w:cs="Arial" w:hAnsi="Arial"/>
            <w:color w:val="3370ff"/>
            <w:sz w:val="22"/>
          </w:rPr>
          <w:t>huaweicloud.com</w:t>
        </w:r>
      </w:hyperlink>
      <w:r>
        <w:rPr>
          <w:rFonts w:eastAsia="等线" w:ascii="Arial" w:cs="Arial" w:hAnsi="Arial"/>
          <w:sz w:val="22"/>
        </w:rPr>
        <w:t>)。</w:t>
      </w:r>
    </w:p>
    <w:p>
      <w:pPr>
        <w:numPr>
          <w:numId w:val="3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企业伙伴</w:t>
      </w:r>
      <w:r>
        <w:rPr>
          <w:rFonts w:eastAsia="等线" w:ascii="Arial" w:cs="Arial" w:hAnsi="Arial"/>
          <w:sz w:val="22"/>
        </w:rPr>
        <w:t>：制造、物流、传媒龙头开放数据沙箱与真实业务需求。</w:t>
      </w:r>
    </w:p>
    <w:p>
      <w:pPr>
        <w:numPr>
          <w:numId w:val="3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收入模式</w:t>
      </w:r>
      <w:r>
        <w:rPr>
          <w:rFonts w:eastAsia="等线" w:ascii="Arial" w:cs="Arial" w:hAnsi="Arial"/>
          <w:sz w:val="22"/>
        </w:rPr>
        <w:t>：平台订阅 + 认证费用 + 企业定制项目 + 教材授权。</w:t>
      </w: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20" w:id="20"/>
      <w:r>
        <w:rPr>
          <w:rFonts w:eastAsia="等线" w:ascii="Arial" w:cs="Arial" w:hAnsi="Arial"/>
          <w:b w:val="true"/>
          <w:sz w:val="32"/>
        </w:rPr>
        <w:t>9 高校落地路径与项目管理</w:t>
      </w:r>
      <w:bookmarkEnd w:id="20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1" w:id="21"/>
      <w:r>
        <w:rPr>
          <w:rFonts w:eastAsia="等线" w:ascii="Arial" w:cs="Arial" w:hAnsi="Arial"/>
          <w:b w:val="true"/>
          <w:sz w:val="30"/>
        </w:rPr>
        <w:t>9.1 里程碑</w:t>
      </w:r>
      <w:bookmarkEnd w:id="21"/>
    </w:p>
    <w:p>
      <w:pPr>
        <w:spacing w:before="120" w:after="120" w:line="288" w:lineRule="auto"/>
        <w:ind w:left="0"/>
      </w:pPr>
      <w:r>
        <w:object>
          <v:shape id="_x0000_i1026" style="width:414pt;height:197pt;mso-width-percent:0;mso-height-percent:0;mso-width-percent:0;mso-height-percent:0" type="#_x0000_t75" o:ole="">
            <v:imagedata r:id="rId25" o:title=""/>
          </v:shape>
          <o:OLEObject DrawAspect="Icon" ObjectID="_1718471220" ProgID="Excel.Sheet.12" ShapeID="_x0000_i1026" Type="Embed" r:id="rId24"/>
        </w:object>
      </w:r>
    </w:p>
    <w:p>
      <w:pPr>
        <w:spacing w:after="120"/>
        <w:ind w:left="0"/>
        <w:jc w:val="center"/>
      </w:pPr>
      <w:r>
        <w:rPr>
          <w:rFonts w:eastAsia="等线" w:ascii="Arial" w:cs="Arial" w:hAnsi="Arial"/>
          <w:b w:val="true"/>
          <w:sz w:val="22"/>
        </w:rPr>
        <w:t>点击图片可查看完整电子表格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2" w:id="22"/>
      <w:r>
        <w:rPr>
          <w:rFonts w:eastAsia="等线" w:ascii="Arial" w:cs="Arial" w:hAnsi="Arial"/>
          <w:b w:val="true"/>
          <w:sz w:val="30"/>
        </w:rPr>
        <w:t>9.2 成本收益</w:t>
      </w:r>
      <w:bookmarkEnd w:id="22"/>
    </w:p>
    <w:p>
      <w:pPr>
        <w:numPr>
          <w:numId w:val="3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建设成本</w:t>
      </w:r>
      <w:r>
        <w:rPr>
          <w:rFonts w:eastAsia="等线" w:ascii="Arial" w:cs="Arial" w:hAnsi="Arial"/>
          <w:sz w:val="22"/>
        </w:rPr>
        <w:t>：硬件 1140 万元、内容开发 420 万元、运营与推广 240 万元。</w:t>
      </w:r>
    </w:p>
    <w:p>
      <w:pPr>
        <w:numPr>
          <w:numId w:val="3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收益预测</w:t>
      </w:r>
      <w:r>
        <w:rPr>
          <w:rFonts w:eastAsia="等线" w:ascii="Arial" w:cs="Arial" w:hAnsi="Arial"/>
          <w:sz w:val="22"/>
        </w:rPr>
        <w:t>：3 年订阅与认证收入约 900 万元，企业项目与教材授权 700 万元，目标三年盈亏平衡。</w:t>
      </w: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23" w:id="23"/>
      <w:r>
        <w:rPr>
          <w:rFonts w:eastAsia="等线" w:ascii="Arial" w:cs="Arial" w:hAnsi="Arial"/>
          <w:b w:val="true"/>
          <w:sz w:val="32"/>
        </w:rPr>
        <w:t>10 风险控制与质量保证</w:t>
      </w:r>
      <w:bookmarkEnd w:id="23"/>
    </w:p>
    <w:p>
      <w:pPr>
        <w:spacing w:before="120" w:after="120" w:line="288" w:lineRule="auto"/>
        <w:ind w:left="0"/>
      </w:pPr>
      <w:r>
        <w:object>
          <v:shape id="_x0000_i1027" style="width:414pt;height:187pt;mso-width-percent:0;mso-height-percent:0;mso-width-percent:0;mso-height-percent:0" type="#_x0000_t75" o:ole="">
            <v:imagedata r:id="rId27" o:title=""/>
          </v:shape>
          <o:OLEObject DrawAspect="Icon" ObjectID="_1718471221" ProgID="Excel.Sheet.12" ShapeID="_x0000_i1027" Type="Embed" r:id="rId26"/>
        </w:object>
      </w:r>
    </w:p>
    <w:p>
      <w:pPr>
        <w:spacing w:after="120"/>
        <w:ind w:left="0"/>
        <w:jc w:val="center"/>
      </w:pPr>
      <w:r>
        <w:rPr>
          <w:rFonts w:eastAsia="等线" w:ascii="Arial" w:cs="Arial" w:hAnsi="Arial"/>
          <w:b w:val="true"/>
          <w:sz w:val="22"/>
        </w:rPr>
        <w:t>点击图片可查看完整电子表格</w:t>
      </w: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24" w:id="24"/>
      <w:r>
        <w:rPr>
          <w:rFonts w:eastAsia="等线" w:ascii="Arial" w:cs="Arial" w:hAnsi="Arial"/>
          <w:b w:val="true"/>
          <w:sz w:val="32"/>
        </w:rPr>
        <w:t>11 未来展望</w:t>
      </w:r>
      <w:bookmarkEnd w:id="24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未来三年，“智涌君”将进一步加入 </w:t>
      </w:r>
      <w:r>
        <w:rPr>
          <w:rFonts w:eastAsia="等线" w:ascii="Arial" w:cs="Arial" w:hAnsi="Arial"/>
          <w:b w:val="true"/>
          <w:sz w:val="22"/>
        </w:rPr>
        <w:t>国产多模态大模型、数字人引擎与 XR 实训</w:t>
      </w:r>
      <w:r>
        <w:rPr>
          <w:rFonts w:eastAsia="等线" w:ascii="Arial" w:cs="Arial" w:hAnsi="Arial"/>
          <w:sz w:val="22"/>
        </w:rPr>
        <w:t xml:space="preserve"> 功能，实现“虚实融合”的技能训练；同步开源 </w:t>
      </w:r>
      <w:r>
        <w:rPr>
          <w:rFonts w:eastAsia="等线" w:ascii="Arial" w:cs="Arial" w:hAnsi="Arial"/>
          <w:b w:val="true"/>
          <w:sz w:val="22"/>
        </w:rPr>
        <w:t>Edu-RAG Kit</w:t>
      </w:r>
      <w:r>
        <w:rPr>
          <w:rFonts w:eastAsia="等线" w:ascii="Arial" w:cs="Arial" w:hAnsi="Arial"/>
          <w:sz w:val="22"/>
        </w:rPr>
        <w:t xml:space="preserve">，帮助学校低成本复用教学知识库；推动建立 </w:t>
      </w:r>
      <w:r>
        <w:rPr>
          <w:rFonts w:eastAsia="等线" w:ascii="Arial" w:cs="Arial" w:hAnsi="Arial"/>
          <w:b w:val="true"/>
          <w:sz w:val="22"/>
        </w:rPr>
        <w:t>国家层面的职业院校 AI 能力评价标准</w:t>
      </w:r>
      <w:r>
        <w:rPr>
          <w:rFonts w:eastAsia="等线" w:ascii="Arial" w:cs="Arial" w:hAnsi="Arial"/>
          <w:sz w:val="22"/>
        </w:rPr>
        <w:t>，让“人人会用大模型”成为新工科人才的基础素养。(</w:t>
      </w:r>
      <w:hyperlink r:id="rId28">
        <w:r>
          <w:rPr>
            <w:rFonts w:eastAsia="等线" w:ascii="Arial" w:cs="Arial" w:hAnsi="Arial"/>
            <w:color w:val="3370ff"/>
            <w:sz w:val="22"/>
          </w:rPr>
          <w:t>moe.gov.cn</w:t>
        </w:r>
      </w:hyperlink>
      <w:r>
        <w:rPr>
          <w:rFonts w:eastAsia="等线" w:ascii="Arial" w:cs="Arial" w:hAnsi="Arial"/>
          <w:sz w:val="22"/>
        </w:rPr>
        <w:t>)</w:t>
      </w: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通过纯国产技术栈、四区实验驱动、三级课程路径与数据化治理，“智涌君”将为职业院校提供可复制、可持续、符合国家战略的 AI 人才培养新范式，实现学校、学生与产业的三方共赢。</w:t>
      </w:r>
    </w:p>
    <w:sectPr>
      <w:footerReference w:type="default" r:id="rId3"/>
      <w:headerReference w:type="default" r:id="rId29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517075">
    <w:lvl>
      <w:numFmt w:val="bullet"/>
      <w:suff w:val="tab"/>
      <w:lvlText w:val="•"/>
      <w:rPr>
        <w:color w:val="3370ff"/>
      </w:rPr>
    </w:lvl>
  </w:abstractNum>
  <w:abstractNum w:abstractNumId="517076">
    <w:lvl>
      <w:numFmt w:val="bullet"/>
      <w:suff w:val="tab"/>
      <w:lvlText w:val="•"/>
      <w:rPr>
        <w:color w:val="3370ff"/>
      </w:rPr>
    </w:lvl>
  </w:abstractNum>
  <w:abstractNum w:abstractNumId="517077">
    <w:lvl>
      <w:numFmt w:val="bullet"/>
      <w:suff w:val="tab"/>
      <w:lvlText w:val="•"/>
      <w:rPr>
        <w:color w:val="3370ff"/>
      </w:rPr>
    </w:lvl>
  </w:abstractNum>
  <w:abstractNum w:abstractNumId="517078">
    <w:lvl>
      <w:numFmt w:val="bullet"/>
      <w:suff w:val="tab"/>
      <w:lvlText w:val="•"/>
      <w:rPr>
        <w:color w:val="3370ff"/>
      </w:rPr>
    </w:lvl>
  </w:abstractNum>
  <w:abstractNum w:abstractNumId="517079">
    <w:lvl>
      <w:start w:val="1"/>
      <w:numFmt w:val="decimal"/>
      <w:suff w:val="tab"/>
      <w:lvlText w:val="%1."/>
      <w:rPr>
        <w:color w:val="3370ff"/>
      </w:rPr>
    </w:lvl>
  </w:abstractNum>
  <w:abstractNum w:abstractNumId="517080">
    <w:lvl>
      <w:start w:val="2"/>
      <w:numFmt w:val="decimal"/>
      <w:suff w:val="tab"/>
      <w:lvlText w:val="%1."/>
      <w:rPr>
        <w:color w:val="3370ff"/>
      </w:rPr>
    </w:lvl>
  </w:abstractNum>
  <w:abstractNum w:abstractNumId="517081">
    <w:lvl>
      <w:start w:val="3"/>
      <w:numFmt w:val="decimal"/>
      <w:suff w:val="tab"/>
      <w:lvlText w:val="%1."/>
      <w:rPr>
        <w:color w:val="3370ff"/>
      </w:rPr>
    </w:lvl>
  </w:abstractNum>
  <w:abstractNum w:abstractNumId="517082">
    <w:lvl>
      <w:start w:val="4"/>
      <w:numFmt w:val="decimal"/>
      <w:suff w:val="tab"/>
      <w:lvlText w:val="%1."/>
      <w:rPr>
        <w:color w:val="3370ff"/>
      </w:rPr>
    </w:lvl>
  </w:abstractNum>
  <w:abstractNum w:abstractNumId="517083">
    <w:lvl>
      <w:numFmt w:val="bullet"/>
      <w:suff w:val="tab"/>
      <w:lvlText w:val="•"/>
      <w:rPr>
        <w:color w:val="3370ff"/>
      </w:rPr>
    </w:lvl>
  </w:abstractNum>
  <w:abstractNum w:abstractNumId="517084">
    <w:lvl>
      <w:numFmt w:val="bullet"/>
      <w:suff w:val="tab"/>
      <w:lvlText w:val="•"/>
      <w:rPr>
        <w:color w:val="3370ff"/>
      </w:rPr>
    </w:lvl>
  </w:abstractNum>
  <w:abstractNum w:abstractNumId="517085">
    <w:lvl>
      <w:numFmt w:val="bullet"/>
      <w:suff w:val="tab"/>
      <w:lvlText w:val="•"/>
      <w:rPr>
        <w:color w:val="3370ff"/>
      </w:rPr>
    </w:lvl>
  </w:abstractNum>
  <w:abstractNum w:abstractNumId="517086">
    <w:lvl>
      <w:numFmt w:val="bullet"/>
      <w:suff w:val="tab"/>
      <w:lvlText w:val="•"/>
      <w:rPr>
        <w:color w:val="3370ff"/>
      </w:rPr>
    </w:lvl>
  </w:abstractNum>
  <w:abstractNum w:abstractNumId="517087">
    <w:lvl>
      <w:numFmt w:val="bullet"/>
      <w:suff w:val="tab"/>
      <w:lvlText w:val="•"/>
      <w:rPr>
        <w:color w:val="3370ff"/>
      </w:rPr>
    </w:lvl>
  </w:abstractNum>
  <w:abstractNum w:abstractNumId="517088">
    <w:lvl>
      <w:numFmt w:val="bullet"/>
      <w:suff w:val="tab"/>
      <w:lvlText w:val="•"/>
      <w:rPr>
        <w:color w:val="3370ff"/>
      </w:rPr>
    </w:lvl>
  </w:abstractNum>
  <w:abstractNum w:abstractNumId="517089">
    <w:lvl>
      <w:numFmt w:val="bullet"/>
      <w:suff w:val="tab"/>
      <w:lvlText w:val="•"/>
      <w:rPr>
        <w:color w:val="3370ff"/>
      </w:rPr>
    </w:lvl>
  </w:abstractNum>
  <w:abstractNum w:abstractNumId="517090">
    <w:lvl>
      <w:numFmt w:val="bullet"/>
      <w:suff w:val="tab"/>
      <w:lvlText w:val="•"/>
      <w:rPr>
        <w:color w:val="3370ff"/>
      </w:rPr>
    </w:lvl>
  </w:abstractNum>
  <w:abstractNum w:abstractNumId="517091">
    <w:lvl>
      <w:numFmt w:val="bullet"/>
      <w:suff w:val="tab"/>
      <w:lvlText w:val="•"/>
      <w:rPr>
        <w:color w:val="3370ff"/>
      </w:rPr>
    </w:lvl>
  </w:abstractNum>
  <w:abstractNum w:abstractNumId="517092">
    <w:lvl>
      <w:numFmt w:val="bullet"/>
      <w:suff w:val="tab"/>
      <w:lvlText w:val="•"/>
      <w:rPr>
        <w:color w:val="3370ff"/>
      </w:rPr>
    </w:lvl>
  </w:abstractNum>
  <w:abstractNum w:abstractNumId="517093">
    <w:lvl>
      <w:numFmt w:val="bullet"/>
      <w:suff w:val="tab"/>
      <w:lvlText w:val="•"/>
      <w:rPr>
        <w:color w:val="3370ff"/>
      </w:rPr>
    </w:lvl>
  </w:abstractNum>
  <w:abstractNum w:abstractNumId="517094">
    <w:lvl>
      <w:numFmt w:val="bullet"/>
      <w:suff w:val="tab"/>
      <w:lvlText w:val="•"/>
      <w:rPr>
        <w:color w:val="3370ff"/>
      </w:rPr>
    </w:lvl>
  </w:abstractNum>
  <w:abstractNum w:abstractNumId="517095">
    <w:lvl>
      <w:numFmt w:val="bullet"/>
      <w:suff w:val="tab"/>
      <w:lvlText w:val="•"/>
      <w:rPr>
        <w:color w:val="3370ff"/>
      </w:rPr>
    </w:lvl>
  </w:abstractNum>
  <w:abstractNum w:abstractNumId="517096">
    <w:lvl>
      <w:numFmt w:val="bullet"/>
      <w:suff w:val="tab"/>
      <w:lvlText w:val="•"/>
      <w:rPr>
        <w:color w:val="3370ff"/>
      </w:rPr>
    </w:lvl>
  </w:abstractNum>
  <w:abstractNum w:abstractNumId="517097">
    <w:lvl>
      <w:numFmt w:val="bullet"/>
      <w:suff w:val="tab"/>
      <w:lvlText w:val="•"/>
      <w:rPr>
        <w:color w:val="3370ff"/>
      </w:rPr>
    </w:lvl>
  </w:abstractNum>
  <w:abstractNum w:abstractNumId="517098">
    <w:lvl>
      <w:numFmt w:val="bullet"/>
      <w:suff w:val="tab"/>
      <w:lvlText w:val="•"/>
      <w:rPr>
        <w:color w:val="3370ff"/>
      </w:rPr>
    </w:lvl>
  </w:abstractNum>
  <w:abstractNum w:abstractNumId="517099">
    <w:lvl>
      <w:numFmt w:val="bullet"/>
      <w:suff w:val="tab"/>
      <w:lvlText w:val="•"/>
      <w:rPr>
        <w:color w:val="3370ff"/>
      </w:rPr>
    </w:lvl>
  </w:abstractNum>
  <w:abstractNum w:abstractNumId="517100">
    <w:lvl>
      <w:start w:val="1"/>
      <w:numFmt w:val="decimal"/>
      <w:suff w:val="tab"/>
      <w:lvlText w:val="%1."/>
      <w:rPr>
        <w:color w:val="3370ff"/>
      </w:rPr>
    </w:lvl>
  </w:abstractNum>
  <w:abstractNum w:abstractNumId="517101">
    <w:lvl>
      <w:numFmt w:val="bullet"/>
      <w:suff w:val="tab"/>
      <w:lvlText w:val="•"/>
      <w:rPr>
        <w:color w:val="3370ff"/>
      </w:rPr>
    </w:lvl>
  </w:abstractNum>
  <w:abstractNum w:abstractNumId="517102">
    <w:lvl>
      <w:numFmt w:val="bullet"/>
      <w:suff w:val="tab"/>
      <w:lvlText w:val="•"/>
      <w:rPr>
        <w:color w:val="3370ff"/>
      </w:rPr>
    </w:lvl>
  </w:abstractNum>
  <w:abstractNum w:abstractNumId="517103">
    <w:lvl>
      <w:numFmt w:val="bullet"/>
      <w:suff w:val="tab"/>
      <w:lvlText w:val="•"/>
      <w:rPr>
        <w:color w:val="3370ff"/>
      </w:rPr>
    </w:lvl>
  </w:abstractNum>
  <w:abstractNum w:abstractNumId="517104">
    <w:lvl>
      <w:start w:val="1"/>
      <w:numFmt w:val="decimal"/>
      <w:suff w:val="tab"/>
      <w:lvlText w:val="%1."/>
      <w:rPr>
        <w:color w:val="3370ff"/>
      </w:rPr>
    </w:lvl>
  </w:abstractNum>
  <w:abstractNum w:abstractNumId="517105">
    <w:lvl>
      <w:start w:val="2"/>
      <w:numFmt w:val="decimal"/>
      <w:suff w:val="tab"/>
      <w:lvlText w:val="%1."/>
      <w:rPr>
        <w:color w:val="3370ff"/>
      </w:rPr>
    </w:lvl>
  </w:abstractNum>
  <w:abstractNum w:abstractNumId="517106">
    <w:lvl>
      <w:start w:val="3"/>
      <w:numFmt w:val="decimal"/>
      <w:suff w:val="tab"/>
      <w:lvlText w:val="%1."/>
      <w:rPr>
        <w:color w:val="3370ff"/>
      </w:rPr>
    </w:lvl>
  </w:abstractNum>
  <w:abstractNum w:abstractNumId="517107">
    <w:lvl>
      <w:start w:val="4"/>
      <w:numFmt w:val="decimal"/>
      <w:suff w:val="tab"/>
      <w:lvlText w:val="%1."/>
      <w:rPr>
        <w:color w:val="3370ff"/>
      </w:rPr>
    </w:lvl>
  </w:abstractNum>
  <w:abstractNum w:abstractNumId="517108">
    <w:lvl>
      <w:numFmt w:val="bullet"/>
      <w:suff w:val="tab"/>
      <w:lvlText w:val="•"/>
      <w:rPr>
        <w:color w:val="3370ff"/>
      </w:rPr>
    </w:lvl>
  </w:abstractNum>
  <w:abstractNum w:abstractNumId="517109">
    <w:lvl>
      <w:numFmt w:val="bullet"/>
      <w:suff w:val="tab"/>
      <w:lvlText w:val="•"/>
      <w:rPr>
        <w:color w:val="3370ff"/>
      </w:rPr>
    </w:lvl>
  </w:abstractNum>
  <w:num w:numId="1">
    <w:abstractNumId w:val="517075"/>
  </w:num>
  <w:num w:numId="2">
    <w:abstractNumId w:val="517076"/>
  </w:num>
  <w:num w:numId="3">
    <w:abstractNumId w:val="517077"/>
  </w:num>
  <w:num w:numId="4">
    <w:abstractNumId w:val="517078"/>
  </w:num>
  <w:num w:numId="5">
    <w:abstractNumId w:val="517079"/>
  </w:num>
  <w:num w:numId="6">
    <w:abstractNumId w:val="517080"/>
  </w:num>
  <w:num w:numId="7">
    <w:abstractNumId w:val="517081"/>
  </w:num>
  <w:num w:numId="8">
    <w:abstractNumId w:val="517082"/>
  </w:num>
  <w:num w:numId="9">
    <w:abstractNumId w:val="517083"/>
  </w:num>
  <w:num w:numId="10">
    <w:abstractNumId w:val="517084"/>
  </w:num>
  <w:num w:numId="11">
    <w:abstractNumId w:val="517085"/>
  </w:num>
  <w:num w:numId="12">
    <w:abstractNumId w:val="517086"/>
  </w:num>
  <w:num w:numId="13">
    <w:abstractNumId w:val="517087"/>
  </w:num>
  <w:num w:numId="14">
    <w:abstractNumId w:val="517088"/>
  </w:num>
  <w:num w:numId="15">
    <w:abstractNumId w:val="517089"/>
  </w:num>
  <w:num w:numId="16">
    <w:abstractNumId w:val="517090"/>
  </w:num>
  <w:num w:numId="17">
    <w:abstractNumId w:val="517091"/>
  </w:num>
  <w:num w:numId="18">
    <w:abstractNumId w:val="517092"/>
  </w:num>
  <w:num w:numId="19">
    <w:abstractNumId w:val="517093"/>
  </w:num>
  <w:num w:numId="20">
    <w:abstractNumId w:val="517094"/>
  </w:num>
  <w:num w:numId="21">
    <w:abstractNumId w:val="517095"/>
  </w:num>
  <w:num w:numId="22">
    <w:abstractNumId w:val="517096"/>
  </w:num>
  <w:num w:numId="23">
    <w:abstractNumId w:val="517097"/>
  </w:num>
  <w:num w:numId="24">
    <w:abstractNumId w:val="517098"/>
  </w:num>
  <w:num w:numId="25">
    <w:abstractNumId w:val="517099"/>
  </w:num>
  <w:num w:numId="26">
    <w:abstractNumId w:val="517100"/>
  </w:num>
  <w:num w:numId="27">
    <w:abstractNumId w:val="517101"/>
  </w:num>
  <w:num w:numId="28">
    <w:abstractNumId w:val="517102"/>
  </w:num>
  <w:num w:numId="29">
    <w:abstractNumId w:val="517103"/>
  </w:num>
  <w:num w:numId="30">
    <w:abstractNumId w:val="517104"/>
  </w:num>
  <w:num w:numId="31">
    <w:abstractNumId w:val="517105"/>
  </w:num>
  <w:num w:numId="32">
    <w:abstractNumId w:val="517106"/>
  </w:num>
  <w:num w:numId="33">
    <w:abstractNumId w:val="517107"/>
  </w:num>
  <w:num w:numId="34">
    <w:abstractNumId w:val="517108"/>
  </w:num>
  <w:num w:numId="35">
    <w:abstractNumId w:val="517109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https://api-docs.deepseek.com/zh-cn/news/news250120?utm_source=chatgpt.com" TargetMode="External" Type="http://schemas.openxmlformats.org/officeDocument/2006/relationships/hyperlink"/><Relationship Id="rId11" Target="https://www.wsj.com/tech/ai/deepseek-ai-how-it-works-725cb464?utm_source=chatgpt.com" TargetMode="External" Type="http://schemas.openxmlformats.org/officeDocument/2006/relationships/hyperlink"/><Relationship Id="rId12" Target="https://www.bilibili.com/read/cv37125766/?utm_source=chatgpt.com" TargetMode="External" Type="http://schemas.openxmlformats.org/officeDocument/2006/relationships/hyperlink"/><Relationship Id="rId13" Target="embeddings/Microsoft_Excel_Worksheet1.xlsx" Type="http://schemas.openxmlformats.org/officeDocument/2006/relationships/package"/><Relationship Id="rId14" Target="media/image1.png" Type="http://schemas.openxmlformats.org/officeDocument/2006/relationships/image"/><Relationship Id="rId15" Target="https://deepseek.csdn.net/67b83ad122df941d53fbba89.html?utm_source=chatgpt.com" TargetMode="External" Type="http://schemas.openxmlformats.org/officeDocument/2006/relationships/hyperlink"/><Relationship Id="rId16" Target="https://www.moe.gov.cn/fbh/live/2025/56808/?utm_source=chatgpt.com" TargetMode="External" Type="http://schemas.openxmlformats.org/officeDocument/2006/relationships/hyperlink"/><Relationship Id="rId17" Target="https://www.junhe.com/legal-updates/2306?utm_source=chatgpt.com" TargetMode="External" Type="http://schemas.openxmlformats.org/officeDocument/2006/relationships/hyperlink"/><Relationship Id="rId18" Target="https://www.junhe.com/legal-updates/2306?utm_source=chatgpt.com" TargetMode="External" Type="http://schemas.openxmlformats.org/officeDocument/2006/relationships/hyperlink"/><Relationship Id="rId19" Target="https://blog.csdn.net/weixin_38468167/article/details/140071744?utm_source=chatgpt.com" TargetMode="External" Type="http://schemas.openxmlformats.org/officeDocument/2006/relationships/hyperlink"/><Relationship Id="rId2" Target="styles.xml" Type="http://schemas.openxmlformats.org/officeDocument/2006/relationships/styles"/><Relationship Id="rId20" Target="https://n8n.akashio.com/?utm_source=chatgpt.com" TargetMode="External" Type="http://schemas.openxmlformats.org/officeDocument/2006/relationships/hyperlink"/><Relationship Id="rId21" Target="https://dify.ai/zh?utm_source=chatgpt.com" TargetMode="External" Type="http://schemas.openxmlformats.org/officeDocument/2006/relationships/hyperlink"/><Relationship Id="rId22" Target="https://dify.ai/zh?utm_source=chatgpt.com" TargetMode="External" Type="http://schemas.openxmlformats.org/officeDocument/2006/relationships/hyperlink"/><Relationship Id="rId23" Target="https://www.huaweicloud.com/theme/244383-1-G?utm_source=chatgpt.com" TargetMode="External" Type="http://schemas.openxmlformats.org/officeDocument/2006/relationships/hyperlink"/><Relationship Id="rId24" Target="embeddings/Microsoft_Excel_Worksheet2.xlsx" Type="http://schemas.openxmlformats.org/officeDocument/2006/relationships/package"/><Relationship Id="rId25" Target="media/image2.png" Type="http://schemas.openxmlformats.org/officeDocument/2006/relationships/image"/><Relationship Id="rId26" Target="embeddings/Microsoft_Excel_Worksheet3.xlsx" Type="http://schemas.openxmlformats.org/officeDocument/2006/relationships/package"/><Relationship Id="rId27" Target="media/image3.png" Type="http://schemas.openxmlformats.org/officeDocument/2006/relationships/image"/><Relationship Id="rId28" Target="https://www.moe.gov.cn/fbh/live/2025/56808/?utm_source=chatgpt.com" TargetMode="External" Type="http://schemas.openxmlformats.org/officeDocument/2006/relationships/hyperlink"/><Relationship Id="rId29" Target="header1.xml" Type="http://schemas.openxmlformats.org/officeDocument/2006/relationships/header"/><Relationship Id="rId3" Target="footer1.xml" Type="http://schemas.openxmlformats.org/officeDocument/2006/relationships/footer"/><Relationship Id="rId4" Target="https://www.edu.cn/xxh/focus/zc/202504/t20250416_2663903.shtml?utm_source=chatgpt.com" TargetMode="External" Type="http://schemas.openxmlformats.org/officeDocument/2006/relationships/hyperlink"/><Relationship Id="rId5" Target="https://api-docs.deepseek.com/zh-cn/news/news250120?utm_source=chatgpt.com" TargetMode="External" Type="http://schemas.openxmlformats.org/officeDocument/2006/relationships/hyperlink"/><Relationship Id="rId6" Target="https://dify.ai/zh?utm_source=chatgpt.com" TargetMode="External" Type="http://schemas.openxmlformats.org/officeDocument/2006/relationships/hyperlink"/><Relationship Id="rId7" Target="numbering.xml" Type="http://schemas.openxmlformats.org/officeDocument/2006/relationships/numbering"/><Relationship Id="rId8" Target="https://www.edu.cn/xxh/focus/zc/202504/t20250416_2663903.shtml?utm_source=chatgpt.com" TargetMode="External" Type="http://schemas.openxmlformats.org/officeDocument/2006/relationships/hyperlink"/><Relationship Id="rId9" Target="https://www.junhe.com/legal-updates/2306?utm_source=chatgpt.com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2025-06-18T08:36:08Z</dcterms:created>
  <dc:creator>Apache POI</dc:creator>
</cp:coreProperties>
</file>