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134EB" w:rsidRDefault="0030043E">
      <w:r>
        <w:t>PODEMOS CONCLUIR  QUE COLUN, DESDE EL MOMENTO DE SU CREACION, HASTA SU GRAN EXPANSION Y CRECIMIENTO, HA AYUDADO EN LA REGION DE LOS RIOS A DISTINTAS COMUNAS COMO LO SON FUTRONO, PAILLACO, RIO BUENO Y PRINCIPALMENTE A LA UNION EN SU CRECIMIENTO Y DESARROLLO, EVITANDO LA MIGRACION DE SUS HABITANTES A LA CIUDAD</w:t>
      </w:r>
    </w:p>
    <w:sectPr w:rsidR="000134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43E"/>
    <w:rsid w:val="000134EB"/>
    <w:rsid w:val="000F5E2C"/>
    <w:rsid w:val="0030043E"/>
    <w:rsid w:val="003B5916"/>
    <w:rsid w:val="009B3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B04F9"/>
  <w15:chartTrackingRefBased/>
  <w15:docId w15:val="{7AD1609C-B23F-40F6-A036-B06C6DE3D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</Words>
  <Characters>263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JOSE VILLAGRA MORALES</dc:creator>
  <cp:keywords/>
  <dc:description/>
  <cp:lastModifiedBy>MARIA JOSE VILLAGRA MORALES</cp:lastModifiedBy>
  <cp:revision>1</cp:revision>
  <dcterms:created xsi:type="dcterms:W3CDTF">2023-04-20T01:29:00Z</dcterms:created>
  <dcterms:modified xsi:type="dcterms:W3CDTF">2023-04-20T01:34:00Z</dcterms:modified>
</cp:coreProperties>
</file>