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BA71" w14:textId="7F612BC3" w:rsidR="00B15CC8" w:rsidRDefault="00E67482" w:rsidP="00741827">
      <w:pPr>
        <w:pStyle w:val="Heading1"/>
      </w:pPr>
      <w:r w:rsidRPr="00E67482">
        <w:t>PURPOSE OF THE PROJECT</w:t>
      </w:r>
    </w:p>
    <w:p w14:paraId="584331BA" w14:textId="77777777" w:rsidR="00EA7DB1" w:rsidRDefault="00EA7DB1" w:rsidP="008B49F7">
      <w:pPr>
        <w:rPr>
          <w:color w:val="0E101A"/>
        </w:rPr>
      </w:pPr>
      <w:bookmarkStart w:id="0" w:name="_83obp8isp76" w:colFirst="0" w:colLast="0"/>
      <w:bookmarkStart w:id="1" w:name="_w8m4mdu6auyy" w:colFirst="0" w:colLast="0"/>
      <w:bookmarkEnd w:id="0"/>
      <w:bookmarkEnd w:id="1"/>
    </w:p>
    <w:p w14:paraId="71176E4C" w14:textId="5B951FA3" w:rsidR="00DF276D" w:rsidRDefault="003B253B" w:rsidP="00741827">
      <w:pPr>
        <w:rPr>
          <w:color w:val="0E101A"/>
        </w:rPr>
      </w:pPr>
      <w:r w:rsidRPr="003B253B">
        <w:rPr>
          <w:color w:val="0E101A"/>
        </w:rPr>
        <w:t>The project for Litigation Operations, a company that reduces legal spend, use</w:t>
      </w:r>
      <w:r w:rsidR="00B25CBF">
        <w:rPr>
          <w:color w:val="0E101A"/>
        </w:rPr>
        <w:t>d</w:t>
      </w:r>
      <w:r w:rsidRPr="003B253B">
        <w:rPr>
          <w:color w:val="0E101A"/>
        </w:rPr>
        <w:t xml:space="preserve"> </w:t>
      </w:r>
      <w:r w:rsidR="007A3A2E">
        <w:rPr>
          <w:color w:val="0E101A"/>
        </w:rPr>
        <w:t xml:space="preserve">data to </w:t>
      </w:r>
      <w:r w:rsidRPr="003B253B">
        <w:rPr>
          <w:color w:val="0E101A"/>
        </w:rPr>
        <w:t xml:space="preserve">evaluate the quality of incoming law firm invoices. By using historical results </w:t>
      </w:r>
      <w:r w:rsidR="00F1378F" w:rsidRPr="003B253B">
        <w:rPr>
          <w:color w:val="0E101A"/>
        </w:rPr>
        <w:t>of invoice</w:t>
      </w:r>
      <w:r w:rsidRPr="003B253B">
        <w:rPr>
          <w:color w:val="0E101A"/>
        </w:rPr>
        <w:t xml:space="preserve"> </w:t>
      </w:r>
      <w:r w:rsidR="00741827">
        <w:rPr>
          <w:color w:val="0E101A"/>
        </w:rPr>
        <w:t xml:space="preserve">non-compliance </w:t>
      </w:r>
      <w:r w:rsidRPr="003B253B">
        <w:rPr>
          <w:color w:val="0E101A"/>
        </w:rPr>
        <w:t xml:space="preserve">codes, an </w:t>
      </w:r>
      <w:r w:rsidR="00013E08">
        <w:rPr>
          <w:color w:val="0E101A"/>
        </w:rPr>
        <w:t xml:space="preserve">AI </w:t>
      </w:r>
      <w:r w:rsidRPr="003B253B">
        <w:rPr>
          <w:color w:val="0E101A"/>
        </w:rPr>
        <w:t xml:space="preserve">algorithm </w:t>
      </w:r>
      <w:r w:rsidR="00B25CBF">
        <w:rPr>
          <w:color w:val="0E101A"/>
        </w:rPr>
        <w:t>mark</w:t>
      </w:r>
      <w:r w:rsidR="00013E08">
        <w:rPr>
          <w:color w:val="0E101A"/>
        </w:rPr>
        <w:t>ed</w:t>
      </w:r>
      <w:r w:rsidRPr="003B253B">
        <w:rPr>
          <w:color w:val="0E101A"/>
        </w:rPr>
        <w:t xml:space="preserve"> </w:t>
      </w:r>
      <w:r w:rsidR="00741827">
        <w:rPr>
          <w:color w:val="0E101A"/>
        </w:rPr>
        <w:t xml:space="preserve">any </w:t>
      </w:r>
      <w:r w:rsidR="00013E08">
        <w:rPr>
          <w:color w:val="0E101A"/>
        </w:rPr>
        <w:t>non-complian</w:t>
      </w:r>
      <w:r w:rsidR="007A3A2E">
        <w:rPr>
          <w:color w:val="0E101A"/>
        </w:rPr>
        <w:t>t</w:t>
      </w:r>
      <w:r w:rsidR="00013E08">
        <w:rPr>
          <w:color w:val="0E101A"/>
        </w:rPr>
        <w:t xml:space="preserve"> </w:t>
      </w:r>
      <w:r w:rsidR="005B7C94">
        <w:rPr>
          <w:color w:val="0E101A"/>
        </w:rPr>
        <w:t>invoice entry</w:t>
      </w:r>
      <w:r w:rsidR="00916CDB">
        <w:rPr>
          <w:color w:val="0E101A"/>
        </w:rPr>
        <w:t xml:space="preserve">. </w:t>
      </w:r>
      <w:r w:rsidR="005B7C94">
        <w:rPr>
          <w:color w:val="0E101A"/>
        </w:rPr>
        <w:t>For example, a</w:t>
      </w:r>
      <w:r w:rsidRPr="003B253B">
        <w:rPr>
          <w:color w:val="0E101A"/>
        </w:rPr>
        <w:t xml:space="preserve">n incoming invoice </w:t>
      </w:r>
      <w:r w:rsidR="00916CDB">
        <w:rPr>
          <w:color w:val="0E101A"/>
        </w:rPr>
        <w:t xml:space="preserve">entry would be assigned a </w:t>
      </w:r>
      <w:r w:rsidR="00741827">
        <w:rPr>
          <w:color w:val="0E101A"/>
        </w:rPr>
        <w:t>non-compensatory code</w:t>
      </w:r>
      <w:r w:rsidR="00916CDB">
        <w:rPr>
          <w:color w:val="0E101A"/>
        </w:rPr>
        <w:t xml:space="preserve"> for </w:t>
      </w:r>
      <w:r w:rsidR="00013E08">
        <w:rPr>
          <w:color w:val="0E101A"/>
        </w:rPr>
        <w:t xml:space="preserve">non-compliance </w:t>
      </w:r>
      <w:r w:rsidR="00916CDB">
        <w:rPr>
          <w:color w:val="0E101A"/>
        </w:rPr>
        <w:t xml:space="preserve">work </w:t>
      </w:r>
      <w:r w:rsidRPr="003B253B">
        <w:rPr>
          <w:color w:val="0E101A"/>
        </w:rPr>
        <w:t>such as “</w:t>
      </w:r>
      <w:r w:rsidR="008B49F7">
        <w:rPr>
          <w:color w:val="0E101A"/>
        </w:rPr>
        <w:t>Partners doing associate work</w:t>
      </w:r>
      <w:r w:rsidRPr="003B253B">
        <w:rPr>
          <w:color w:val="0E101A"/>
        </w:rPr>
        <w:t>” or “</w:t>
      </w:r>
      <w:r w:rsidR="008B49F7">
        <w:rPr>
          <w:color w:val="0E101A"/>
        </w:rPr>
        <w:t xml:space="preserve">Vague invoice line-item </w:t>
      </w:r>
      <w:r w:rsidR="00757948">
        <w:rPr>
          <w:color w:val="0E101A"/>
        </w:rPr>
        <w:t>description”</w:t>
      </w:r>
      <w:r w:rsidRPr="003B253B">
        <w:rPr>
          <w:color w:val="0E101A"/>
        </w:rPr>
        <w:t>.  </w:t>
      </w:r>
      <w:r w:rsidR="00757948">
        <w:rPr>
          <w:color w:val="0E101A"/>
        </w:rPr>
        <w:t>A</w:t>
      </w:r>
      <w:r w:rsidRPr="003B253B">
        <w:rPr>
          <w:color w:val="0E101A"/>
        </w:rPr>
        <w:t>dditional review by legal</w:t>
      </w:r>
      <w:r w:rsidR="00757948">
        <w:rPr>
          <w:color w:val="0E101A"/>
        </w:rPr>
        <w:t xml:space="preserve"> professional</w:t>
      </w:r>
      <w:r w:rsidR="00013E08">
        <w:rPr>
          <w:color w:val="0E101A"/>
        </w:rPr>
        <w:t>s</w:t>
      </w:r>
      <w:r w:rsidRPr="003B253B">
        <w:rPr>
          <w:color w:val="0E101A"/>
        </w:rPr>
        <w:t xml:space="preserve"> </w:t>
      </w:r>
      <w:r w:rsidR="00013E08">
        <w:rPr>
          <w:color w:val="0E101A"/>
        </w:rPr>
        <w:t>was</w:t>
      </w:r>
      <w:r w:rsidRPr="003B253B">
        <w:rPr>
          <w:color w:val="0E101A"/>
        </w:rPr>
        <w:t xml:space="preserve"> reduced by </w:t>
      </w:r>
      <w:r w:rsidR="008B49F7">
        <w:rPr>
          <w:color w:val="0E101A"/>
        </w:rPr>
        <w:t>pre-populating the non-compensatory code</w:t>
      </w:r>
      <w:r w:rsidRPr="003B253B">
        <w:rPr>
          <w:color w:val="0E101A"/>
        </w:rPr>
        <w:t>.</w:t>
      </w:r>
    </w:p>
    <w:p w14:paraId="6AC2A198" w14:textId="77777777" w:rsidR="003B253B" w:rsidRDefault="003B253B">
      <w:pPr>
        <w:ind w:left="720"/>
        <w:rPr>
          <w:color w:val="0E101A"/>
          <w:highlight w:val="white"/>
        </w:rPr>
      </w:pPr>
    </w:p>
    <w:p w14:paraId="2AEF49C7" w14:textId="3773C53B" w:rsidR="00DF276D" w:rsidRDefault="00985119" w:rsidP="008B49F7">
      <w:pPr>
        <w:rPr>
          <w:color w:val="0E101A"/>
          <w:highlight w:val="white"/>
        </w:rPr>
      </w:pPr>
      <w:r>
        <w:rPr>
          <w:color w:val="0E101A"/>
          <w:highlight w:val="white"/>
        </w:rPr>
        <w:t>An additional portion of the project included addressing generating</w:t>
      </w:r>
      <w:r w:rsidR="008B49F7">
        <w:rPr>
          <w:color w:val="0E101A"/>
          <w:highlight w:val="white"/>
        </w:rPr>
        <w:t xml:space="preserve"> benchmark topics for a new customer using</w:t>
      </w:r>
      <w:r w:rsidR="0005266C">
        <w:rPr>
          <w:color w:val="0E101A"/>
          <w:highlight w:val="white"/>
        </w:rPr>
        <w:t xml:space="preserve"> NLP (Natural Language Processing) </w:t>
      </w:r>
      <w:r>
        <w:rPr>
          <w:color w:val="0E101A"/>
          <w:highlight w:val="white"/>
        </w:rPr>
        <w:t>with</w:t>
      </w:r>
      <w:r w:rsidR="0005266C">
        <w:rPr>
          <w:color w:val="0E101A"/>
          <w:highlight w:val="white"/>
        </w:rPr>
        <w:t xml:space="preserve"> </w:t>
      </w:r>
      <w:r>
        <w:rPr>
          <w:color w:val="0E101A"/>
        </w:rPr>
        <w:t>Latent Dirichlet allocation (LDA)</w:t>
      </w:r>
      <w:r>
        <w:rPr>
          <w:color w:val="0E101A"/>
          <w:vertAlign w:val="superscript"/>
        </w:rPr>
        <w:footnoteReference w:id="1"/>
      </w:r>
      <w:r>
        <w:rPr>
          <w:color w:val="0E101A"/>
          <w:vertAlign w:val="superscript"/>
        </w:rPr>
        <w:t>,</w:t>
      </w:r>
      <w:r>
        <w:rPr>
          <w:color w:val="0E101A"/>
          <w:vertAlign w:val="superscript"/>
        </w:rPr>
        <w:footnoteReference w:id="2"/>
      </w:r>
      <w:r w:rsidR="008B49F7">
        <w:rPr>
          <w:color w:val="0E101A"/>
          <w:highlight w:val="white"/>
        </w:rPr>
        <w:t>.</w:t>
      </w:r>
      <w:r w:rsidR="0005266C">
        <w:rPr>
          <w:color w:val="0E101A"/>
          <w:highlight w:val="white"/>
        </w:rPr>
        <w:t xml:space="preserve"> </w:t>
      </w:r>
      <w:r w:rsidR="008B49F7">
        <w:rPr>
          <w:color w:val="0E101A"/>
          <w:highlight w:val="white"/>
        </w:rPr>
        <w:t xml:space="preserve">The topic provided a basis for the legal team to refine </w:t>
      </w:r>
      <w:r w:rsidR="006A05E6">
        <w:rPr>
          <w:color w:val="0E101A"/>
          <w:highlight w:val="white"/>
        </w:rPr>
        <w:t>to finalize the topic</w:t>
      </w:r>
      <w:r w:rsidR="008B49F7">
        <w:rPr>
          <w:color w:val="0E101A"/>
          <w:highlight w:val="white"/>
        </w:rPr>
        <w:t xml:space="preserve"> using the </w:t>
      </w:r>
      <w:r w:rsidR="0005266C">
        <w:rPr>
          <w:color w:val="0E101A"/>
          <w:highlight w:val="white"/>
        </w:rPr>
        <w:t>frequently used words in</w:t>
      </w:r>
      <w:r w:rsidR="008B49F7">
        <w:rPr>
          <w:color w:val="0E101A"/>
          <w:highlight w:val="white"/>
        </w:rPr>
        <w:t xml:space="preserve"> </w:t>
      </w:r>
      <w:r w:rsidR="0005266C">
        <w:rPr>
          <w:color w:val="0E101A"/>
          <w:highlight w:val="white"/>
        </w:rPr>
        <w:t>open text responses.</w:t>
      </w:r>
      <w:r w:rsidR="009F3771">
        <w:rPr>
          <w:color w:val="0E101A"/>
          <w:highlight w:val="white"/>
        </w:rPr>
        <w:t xml:space="preserve"> Figure 1 below illustrates my practicum journey with Litigation Operations.</w:t>
      </w:r>
    </w:p>
    <w:p w14:paraId="66C869D3" w14:textId="6FE7A745" w:rsidR="006E6C71" w:rsidRDefault="0049457F" w:rsidP="008B49F7">
      <w:pPr>
        <w:rPr>
          <w:color w:val="0E101A"/>
          <w:highlight w:val="white"/>
        </w:rPr>
      </w:pPr>
      <w:r>
        <w:rPr>
          <w:noProof/>
        </w:rPr>
        <w:drawing>
          <wp:anchor distT="0" distB="0" distL="114300" distR="114300" simplePos="0" relativeHeight="251719680" behindDoc="0" locked="0" layoutInCell="1" allowOverlap="1" wp14:anchorId="2508F6F5" wp14:editId="48F009F9">
            <wp:simplePos x="0" y="0"/>
            <wp:positionH relativeFrom="column">
              <wp:posOffset>0</wp:posOffset>
            </wp:positionH>
            <wp:positionV relativeFrom="paragraph">
              <wp:posOffset>186690</wp:posOffset>
            </wp:positionV>
            <wp:extent cx="5943600" cy="3515360"/>
            <wp:effectExtent l="0" t="0" r="0" b="889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3515360"/>
                    </a:xfrm>
                    <a:prstGeom prst="rect">
                      <a:avLst/>
                    </a:prstGeom>
                  </pic:spPr>
                </pic:pic>
              </a:graphicData>
            </a:graphic>
          </wp:anchor>
        </w:drawing>
      </w:r>
    </w:p>
    <w:p w14:paraId="49277686" w14:textId="377F5C09" w:rsidR="001F1420" w:rsidRDefault="009F3771" w:rsidP="009F3771">
      <w:pPr>
        <w:pStyle w:val="Caption"/>
      </w:pPr>
      <w:r>
        <w:t xml:space="preserve">Figure </w:t>
      </w:r>
      <w:r w:rsidR="002806A4">
        <w:fldChar w:fldCharType="begin"/>
      </w:r>
      <w:r w:rsidR="002806A4">
        <w:instrText xml:space="preserve"> SEQ Figure \* ARABIC </w:instrText>
      </w:r>
      <w:r w:rsidR="002806A4">
        <w:fldChar w:fldCharType="separate"/>
      </w:r>
      <w:r w:rsidR="0016531B">
        <w:rPr>
          <w:noProof/>
        </w:rPr>
        <w:t>1</w:t>
      </w:r>
      <w:r w:rsidR="002806A4">
        <w:rPr>
          <w:noProof/>
        </w:rPr>
        <w:fldChar w:fldCharType="end"/>
      </w:r>
      <w:r>
        <w:t>. GaTech Litigation Operations Practicum Journey</w:t>
      </w:r>
    </w:p>
    <w:p w14:paraId="11BD55B0" w14:textId="64516C7A" w:rsidR="00C27492" w:rsidRDefault="00C27492">
      <w:r>
        <w:br w:type="page"/>
      </w:r>
    </w:p>
    <w:p w14:paraId="22BB6CC6" w14:textId="77777777" w:rsidR="006E6C71" w:rsidRDefault="006E6C71">
      <w:pPr>
        <w:rPr>
          <w:b/>
        </w:rPr>
      </w:pPr>
    </w:p>
    <w:p w14:paraId="17D37566" w14:textId="77777777" w:rsidR="00B139CD" w:rsidRDefault="00B139CD" w:rsidP="00B139CD">
      <w:pPr>
        <w:pStyle w:val="Heading2"/>
      </w:pPr>
      <w:r>
        <w:t>Legal Invoice Data Flow</w:t>
      </w:r>
    </w:p>
    <w:p w14:paraId="75F748B8" w14:textId="77777777" w:rsidR="007B4783" w:rsidRDefault="007B4783" w:rsidP="007B4783">
      <w:pPr>
        <w:spacing w:line="240" w:lineRule="auto"/>
      </w:pPr>
    </w:p>
    <w:p w14:paraId="19766F44" w14:textId="5C09FDEB" w:rsidR="0066554A" w:rsidRDefault="007B4783" w:rsidP="0066554A">
      <w:r>
        <w:rPr>
          <w:color w:val="0E101A"/>
        </w:rPr>
        <w:t>Data for this project was from</w:t>
      </w:r>
      <w:r w:rsidR="0066554A">
        <w:rPr>
          <w:color w:val="0E101A"/>
        </w:rPr>
        <w:t xml:space="preserve"> incoming</w:t>
      </w:r>
      <w:r>
        <w:rPr>
          <w:color w:val="0E101A"/>
        </w:rPr>
        <w:t xml:space="preserve"> </w:t>
      </w:r>
      <w:r w:rsidR="00B139CD">
        <w:rPr>
          <w:color w:val="0E101A"/>
        </w:rPr>
        <w:t xml:space="preserve">litigation </w:t>
      </w:r>
      <w:r>
        <w:rPr>
          <w:color w:val="0E101A"/>
        </w:rPr>
        <w:t>invoice line items from years 2021 through 2022.</w:t>
      </w:r>
      <w:r w:rsidR="00B139CD">
        <w:rPr>
          <w:color w:val="0E101A"/>
        </w:rPr>
        <w:t xml:space="preserve"> </w:t>
      </w:r>
      <w:r w:rsidR="0066554A">
        <w:rPr>
          <w:color w:val="0E101A"/>
        </w:rPr>
        <w:t xml:space="preserve">After the invoice is electronically received, </w:t>
      </w:r>
      <w:r w:rsidR="00B139CD">
        <w:rPr>
          <w:color w:val="0E101A"/>
        </w:rPr>
        <w:t xml:space="preserve">AI </w:t>
      </w:r>
      <w:r w:rsidR="0066554A">
        <w:rPr>
          <w:color w:val="0E101A"/>
        </w:rPr>
        <w:t>predicts</w:t>
      </w:r>
      <w:r>
        <w:rPr>
          <w:color w:val="0E101A"/>
        </w:rPr>
        <w:t xml:space="preserve"> the </w:t>
      </w:r>
      <w:r w:rsidR="00DE3992">
        <w:rPr>
          <w:color w:val="0E101A"/>
        </w:rPr>
        <w:t xml:space="preserve">task code, </w:t>
      </w:r>
      <w:r>
        <w:rPr>
          <w:color w:val="0E101A"/>
        </w:rPr>
        <w:t xml:space="preserve">benchmark, </w:t>
      </w:r>
      <w:r w:rsidR="00DE3992">
        <w:rPr>
          <w:color w:val="0E101A"/>
        </w:rPr>
        <w:t>activity, and n</w:t>
      </w:r>
      <w:r w:rsidR="00B139CD">
        <w:rPr>
          <w:color w:val="0E101A"/>
        </w:rPr>
        <w:t>on-compensatory code.</w:t>
      </w:r>
      <w:r>
        <w:rPr>
          <w:color w:val="0E101A"/>
        </w:rPr>
        <w:t xml:space="preserve"> </w:t>
      </w:r>
      <w:r w:rsidR="00DE3992">
        <w:t xml:space="preserve">After the AI assigns information, the legal team reviews the pre-populated results and corrects as needed. </w:t>
      </w:r>
      <w:r w:rsidR="00191438">
        <w:t xml:space="preserve"> The </w:t>
      </w:r>
      <w:r w:rsidR="0066554A">
        <w:t xml:space="preserve">QC Legal Reviewed </w:t>
      </w:r>
      <w:r w:rsidR="00191438">
        <w:t>c</w:t>
      </w:r>
      <w:r w:rsidR="0066554A">
        <w:t xml:space="preserve">orrected </w:t>
      </w:r>
      <w:r w:rsidR="00191438">
        <w:t>c</w:t>
      </w:r>
      <w:r w:rsidR="0066554A">
        <w:t>odes are used for the next day’s AI model rebuild. As a result, the system is continually learning and adjusting to any changes to contract compliance</w:t>
      </w:r>
      <w:r w:rsidR="00191438">
        <w:t xml:space="preserve"> as shown in Figure 2</w:t>
      </w:r>
      <w:r w:rsidR="0066554A">
        <w:t>.</w:t>
      </w:r>
    </w:p>
    <w:p w14:paraId="013531C9" w14:textId="77777777" w:rsidR="00191438" w:rsidRDefault="00191438" w:rsidP="0066554A"/>
    <w:p w14:paraId="3430181C" w14:textId="0FE51889" w:rsidR="0054742A" w:rsidRDefault="00657B79" w:rsidP="00BF212B">
      <w:r>
        <w:t>An incorrect AI assigned task code can have a cascading error</w:t>
      </w:r>
      <w:r w:rsidR="007B4783">
        <w:t xml:space="preserve"> </w:t>
      </w:r>
      <w:r>
        <w:t>for the corresponding benchmark name, activit</w:t>
      </w:r>
      <w:r w:rsidR="00C61C91">
        <w:t>y</w:t>
      </w:r>
      <w:r>
        <w:t>, and</w:t>
      </w:r>
      <w:r w:rsidR="007B4783">
        <w:t xml:space="preserve"> non-compensatory codes.</w:t>
      </w:r>
      <w:r w:rsidR="00C779FE">
        <w:t xml:space="preserve"> This order is important because each following assignment uses the previous </w:t>
      </w:r>
      <w:r>
        <w:t>AI assigned</w:t>
      </w:r>
      <w:r w:rsidR="00C779FE">
        <w:t xml:space="preserve"> information</w:t>
      </w:r>
      <w:r>
        <w:t xml:space="preserve"> as shown in the flow in Figure 3</w:t>
      </w:r>
      <w:r w:rsidR="00C779FE">
        <w:t>.</w:t>
      </w:r>
      <w:r w:rsidR="00B139CD">
        <w:t xml:space="preserve"> </w:t>
      </w:r>
    </w:p>
    <w:p w14:paraId="596ADC51" w14:textId="6BA28E44" w:rsidR="0054742A" w:rsidRDefault="00750ABB" w:rsidP="00BF212B">
      <w:r>
        <w:rPr>
          <w:noProof/>
        </w:rPr>
        <mc:AlternateContent>
          <mc:Choice Requires="wps">
            <w:drawing>
              <wp:anchor distT="0" distB="0" distL="114300" distR="114300" simplePos="0" relativeHeight="251709440" behindDoc="0" locked="0" layoutInCell="1" allowOverlap="1" wp14:anchorId="5638C315" wp14:editId="08B4F380">
                <wp:simplePos x="0" y="0"/>
                <wp:positionH relativeFrom="margin">
                  <wp:align>left</wp:align>
                </wp:positionH>
                <wp:positionV relativeFrom="paragraph">
                  <wp:posOffset>3389493</wp:posOffset>
                </wp:positionV>
                <wp:extent cx="548640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75B3CC5" w14:textId="67239E0F" w:rsidR="00750ABB" w:rsidRPr="00652A09" w:rsidRDefault="00750ABB" w:rsidP="00750ABB">
                            <w:pPr>
                              <w:pStyle w:val="Caption"/>
                              <w:rPr>
                                <w:noProof/>
                              </w:rPr>
                            </w:pPr>
                            <w:r>
                              <w:t xml:space="preserve">Figure </w:t>
                            </w:r>
                            <w:r w:rsidR="002806A4">
                              <w:fldChar w:fldCharType="begin"/>
                            </w:r>
                            <w:r w:rsidR="002806A4">
                              <w:instrText xml:space="preserve"> SEQ Figure \* ARABIC </w:instrText>
                            </w:r>
                            <w:r w:rsidR="002806A4">
                              <w:fldChar w:fldCharType="separate"/>
                            </w:r>
                            <w:r w:rsidR="0016531B">
                              <w:rPr>
                                <w:noProof/>
                              </w:rPr>
                              <w:t>2</w:t>
                            </w:r>
                            <w:r w:rsidR="002806A4">
                              <w:rPr>
                                <w:noProof/>
                              </w:rPr>
                              <w:fldChar w:fldCharType="end"/>
                            </w:r>
                            <w:r>
                              <w:t>. Litigation Operations AI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38C315" id="_x0000_t202" coordsize="21600,21600" o:spt="202" path="m,l,21600r21600,l21600,xe">
                <v:stroke joinstyle="miter"/>
                <v:path gradientshapeok="t" o:connecttype="rect"/>
              </v:shapetype>
              <v:shape id="Text Box 6" o:spid="_x0000_s1026" type="#_x0000_t202" style="position:absolute;margin-left:0;margin-top:266.9pt;width:6in;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" stroked="f">
                <v:textbox style="mso-fit-shape-to-text:t" inset="0,0,0,0">
                  <w:txbxContent>
                    <w:p w14:paraId="475B3CC5" w14:textId="67239E0F" w:rsidR="00750ABB" w:rsidRPr="00652A09" w:rsidRDefault="00750ABB" w:rsidP="00750ABB">
                      <w:pPr>
                        <w:pStyle w:val="Caption"/>
                        <w:rPr>
                          <w:noProof/>
                        </w:rPr>
                      </w:pPr>
                      <w:r>
                        <w:t xml:space="preserve">Figure </w:t>
                      </w:r>
                      <w:r w:rsidR="002806A4">
                        <w:fldChar w:fldCharType="begin"/>
                      </w:r>
                      <w:r w:rsidR="002806A4">
                        <w:instrText xml:space="preserve"> SEQ Figure \* ARABIC </w:instrText>
                      </w:r>
                      <w:r w:rsidR="002806A4">
                        <w:fldChar w:fldCharType="separate"/>
                      </w:r>
                      <w:r w:rsidR="0016531B">
                        <w:rPr>
                          <w:noProof/>
                        </w:rPr>
                        <w:t>2</w:t>
                      </w:r>
                      <w:r w:rsidR="002806A4">
                        <w:rPr>
                          <w:noProof/>
                        </w:rPr>
                        <w:fldChar w:fldCharType="end"/>
                      </w:r>
                      <w:r>
                        <w:t>. Litigation Operations AI Process</w:t>
                      </w:r>
                    </w:p>
                  </w:txbxContent>
                </v:textbox>
                <w10:wrap type="topAndBottom" anchorx="margin"/>
              </v:shape>
            </w:pict>
          </mc:Fallback>
        </mc:AlternateContent>
      </w:r>
      <w:r w:rsidR="00654457">
        <w:rPr>
          <w:noProof/>
        </w:rPr>
        <w:drawing>
          <wp:anchor distT="0" distB="0" distL="114300" distR="114300" simplePos="0" relativeHeight="251682816" behindDoc="0" locked="0" layoutInCell="1" allowOverlap="1" wp14:anchorId="30DF5A65" wp14:editId="755C13B6">
            <wp:simplePos x="0" y="0"/>
            <wp:positionH relativeFrom="margin">
              <wp:align>center</wp:align>
            </wp:positionH>
            <wp:positionV relativeFrom="paragraph">
              <wp:posOffset>276225</wp:posOffset>
            </wp:positionV>
            <wp:extent cx="5486400" cy="3200400"/>
            <wp:effectExtent l="0" t="19050" r="0" b="19050"/>
            <wp:wrapTopAndBottom/>
            <wp:docPr id="245" name="Diagram 2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187A5B46" w14:textId="64FE260F" w:rsidR="0054742A" w:rsidRDefault="00DE3992" w:rsidP="00BF212B">
      <w:r>
        <w:rPr>
          <w:noProof/>
        </w:rPr>
        <mc:AlternateContent>
          <mc:Choice Requires="wpg">
            <w:drawing>
              <wp:anchor distT="0" distB="0" distL="114300" distR="114300" simplePos="0" relativeHeight="251705344" behindDoc="0" locked="0" layoutInCell="1" allowOverlap="1" wp14:anchorId="3865F648" wp14:editId="7F9CE10E">
                <wp:simplePos x="0" y="0"/>
                <wp:positionH relativeFrom="margin">
                  <wp:align>right</wp:align>
                </wp:positionH>
                <wp:positionV relativeFrom="paragraph">
                  <wp:posOffset>3512339</wp:posOffset>
                </wp:positionV>
                <wp:extent cx="5821680" cy="457200"/>
                <wp:effectExtent l="57150" t="19050" r="64770" b="95250"/>
                <wp:wrapNone/>
                <wp:docPr id="4" name="Group 4"/>
                <wp:cNvGraphicFramePr/>
                <a:graphic xmlns:a="http://schemas.openxmlformats.org/drawingml/2006/main">
                  <a:graphicData uri="http://schemas.microsoft.com/office/word/2010/wordprocessingGroup">
                    <wpg:wgp>
                      <wpg:cNvGrpSpPr/>
                      <wpg:grpSpPr>
                        <a:xfrm>
                          <a:off x="0" y="0"/>
                          <a:ext cx="5821680" cy="457200"/>
                          <a:chOff x="0" y="0"/>
                          <a:chExt cx="5821680" cy="457200"/>
                        </a:xfrm>
                      </wpg:grpSpPr>
                      <wps:wsp>
                        <wps:cNvPr id="226" name="Arrow: Chevron 226"/>
                        <wps:cNvSpPr/>
                        <wps:spPr>
                          <a:xfrm>
                            <a:off x="4267200" y="0"/>
                            <a:ext cx="1554480" cy="457200"/>
                          </a:xfrm>
                          <a:prstGeom prst="chevron">
                            <a:avLst/>
                          </a:prstGeom>
                          <a:solidFill>
                            <a:srgbClr val="191970"/>
                          </a:solidFill>
                        </wps:spPr>
                        <wps:style>
                          <a:lnRef idx="1">
                            <a:schemeClr val="accent1"/>
                          </a:lnRef>
                          <a:fillRef idx="3">
                            <a:schemeClr val="accent1"/>
                          </a:fillRef>
                          <a:effectRef idx="2">
                            <a:schemeClr val="accent1"/>
                          </a:effectRef>
                          <a:fontRef idx="minor">
                            <a:schemeClr val="lt1"/>
                          </a:fontRef>
                        </wps:style>
                        <wps:txbx>
                          <w:txbxContent>
                            <w:p w14:paraId="68175039" w14:textId="77777777" w:rsidR="00840AA7" w:rsidRDefault="00840AA7" w:rsidP="00840AA7">
                              <w:pPr>
                                <w:jc w:val="center"/>
                              </w:pPr>
                              <w:r w:rsidRPr="001E0838">
                                <w:rPr>
                                  <w:b/>
                                  <w:bCs/>
                                  <w:color w:val="DBE5F1" w:themeColor="accent1" w:themeTint="33"/>
                                </w:rPr>
                                <w:t>Assigned Non-Comp</w:t>
                              </w:r>
                              <w:r w:rsidRPr="001E0838">
                                <w:rPr>
                                  <w:color w:val="DBE5F1" w:themeColor="accent1" w:themeTint="33"/>
                                </w:rPr>
                                <w:t xml:space="preserve">  </w:t>
                              </w:r>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Arrow: Chevron 227"/>
                        <wps:cNvSpPr/>
                        <wps:spPr>
                          <a:xfrm>
                            <a:off x="2838450" y="0"/>
                            <a:ext cx="1554480" cy="457200"/>
                          </a:xfrm>
                          <a:prstGeom prst="chevron">
                            <a:avLst/>
                          </a:prstGeom>
                          <a:solidFill>
                            <a:srgbClr val="0000AF"/>
                          </a:solidFill>
                        </wps:spPr>
                        <wps:style>
                          <a:lnRef idx="1">
                            <a:schemeClr val="accent1"/>
                          </a:lnRef>
                          <a:fillRef idx="3">
                            <a:schemeClr val="accent1"/>
                          </a:fillRef>
                          <a:effectRef idx="2">
                            <a:schemeClr val="accent1"/>
                          </a:effectRef>
                          <a:fontRef idx="minor">
                            <a:schemeClr val="lt1"/>
                          </a:fontRef>
                        </wps:style>
                        <wps:txbx>
                          <w:txbxContent>
                            <w:p w14:paraId="616D83D4" w14:textId="77777777" w:rsidR="00840AA7" w:rsidRPr="001E0838" w:rsidRDefault="00840AA7" w:rsidP="00840AA7">
                              <w:pPr>
                                <w:jc w:val="center"/>
                                <w:rPr>
                                  <w:b/>
                                  <w:bCs/>
                                  <w:color w:val="DBE5F1" w:themeColor="accent1" w:themeTint="33"/>
                                </w:rPr>
                              </w:pPr>
                              <w:r w:rsidRPr="001E0838">
                                <w:rPr>
                                  <w:b/>
                                  <w:bCs/>
                                  <w:color w:val="DBE5F1" w:themeColor="accent1" w:themeTint="33"/>
                                </w:rPr>
                                <w:t>Assigned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Arrow: Chevron 228"/>
                        <wps:cNvSpPr/>
                        <wps:spPr>
                          <a:xfrm>
                            <a:off x="1419225" y="0"/>
                            <a:ext cx="1554480" cy="457200"/>
                          </a:xfrm>
                          <a:prstGeom prst="chevron">
                            <a:avLst/>
                          </a:prstGeom>
                          <a:solidFill>
                            <a:srgbClr val="0000CD"/>
                          </a:solidFill>
                        </wps:spPr>
                        <wps:style>
                          <a:lnRef idx="1">
                            <a:schemeClr val="accent1"/>
                          </a:lnRef>
                          <a:fillRef idx="3">
                            <a:schemeClr val="accent1"/>
                          </a:fillRef>
                          <a:effectRef idx="2">
                            <a:schemeClr val="accent1"/>
                          </a:effectRef>
                          <a:fontRef idx="minor">
                            <a:schemeClr val="lt1"/>
                          </a:fontRef>
                        </wps:style>
                        <wps:txbx>
                          <w:txbxContent>
                            <w:p w14:paraId="41675626" w14:textId="77777777" w:rsidR="00840AA7" w:rsidRPr="001E0838" w:rsidRDefault="00840AA7" w:rsidP="00840AA7">
                              <w:pPr>
                                <w:jc w:val="center"/>
                                <w:rPr>
                                  <w:b/>
                                  <w:bCs/>
                                  <w:color w:val="DBE5F1" w:themeColor="accent1" w:themeTint="33"/>
                                </w:rPr>
                              </w:pPr>
                              <w:r w:rsidRPr="001E0838">
                                <w:rPr>
                                  <w:b/>
                                  <w:bCs/>
                                  <w:color w:val="DBE5F1" w:themeColor="accent1" w:themeTint="33"/>
                                </w:rPr>
                                <w:t>Assigned Benchmarks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Arrow: Chevron 229"/>
                        <wps:cNvSpPr/>
                        <wps:spPr>
                          <a:xfrm>
                            <a:off x="0" y="0"/>
                            <a:ext cx="1554480" cy="457200"/>
                          </a:xfrm>
                          <a:prstGeom prst="chevron">
                            <a:avLst/>
                          </a:prstGeom>
                          <a:solidFill>
                            <a:srgbClr val="4169E1"/>
                          </a:solidFill>
                        </wps:spPr>
                        <wps:style>
                          <a:lnRef idx="1">
                            <a:schemeClr val="accent1"/>
                          </a:lnRef>
                          <a:fillRef idx="3">
                            <a:schemeClr val="accent1"/>
                          </a:fillRef>
                          <a:effectRef idx="2">
                            <a:schemeClr val="accent1"/>
                          </a:effectRef>
                          <a:fontRef idx="minor">
                            <a:schemeClr val="lt1"/>
                          </a:fontRef>
                        </wps:style>
                        <wps:txbx>
                          <w:txbxContent>
                            <w:p w14:paraId="3460CC7E" w14:textId="77777777" w:rsidR="00840AA7" w:rsidRPr="001E0838" w:rsidRDefault="00840AA7" w:rsidP="00840AA7">
                              <w:pPr>
                                <w:jc w:val="center"/>
                                <w:rPr>
                                  <w:b/>
                                  <w:bCs/>
                                  <w:color w:val="DBE5F1" w:themeColor="accent1" w:themeTint="33"/>
                                </w:rPr>
                              </w:pPr>
                              <w:r w:rsidRPr="001E0838">
                                <w:rPr>
                                  <w:b/>
                                  <w:bCs/>
                                  <w:color w:val="DBE5F1" w:themeColor="accent1" w:themeTint="33"/>
                                </w:rPr>
                                <w:t>Corrected Task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65F648" id="Group 4" o:spid="_x0000_s1027" style="position:absolute;margin-left:407.2pt;margin-top:276.55pt;width:458.4pt;height:36pt;z-index:251705344;mso-position-horizontal:right;mso-position-horizontal-relative:margin;mso-height-relative:margin" coordsize="58216,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226" o:spid="_x0000_s1028" type="#_x0000_t55" style="position:absolute;left:42672;width:155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" adj="18424" fillcolor="#191970" strokecolor="#4579b8 [3044]">
                  <v:shadow on="t" color="black" opacity="22937f" origin=",.5" offset="0,.63889mm"/>
                  <v:textbox>
                    <w:txbxContent>
                      <w:p w14:paraId="68175039" w14:textId="77777777" w:rsidR="00840AA7" w:rsidRDefault="00840AA7" w:rsidP="00840AA7">
                        <w:pPr>
                          <w:jc w:val="center"/>
                        </w:pPr>
                        <w:r w:rsidRPr="001E0838">
                          <w:rPr>
                            <w:b/>
                            <w:bCs/>
                            <w:color w:val="DBE5F1" w:themeColor="accent1" w:themeTint="33"/>
                          </w:rPr>
                          <w:t>Assigned Non-Comp</w:t>
                        </w:r>
                        <w:r w:rsidRPr="001E0838">
                          <w:rPr>
                            <w:color w:val="DBE5F1" w:themeColor="accent1" w:themeTint="33"/>
                          </w:rPr>
                          <w:t xml:space="preserve">  </w:t>
                        </w:r>
                        <w:r>
                          <w:t>Code</w:t>
                        </w:r>
                      </w:p>
                    </w:txbxContent>
                  </v:textbox>
                </v:shape>
                <v:shape id="Arrow: Chevron 227" o:spid="_x0000_s1029" type="#_x0000_t55" style="position:absolute;left:28384;width:155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" adj="18424" fillcolor="#0000af" strokecolor="#4579b8 [3044]">
                  <v:shadow on="t" color="black" opacity="22937f" origin=",.5" offset="0,.63889mm"/>
                  <v:textbox>
                    <w:txbxContent>
                      <w:p w14:paraId="616D83D4" w14:textId="77777777" w:rsidR="00840AA7" w:rsidRPr="001E0838" w:rsidRDefault="00840AA7" w:rsidP="00840AA7">
                        <w:pPr>
                          <w:jc w:val="center"/>
                          <w:rPr>
                            <w:b/>
                            <w:bCs/>
                            <w:color w:val="DBE5F1" w:themeColor="accent1" w:themeTint="33"/>
                          </w:rPr>
                        </w:pPr>
                        <w:r w:rsidRPr="001E0838">
                          <w:rPr>
                            <w:b/>
                            <w:bCs/>
                            <w:color w:val="DBE5F1" w:themeColor="accent1" w:themeTint="33"/>
                          </w:rPr>
                          <w:t>Assigned Activities</w:t>
                        </w:r>
                      </w:p>
                    </w:txbxContent>
                  </v:textbox>
                </v:shape>
                <v:shape id="Arrow: Chevron 228" o:spid="_x0000_s1030" type="#_x0000_t55" style="position:absolute;left:14192;width:155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" adj="18424" fillcolor="#0000cd" strokecolor="#4579b8 [3044]">
                  <v:shadow on="t" color="black" opacity="22937f" origin=",.5" offset="0,.63889mm"/>
                  <v:textbox>
                    <w:txbxContent>
                      <w:p w14:paraId="41675626" w14:textId="77777777" w:rsidR="00840AA7" w:rsidRPr="001E0838" w:rsidRDefault="00840AA7" w:rsidP="00840AA7">
                        <w:pPr>
                          <w:jc w:val="center"/>
                          <w:rPr>
                            <w:b/>
                            <w:bCs/>
                            <w:color w:val="DBE5F1" w:themeColor="accent1" w:themeTint="33"/>
                          </w:rPr>
                        </w:pPr>
                        <w:r w:rsidRPr="001E0838">
                          <w:rPr>
                            <w:b/>
                            <w:bCs/>
                            <w:color w:val="DBE5F1" w:themeColor="accent1" w:themeTint="33"/>
                          </w:rPr>
                          <w:t>Assigned Benchmarks</w:t>
                        </w:r>
                      </w:p>
                    </w:txbxContent>
                  </v:textbox>
                </v:shape>
                <v:shape id="Arrow: Chevron 229" o:spid="_x0000_s1031" type="#_x0000_t55" style="position:absolute;width:155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" adj="18424" fillcolor="#4169e1" strokecolor="#4579b8 [3044]">
                  <v:shadow on="t" color="black" opacity="22937f" origin=",.5" offset="0,.63889mm"/>
                  <v:textbox>
                    <w:txbxContent>
                      <w:p w14:paraId="3460CC7E" w14:textId="77777777" w:rsidR="00840AA7" w:rsidRPr="001E0838" w:rsidRDefault="00840AA7" w:rsidP="00840AA7">
                        <w:pPr>
                          <w:jc w:val="center"/>
                          <w:rPr>
                            <w:b/>
                            <w:bCs/>
                            <w:color w:val="DBE5F1" w:themeColor="accent1" w:themeTint="33"/>
                          </w:rPr>
                        </w:pPr>
                        <w:r w:rsidRPr="001E0838">
                          <w:rPr>
                            <w:b/>
                            <w:bCs/>
                            <w:color w:val="DBE5F1" w:themeColor="accent1" w:themeTint="33"/>
                          </w:rPr>
                          <w:t>Corrected Task Codes</w:t>
                        </w:r>
                      </w:p>
                    </w:txbxContent>
                  </v:textbox>
                </v:shape>
                <w10:wrap anchorx="margin"/>
              </v:group>
            </w:pict>
          </mc:Fallback>
        </mc:AlternateContent>
      </w:r>
    </w:p>
    <w:p w14:paraId="2DDE9FDC" w14:textId="226DAFCE" w:rsidR="00847B19" w:rsidRDefault="00847B19" w:rsidP="00BF212B"/>
    <w:p w14:paraId="61D683F2" w14:textId="6444195E" w:rsidR="0027055A" w:rsidRDefault="0027055A" w:rsidP="00BF212B"/>
    <w:p w14:paraId="61BE7DD0" w14:textId="636330BD" w:rsidR="00847B19" w:rsidRDefault="00847B19" w:rsidP="00BF212B"/>
    <w:p w14:paraId="76785CA8" w14:textId="78843303" w:rsidR="00847B19" w:rsidRDefault="00657B79" w:rsidP="00657B79">
      <w:pPr>
        <w:pStyle w:val="Caption"/>
      </w:pPr>
      <w:r>
        <w:t xml:space="preserve">Figure </w:t>
      </w:r>
      <w:r w:rsidR="002806A4">
        <w:fldChar w:fldCharType="begin"/>
      </w:r>
      <w:r w:rsidR="002806A4">
        <w:instrText xml:space="preserve"> SEQ Figure \* ARABIC </w:instrText>
      </w:r>
      <w:r w:rsidR="002806A4">
        <w:fldChar w:fldCharType="separate"/>
      </w:r>
      <w:r w:rsidR="0016531B">
        <w:rPr>
          <w:noProof/>
        </w:rPr>
        <w:t>3</w:t>
      </w:r>
      <w:r w:rsidR="002806A4">
        <w:rPr>
          <w:noProof/>
        </w:rPr>
        <w:fldChar w:fldCharType="end"/>
      </w:r>
      <w:r>
        <w:t>. AI Order of Assigned Information</w:t>
      </w:r>
    </w:p>
    <w:p w14:paraId="3F00E71C" w14:textId="5ED96098" w:rsidR="004E5D5F" w:rsidRDefault="004E5D5F">
      <w:r>
        <w:br w:type="page"/>
      </w:r>
    </w:p>
    <w:p w14:paraId="46F48A08" w14:textId="33A17AA2" w:rsidR="005526C7" w:rsidRDefault="005526C7" w:rsidP="005526C7"/>
    <w:p w14:paraId="1A4B904A" w14:textId="705EFD06" w:rsidR="005526C7" w:rsidRDefault="005526C7" w:rsidP="005526C7">
      <w:pPr>
        <w:pStyle w:val="Heading2"/>
      </w:pPr>
      <w:r>
        <w:t>Text Analysis</w:t>
      </w:r>
      <w:r w:rsidR="00CE4293">
        <w:t xml:space="preserve"> Methods</w:t>
      </w:r>
    </w:p>
    <w:p w14:paraId="5FEB2166" w14:textId="77777777" w:rsidR="005526C7" w:rsidRDefault="005526C7" w:rsidP="005526C7">
      <w:pPr>
        <w:rPr>
          <w:color w:val="0E101A"/>
        </w:rPr>
      </w:pPr>
    </w:p>
    <w:p w14:paraId="5A6D40F0" w14:textId="223D294F" w:rsidR="005526C7" w:rsidRPr="000F42B6" w:rsidRDefault="005526C7" w:rsidP="00CE4293">
      <w:pPr>
        <w:pStyle w:val="Caption"/>
        <w:rPr>
          <w:i w:val="0"/>
          <w:iCs w:val="0"/>
          <w:color w:val="0E101A"/>
          <w:sz w:val="22"/>
          <w:szCs w:val="22"/>
        </w:rPr>
      </w:pPr>
      <w:r>
        <w:rPr>
          <w:noProof/>
          <w:color w:val="0E101A"/>
        </w:rPr>
        <w:drawing>
          <wp:anchor distT="0" distB="0" distL="114300" distR="114300" simplePos="0" relativeHeight="251711488" behindDoc="0" locked="0" layoutInCell="1" allowOverlap="1" wp14:anchorId="5F89B639" wp14:editId="11BA534B">
            <wp:simplePos x="0" y="0"/>
            <wp:positionH relativeFrom="margin">
              <wp:align>center</wp:align>
            </wp:positionH>
            <wp:positionV relativeFrom="paragraph">
              <wp:posOffset>1402955</wp:posOffset>
            </wp:positionV>
            <wp:extent cx="6614795" cy="4127500"/>
            <wp:effectExtent l="0" t="0" r="0" b="635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614795" cy="4127500"/>
                    </a:xfrm>
                    <a:prstGeom prst="rect">
                      <a:avLst/>
                    </a:prstGeom>
                    <a:noFill/>
                  </pic:spPr>
                </pic:pic>
              </a:graphicData>
            </a:graphic>
            <wp14:sizeRelH relativeFrom="page">
              <wp14:pctWidth>0</wp14:pctWidth>
            </wp14:sizeRelH>
            <wp14:sizeRelV relativeFrom="page">
              <wp14:pctHeight>0</wp14:pctHeight>
            </wp14:sizeRelV>
          </wp:anchor>
        </w:drawing>
      </w:r>
      <w:r w:rsidRPr="00F11868">
        <w:rPr>
          <w:i w:val="0"/>
          <w:iCs w:val="0"/>
          <w:color w:val="000000" w:themeColor="text1"/>
          <w:sz w:val="22"/>
          <w:szCs w:val="22"/>
        </w:rPr>
        <w:t>To prepare the free-f</w:t>
      </w:r>
      <w:r w:rsidR="00CD468E">
        <w:rPr>
          <w:i w:val="0"/>
          <w:iCs w:val="0"/>
          <w:color w:val="000000" w:themeColor="text1"/>
          <w:sz w:val="22"/>
          <w:szCs w:val="22"/>
        </w:rPr>
        <w:t>or</w:t>
      </w:r>
      <w:r w:rsidRPr="00F11868">
        <w:rPr>
          <w:i w:val="0"/>
          <w:iCs w:val="0"/>
          <w:color w:val="000000" w:themeColor="text1"/>
          <w:sz w:val="22"/>
          <w:szCs w:val="22"/>
        </w:rPr>
        <w:t xml:space="preserve">m </w:t>
      </w:r>
      <w:r w:rsidR="00D82660">
        <w:rPr>
          <w:i w:val="0"/>
          <w:iCs w:val="0"/>
          <w:color w:val="000000" w:themeColor="text1"/>
          <w:sz w:val="22"/>
          <w:szCs w:val="22"/>
        </w:rPr>
        <w:t>litigation invoice description rows,</w:t>
      </w:r>
      <w:r w:rsidRPr="00F11868">
        <w:rPr>
          <w:i w:val="0"/>
          <w:iCs w:val="0"/>
          <w:color w:val="000000" w:themeColor="text1"/>
          <w:sz w:val="22"/>
          <w:szCs w:val="22"/>
        </w:rPr>
        <w:t xml:space="preserve"> for </w:t>
      </w:r>
      <w:r w:rsidR="00360EDB">
        <w:rPr>
          <w:i w:val="0"/>
          <w:iCs w:val="0"/>
          <w:color w:val="000000" w:themeColor="text1"/>
          <w:sz w:val="22"/>
          <w:szCs w:val="22"/>
        </w:rPr>
        <w:t>the AI algorithm</w:t>
      </w:r>
      <w:r w:rsidRPr="00F11868">
        <w:rPr>
          <w:i w:val="0"/>
          <w:iCs w:val="0"/>
          <w:color w:val="000000" w:themeColor="text1"/>
          <w:sz w:val="22"/>
          <w:szCs w:val="22"/>
        </w:rPr>
        <w:t xml:space="preserve">, a series of text transformations were done to clean the data before topic extraction. First, the words were transformed to lowercase, and punctuation was removed so that the words could be equally counted without </w:t>
      </w:r>
      <w:r w:rsidR="00D82660">
        <w:rPr>
          <w:i w:val="0"/>
          <w:iCs w:val="0"/>
          <w:color w:val="000000" w:themeColor="text1"/>
          <w:sz w:val="22"/>
          <w:szCs w:val="22"/>
        </w:rPr>
        <w:t>differentiating</w:t>
      </w:r>
      <w:r w:rsidRPr="00F11868">
        <w:rPr>
          <w:i w:val="0"/>
          <w:iCs w:val="0"/>
          <w:color w:val="000000" w:themeColor="text1"/>
          <w:sz w:val="22"/>
          <w:szCs w:val="22"/>
        </w:rPr>
        <w:t xml:space="preserve"> for different </w:t>
      </w:r>
      <w:r w:rsidR="00360EDB">
        <w:rPr>
          <w:i w:val="0"/>
          <w:iCs w:val="0"/>
          <w:color w:val="000000" w:themeColor="text1"/>
          <w:sz w:val="22"/>
          <w:szCs w:val="22"/>
        </w:rPr>
        <w:t xml:space="preserve">letter </w:t>
      </w:r>
      <w:r w:rsidRPr="00F11868">
        <w:rPr>
          <w:i w:val="0"/>
          <w:iCs w:val="0"/>
          <w:color w:val="000000" w:themeColor="text1"/>
          <w:sz w:val="22"/>
          <w:szCs w:val="22"/>
        </w:rPr>
        <w:t>case</w:t>
      </w:r>
      <w:r w:rsidR="00360EDB">
        <w:rPr>
          <w:i w:val="0"/>
          <w:iCs w:val="0"/>
          <w:color w:val="000000" w:themeColor="text1"/>
          <w:sz w:val="22"/>
          <w:szCs w:val="22"/>
        </w:rPr>
        <w:t>s</w:t>
      </w:r>
      <w:r w:rsidRPr="00F11868">
        <w:rPr>
          <w:i w:val="0"/>
          <w:iCs w:val="0"/>
          <w:color w:val="000000" w:themeColor="text1"/>
          <w:sz w:val="22"/>
          <w:szCs w:val="22"/>
        </w:rPr>
        <w:t xml:space="preserve"> and </w:t>
      </w:r>
      <w:r w:rsidRPr="00914B1B">
        <w:rPr>
          <w:i w:val="0"/>
          <w:iCs w:val="0"/>
          <w:color w:val="000000" w:themeColor="text1"/>
          <w:sz w:val="22"/>
          <w:szCs w:val="22"/>
        </w:rPr>
        <w:t xml:space="preserve">interfering punctuation.  Next, common words or stop words such as articles “the, a, of, an” and lower information words such as “and” and “does” were removed from the answers </w:t>
      </w:r>
      <w:r w:rsidRPr="00914B1B">
        <w:rPr>
          <w:i w:val="0"/>
          <w:iCs w:val="0"/>
          <w:color w:val="0E101A"/>
          <w:sz w:val="22"/>
          <w:szCs w:val="22"/>
        </w:rPr>
        <w:t>using the library</w:t>
      </w:r>
      <w:r>
        <w:rPr>
          <w:i w:val="0"/>
          <w:iCs w:val="0"/>
          <w:color w:val="0E101A"/>
          <w:sz w:val="22"/>
          <w:szCs w:val="22"/>
        </w:rPr>
        <w:t xml:space="preserve"> </w:t>
      </w:r>
      <w:proofErr w:type="spellStart"/>
      <w:proofErr w:type="gramStart"/>
      <w:r w:rsidRPr="00914B1B">
        <w:rPr>
          <w:i w:val="0"/>
          <w:iCs w:val="0"/>
          <w:color w:val="0E101A"/>
          <w:sz w:val="22"/>
          <w:szCs w:val="22"/>
        </w:rPr>
        <w:t>sklearn.feature</w:t>
      </w:r>
      <w:proofErr w:type="gramEnd"/>
      <w:r w:rsidRPr="00914B1B">
        <w:rPr>
          <w:i w:val="0"/>
          <w:iCs w:val="0"/>
          <w:color w:val="0E101A"/>
          <w:sz w:val="22"/>
          <w:szCs w:val="22"/>
        </w:rPr>
        <w:t>_extraction.text</w:t>
      </w:r>
      <w:proofErr w:type="spellEnd"/>
      <w:r w:rsidRPr="00914B1B">
        <w:rPr>
          <w:i w:val="0"/>
          <w:iCs w:val="0"/>
          <w:color w:val="000000" w:themeColor="text1"/>
          <w:sz w:val="22"/>
          <w:szCs w:val="22"/>
        </w:rPr>
        <w:t>. The remaining words in each response were ordered as single, double, and triple words (</w:t>
      </w:r>
      <w:r>
        <w:rPr>
          <w:i w:val="0"/>
          <w:iCs w:val="0"/>
          <w:color w:val="000000" w:themeColor="text1"/>
          <w:sz w:val="22"/>
          <w:szCs w:val="22"/>
        </w:rPr>
        <w:t xml:space="preserve">1-3 </w:t>
      </w:r>
      <w:r w:rsidRPr="00914B1B">
        <w:rPr>
          <w:i w:val="0"/>
          <w:iCs w:val="0"/>
          <w:color w:val="000000" w:themeColor="text1"/>
          <w:sz w:val="22"/>
          <w:szCs w:val="22"/>
        </w:rPr>
        <w:t xml:space="preserve">n-grams). The NLP pipeline is shown in </w:t>
      </w:r>
      <w:r>
        <w:rPr>
          <w:i w:val="0"/>
          <w:iCs w:val="0"/>
          <w:color w:val="000000" w:themeColor="text1"/>
          <w:sz w:val="22"/>
          <w:szCs w:val="22"/>
        </w:rPr>
        <w:t xml:space="preserve">Figure </w:t>
      </w:r>
      <w:r w:rsidR="00D82660">
        <w:rPr>
          <w:i w:val="0"/>
          <w:iCs w:val="0"/>
          <w:color w:val="000000" w:themeColor="text1"/>
          <w:sz w:val="22"/>
          <w:szCs w:val="22"/>
        </w:rPr>
        <w:t xml:space="preserve">4 </w:t>
      </w:r>
      <w:r w:rsidRPr="00F11868">
        <w:rPr>
          <w:i w:val="0"/>
          <w:iCs w:val="0"/>
          <w:color w:val="000000" w:themeColor="text1"/>
          <w:sz w:val="22"/>
          <w:szCs w:val="22"/>
        </w:rPr>
        <w:t xml:space="preserve">below. </w:t>
      </w:r>
    </w:p>
    <w:p w14:paraId="6E312FB3" w14:textId="77777777" w:rsidR="00583B07" w:rsidRDefault="00583B07" w:rsidP="00D82660">
      <w:pPr>
        <w:pStyle w:val="Caption"/>
      </w:pPr>
    </w:p>
    <w:p w14:paraId="5D3DD5EE" w14:textId="44D30344" w:rsidR="00D82660" w:rsidRDefault="00D82660" w:rsidP="00D82660">
      <w:pPr>
        <w:pStyle w:val="Caption"/>
      </w:pPr>
      <w:r>
        <w:t xml:space="preserve">Figure </w:t>
      </w:r>
      <w:fldSimple w:instr=" SEQ Figure \* ARABIC ">
        <w:r w:rsidR="0016531B">
          <w:rPr>
            <w:noProof/>
          </w:rPr>
          <w:t>4</w:t>
        </w:r>
      </w:fldSimple>
      <w:r>
        <w:t>.</w:t>
      </w:r>
      <w:r w:rsidRPr="005A4C2D">
        <w:t>Natural Language Pipeline.</w:t>
      </w:r>
    </w:p>
    <w:p w14:paraId="0F6EEC7F" w14:textId="501F5648" w:rsidR="005526C7" w:rsidRDefault="005526C7" w:rsidP="00D82660">
      <w:r>
        <w:t>LDA only accepts input, x values, as a d</w:t>
      </w:r>
      <w:r w:rsidRPr="00563C6B">
        <w:t>ocument word matrix</w:t>
      </w:r>
      <w:r>
        <w:t xml:space="preserve">. To add additional features, such as task code and timekeeper id, these were coded with a prefix and underscore to the clean line of text. </w:t>
      </w:r>
    </w:p>
    <w:p w14:paraId="2D737D62" w14:textId="77777777" w:rsidR="005526C7" w:rsidRDefault="005526C7" w:rsidP="005526C7">
      <w:pPr>
        <w:ind w:left="-720"/>
      </w:pPr>
    </w:p>
    <w:p w14:paraId="429DE9C0" w14:textId="77777777" w:rsidR="005526C7" w:rsidRDefault="005526C7" w:rsidP="005526C7">
      <w:r>
        <w:lastRenderedPageBreak/>
        <w:t>Using Chuang’s salient measure</w:t>
      </w:r>
      <w:r>
        <w:rPr>
          <w:rStyle w:val="FootnoteReference"/>
        </w:rPr>
        <w:footnoteReference w:id="3"/>
      </w:r>
      <w:r>
        <w:t xml:space="preserve"> to highlight word extraction from the incorrect AI model invoice text item, the LDA models reveals important patterns useful to re-define individual attributes. The attributes and word entries are comingled so any salient relationship can be extracted. By removing extracted salient attribute ambiguity with better definitions, the AI models have more signal to use for training and increase accuracy with less need for manual quality control. </w:t>
      </w:r>
    </w:p>
    <w:p w14:paraId="3F1D39BA" w14:textId="77777777" w:rsidR="005526C7" w:rsidRDefault="005526C7" w:rsidP="005526C7"/>
    <w:p w14:paraId="5F3C5947" w14:textId="77777777" w:rsidR="005526C7" w:rsidRDefault="005526C7" w:rsidP="005526C7">
      <w:r>
        <w:t>For a given word w, the conditional probability P(</w:t>
      </w:r>
      <w:proofErr w:type="spellStart"/>
      <w:r>
        <w:t>T|w</w:t>
      </w:r>
      <w:proofErr w:type="spellEnd"/>
      <w:r>
        <w:t xml:space="preserve">) is the likelihood that observed word w was generated by latent topic T. The marginal probability P(T), which is the likelihood that any randomly selected word w’ was generated by topic T. Chuang defines the distinctiveness of word, w, as the </w:t>
      </w:r>
      <w:proofErr w:type="spellStart"/>
      <w:r>
        <w:t>Kullback-Leibler</w:t>
      </w:r>
      <w:proofErr w:type="spellEnd"/>
      <w:r>
        <w:t xml:space="preserve"> divergence</w:t>
      </w:r>
      <w:r>
        <w:rPr>
          <w:rStyle w:val="FootnoteReference"/>
        </w:rPr>
        <w:footnoteReference w:id="4"/>
      </w:r>
      <w:r>
        <w:t xml:space="preserve"> between P(</w:t>
      </w:r>
      <w:proofErr w:type="spellStart"/>
      <w:r>
        <w:t>T|w</w:t>
      </w:r>
      <w:proofErr w:type="spellEnd"/>
      <w:r>
        <w:t>) and P(T):</w:t>
      </w:r>
    </w:p>
    <w:p w14:paraId="2939E84A" w14:textId="77777777" w:rsidR="005526C7" w:rsidRDefault="005526C7" w:rsidP="005526C7"/>
    <w:p w14:paraId="2D911D26" w14:textId="77777777" w:rsidR="005526C7" w:rsidRPr="00FA6849" w:rsidRDefault="005526C7" w:rsidP="005526C7">
      <w:pPr>
        <w:jc w:val="center"/>
        <w:rPr>
          <w:i/>
          <w:iCs/>
        </w:rPr>
      </w:pPr>
      <m:oMathPara>
        <m:oMath>
          <m:r>
            <w:rPr>
              <w:rFonts w:ascii="Cambria Math" w:hAnsi="Cambria Math"/>
            </w:rPr>
            <m:t xml:space="preserve">distinctiveness(w) = </m:t>
          </m:r>
          <m:nary>
            <m:naryPr>
              <m:chr m:val="∑"/>
              <m:limLoc m:val="undOvr"/>
              <m:supHide m:val="1"/>
              <m:ctrlPr>
                <w:rPr>
                  <w:rFonts w:ascii="Cambria Math" w:hAnsi="Cambria Math"/>
                  <w:i/>
                  <w:iCs/>
                </w:rPr>
              </m:ctrlPr>
            </m:naryPr>
            <m:sub>
              <m:r>
                <w:rPr>
                  <w:rFonts w:ascii="Cambria Math" w:hAnsi="Cambria Math"/>
                </w:rPr>
                <m:t>T</m:t>
              </m:r>
            </m:sub>
            <m:sup/>
            <m:e>
              <m:r>
                <w:rPr>
                  <w:rFonts w:ascii="Cambria Math" w:hAnsi="Cambria Math"/>
                </w:rPr>
                <m:t>P</m:t>
              </m:r>
              <m:d>
                <m:dPr>
                  <m:ctrlPr>
                    <w:rPr>
                      <w:rFonts w:ascii="Cambria Math" w:hAnsi="Cambria Math"/>
                      <w:i/>
                      <w:iCs/>
                    </w:rPr>
                  </m:ctrlPr>
                </m:dPr>
                <m:e>
                  <m:r>
                    <w:rPr>
                      <w:rFonts w:ascii="Cambria Math" w:hAnsi="Cambria Math"/>
                    </w:rPr>
                    <m:t>T</m:t>
                  </m:r>
                </m:e>
                <m:e>
                  <m:r>
                    <w:rPr>
                      <w:rFonts w:ascii="Cambria Math" w:hAnsi="Cambria Math"/>
                    </w:rPr>
                    <m:t>w</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P(T|w</m:t>
                          </m:r>
                        </m:num>
                        <m:den>
                          <m:r>
                            <w:rPr>
                              <w:rFonts w:ascii="Cambria Math" w:hAnsi="Cambria Math"/>
                            </w:rPr>
                            <m:t>P</m:t>
                          </m:r>
                          <m:d>
                            <m:dPr>
                              <m:ctrlPr>
                                <w:rPr>
                                  <w:rFonts w:ascii="Cambria Math" w:hAnsi="Cambria Math"/>
                                  <w:i/>
                                  <w:iCs/>
                                </w:rPr>
                              </m:ctrlPr>
                            </m:dPr>
                            <m:e>
                              <m:r>
                                <w:rPr>
                                  <w:rFonts w:ascii="Cambria Math" w:hAnsi="Cambria Math"/>
                                </w:rPr>
                                <m:t>T</m:t>
                              </m:r>
                            </m:e>
                          </m:d>
                        </m:den>
                      </m:f>
                    </m:e>
                  </m:d>
                  <m:r>
                    <w:rPr>
                      <w:rFonts w:ascii="Cambria Math" w:hAnsi="Cambria Math"/>
                    </w:rPr>
                    <m:t xml:space="preserve"> </m:t>
                  </m:r>
                </m:e>
              </m:func>
            </m:e>
          </m:nary>
        </m:oMath>
      </m:oMathPara>
    </w:p>
    <w:p w14:paraId="33181279" w14:textId="77777777" w:rsidR="005526C7" w:rsidRDefault="005526C7" w:rsidP="005526C7"/>
    <w:p w14:paraId="3D89735D" w14:textId="43C1FDA5" w:rsidR="005526C7" w:rsidRDefault="005526C7" w:rsidP="005526C7">
      <w:r>
        <w:t xml:space="preserve">The distinctiveness weights the probability of the word in the corpus. </w:t>
      </w:r>
      <w:r w:rsidR="00D82660">
        <w:t>So,</w:t>
      </w:r>
      <w:r>
        <w:t xml:space="preserve"> if a word</w:t>
      </w:r>
      <w:r w:rsidR="00CD468E">
        <w:t>, denoted by</w:t>
      </w:r>
      <w:r>
        <w:t xml:space="preserve"> w</w:t>
      </w:r>
      <w:r w:rsidR="00CD468E">
        <w:t>,</w:t>
      </w:r>
      <w:r>
        <w:t xml:space="preserve"> occurs in all topics, observing the word does not add much information to the topic and would have a low distinctiveness score because </w:t>
      </w:r>
      <w:proofErr w:type="gramStart"/>
      <w:r>
        <w:t>log(</w:t>
      </w:r>
      <w:proofErr w:type="gramEnd"/>
      <w:r>
        <w:t xml:space="preserve">1/1) = 0. The distinctiveness is balanced with the probability of finding the word. For </w:t>
      </w:r>
      <w:r w:rsidR="00D82660">
        <w:t>example,</w:t>
      </w:r>
      <w:r>
        <w:t xml:space="preserve"> a work that is only found once is a document would have a high distinctives score but its informational value is minimized because it only is found once which is reflected by the probability of finding the work P(w) as shown in the equation: </w:t>
      </w:r>
    </w:p>
    <w:p w14:paraId="5D1B9498" w14:textId="77777777" w:rsidR="005526C7" w:rsidRDefault="005526C7" w:rsidP="005526C7"/>
    <w:p w14:paraId="062074F2" w14:textId="77777777" w:rsidR="005526C7" w:rsidRPr="00BA5E66" w:rsidRDefault="005526C7" w:rsidP="005526C7">
      <w:pPr>
        <w:jc w:val="center"/>
        <w:rPr>
          <w:rFonts w:ascii="Cambria Math" w:hAnsi="Cambria Math"/>
          <w:i/>
          <w:iCs/>
        </w:rPr>
      </w:pPr>
      <w:r w:rsidRPr="00BA5E66">
        <w:rPr>
          <w:rFonts w:ascii="Cambria Math" w:hAnsi="Cambria Math"/>
          <w:i/>
          <w:iCs/>
        </w:rPr>
        <w:t>saliency(w) = P(w) X distinctiveness(w)</w:t>
      </w:r>
    </w:p>
    <w:p w14:paraId="263326B5" w14:textId="77777777" w:rsidR="005526C7" w:rsidRDefault="005526C7" w:rsidP="005526C7">
      <w:pPr>
        <w:jc w:val="center"/>
      </w:pPr>
    </w:p>
    <w:p w14:paraId="1360A97A" w14:textId="77777777" w:rsidR="005526C7" w:rsidRDefault="005526C7" w:rsidP="005526C7">
      <w:r>
        <w:t>Saliency supports the identification of related words in a topic plus the differentiation between topics.</w:t>
      </w:r>
    </w:p>
    <w:p w14:paraId="3802332C" w14:textId="2EE8774B" w:rsidR="005526C7" w:rsidRPr="00D82660" w:rsidRDefault="005526C7" w:rsidP="005526C7">
      <m:oMathPara>
        <m:oMath>
          <m:r>
            <w:rPr>
              <w:rFonts w:ascii="Cambria Math" w:hAnsi="Cambria Math"/>
            </w:rPr>
            <m:t>Lambda relevance(term w | topic t) = λ * p(w | t) + (1 - λ) *</m:t>
          </m:r>
          <m:f>
            <m:fPr>
              <m:ctrlPr>
                <w:rPr>
                  <w:rFonts w:ascii="Cambria Math" w:hAnsi="Cambria Math"/>
                  <w:i/>
                </w:rPr>
              </m:ctrlPr>
            </m:fPr>
            <m:num>
              <m:r>
                <w:rPr>
                  <w:rFonts w:ascii="Cambria Math" w:hAnsi="Cambria Math"/>
                </w:rPr>
                <m:t>p(w | t)</m:t>
              </m:r>
            </m:num>
            <m:den>
              <m:r>
                <w:rPr>
                  <w:rFonts w:ascii="Cambria Math" w:hAnsi="Cambria Math"/>
                </w:rPr>
                <m:t xml:space="preserve">p(w) </m:t>
              </m:r>
            </m:den>
          </m:f>
          <m:r>
            <w:rPr>
              <w:rFonts w:ascii="Cambria Math" w:hAnsi="Cambria Math"/>
            </w:rPr>
            <m:t xml:space="preserve"> </m:t>
          </m:r>
        </m:oMath>
      </m:oMathPara>
    </w:p>
    <w:p w14:paraId="2735577B" w14:textId="77777777" w:rsidR="00D82660" w:rsidRDefault="00D82660" w:rsidP="005526C7"/>
    <w:p w14:paraId="4771F022" w14:textId="77777777" w:rsidR="005526C7" w:rsidRDefault="005526C7" w:rsidP="005526C7">
      <w:r>
        <w:t xml:space="preserve">For LDA, a K value, or number of clusters or topics related to the question responses, needs to be known. The first cluster has the most information about the topic. The last cluster, K, contains the least amount of information. Too small of a K value results in clumping, where topics overlap. In contrast, too large a K value results in dissection, with insufficient meaning in the topics. Since the responses were relatively few compared to the generated number of words, the top cluster was manually reviewed between K values of 10 to 20, with 15 being optimal. </w:t>
      </w:r>
    </w:p>
    <w:p w14:paraId="79161753" w14:textId="77777777" w:rsidR="005526C7" w:rsidRDefault="005526C7" w:rsidP="005526C7">
      <w:pPr>
        <w:ind w:left="720"/>
      </w:pPr>
    </w:p>
    <w:p w14:paraId="54EA5B50" w14:textId="2CCDEA68" w:rsidR="005526C7" w:rsidRDefault="005526C7" w:rsidP="005526C7">
      <w:pPr>
        <w:pStyle w:val="Heading2"/>
      </w:pPr>
      <w:r>
        <w:lastRenderedPageBreak/>
        <w:t>Non-Compensatory Code Analysis</w:t>
      </w:r>
    </w:p>
    <w:p w14:paraId="72A670DE" w14:textId="77777777" w:rsidR="005526C7" w:rsidRPr="005526C7" w:rsidRDefault="005526C7" w:rsidP="005526C7"/>
    <w:p w14:paraId="5B006534" w14:textId="00618236" w:rsidR="00CB68CE" w:rsidRDefault="00CB68CE" w:rsidP="007A1D38">
      <w:pPr>
        <w:pStyle w:val="Heading3"/>
      </w:pPr>
      <w:r>
        <w:t xml:space="preserve">Non-compensatory </w:t>
      </w:r>
      <w:r w:rsidR="003120E7">
        <w:t>C</w:t>
      </w:r>
      <w:r>
        <w:t>ode</w:t>
      </w:r>
      <w:r w:rsidR="001B7669">
        <w:t xml:space="preserve"> Metrics</w:t>
      </w:r>
    </w:p>
    <w:p w14:paraId="4DA5C9D8" w14:textId="77777777" w:rsidR="003120E7" w:rsidRPr="003120E7" w:rsidRDefault="003120E7" w:rsidP="003120E7"/>
    <w:p w14:paraId="393768FD" w14:textId="170D02F9" w:rsidR="00CB68CE" w:rsidRDefault="00CB68CE" w:rsidP="00CB68CE">
      <w:r>
        <w:t xml:space="preserve">Non-compensatory codes are </w:t>
      </w:r>
      <w:r w:rsidR="008F32CE">
        <w:t>assigned</w:t>
      </w:r>
      <w:r>
        <w:t xml:space="preserve"> to</w:t>
      </w:r>
      <w:r w:rsidR="008F32CE">
        <w:t xml:space="preserve"> an</w:t>
      </w:r>
      <w:r>
        <w:t xml:space="preserve"> invoice </w:t>
      </w:r>
      <w:r w:rsidR="008F32CE">
        <w:t>row</w:t>
      </w:r>
      <w:r>
        <w:t xml:space="preserve"> when the row may violate the law firm contract with the hiring company. Examples </w:t>
      </w:r>
      <w:r w:rsidR="008F32CE">
        <w:t xml:space="preserve">of a non-compensatory item </w:t>
      </w:r>
      <w:r>
        <w:t xml:space="preserve">are the line item may be too vague to describe the billed work done and when a highly paid </w:t>
      </w:r>
      <w:r w:rsidR="008F32CE">
        <w:t xml:space="preserve">law firm </w:t>
      </w:r>
      <w:r>
        <w:t xml:space="preserve">partner is doing that work that could be done by a lower pay rate </w:t>
      </w:r>
      <w:r w:rsidR="008F32CE">
        <w:t xml:space="preserve">legal </w:t>
      </w:r>
      <w:r>
        <w:t xml:space="preserve">associate. These are relatively </w:t>
      </w:r>
      <w:r w:rsidR="00C63EA5">
        <w:t>infrequent</w:t>
      </w:r>
      <w:r>
        <w:t xml:space="preserve"> events that happen less than </w:t>
      </w:r>
      <w:r w:rsidR="00B73BBA">
        <w:t>1</w:t>
      </w:r>
      <w:r>
        <w:t>5% of the time for all entries in this data set.</w:t>
      </w:r>
      <w:r w:rsidR="00D5180D">
        <w:t xml:space="preserve"> An infrequent event can have an uninformative accuracy.</w:t>
      </w:r>
      <w:r>
        <w:t xml:space="preserve"> </w:t>
      </w:r>
      <w:r w:rsidR="00D5180D">
        <w:t>In this case, i</w:t>
      </w:r>
      <w:r>
        <w:t xml:space="preserve">f no </w:t>
      </w:r>
      <w:r w:rsidR="00282FC0">
        <w:t>events</w:t>
      </w:r>
      <w:r>
        <w:t xml:space="preserve"> are marked, the accuracy would be </w:t>
      </w:r>
      <w:r w:rsidR="00B73BBA">
        <w:t>8</w:t>
      </w:r>
      <w:r>
        <w:t>5%</w:t>
      </w:r>
      <w:r w:rsidR="00360EDB">
        <w:t xml:space="preserve"> with true negative accounting for </w:t>
      </w:r>
      <w:proofErr w:type="gramStart"/>
      <w:r w:rsidR="00360EDB">
        <w:t>all of</w:t>
      </w:r>
      <w:proofErr w:type="gramEnd"/>
      <w:r w:rsidR="00360EDB">
        <w:t xml:space="preserve"> the correct values</w:t>
      </w:r>
      <w:r>
        <w:t xml:space="preserve">. </w:t>
      </w:r>
    </w:p>
    <w:p w14:paraId="1DC3775F" w14:textId="77777777" w:rsidR="00CB68CE" w:rsidRDefault="00CB68CE" w:rsidP="00CB68CE"/>
    <w:p w14:paraId="6EC73999" w14:textId="77777777" w:rsidR="00CB68CE" w:rsidRDefault="00CB68CE" w:rsidP="00CB68CE">
      <m:oMathPara>
        <m:oMath>
          <m:r>
            <w:rPr>
              <w:rFonts w:ascii="Cambria Math" w:hAnsi="Cambria Math"/>
            </w:rPr>
            <m:t xml:space="preserve">Accuracy = </m:t>
          </m:r>
          <m:f>
            <m:fPr>
              <m:ctrlPr>
                <w:rPr>
                  <w:rFonts w:ascii="Cambria Math" w:hAnsi="Cambria Math"/>
                  <w:i/>
                </w:rPr>
              </m:ctrlPr>
            </m:fPr>
            <m:num>
              <m:r>
                <w:rPr>
                  <w:rFonts w:ascii="Cambria Math" w:hAnsi="Cambria Math"/>
                </w:rPr>
                <m:t>True Positives + True Negatives</m:t>
              </m:r>
            </m:num>
            <m:den>
              <m:r>
                <w:rPr>
                  <w:rFonts w:ascii="Cambria Math" w:hAnsi="Cambria Math"/>
                </w:rPr>
                <m:t>All Values</m:t>
              </m:r>
            </m:den>
          </m:f>
        </m:oMath>
      </m:oMathPara>
    </w:p>
    <w:p w14:paraId="6BF9845C" w14:textId="77777777" w:rsidR="00CB68CE" w:rsidRDefault="00CB68CE" w:rsidP="00CB68CE">
      <w:r>
        <w:t xml:space="preserve"> </w:t>
      </w:r>
    </w:p>
    <w:p w14:paraId="5E57BF45" w14:textId="77777777" w:rsidR="00CB68CE" w:rsidRDefault="00CB68CE" w:rsidP="00CB68CE">
      <w:r>
        <w:t>Balanced accuracy</w:t>
      </w:r>
      <w:r>
        <w:rPr>
          <w:rStyle w:val="FootnoteReference"/>
        </w:rPr>
        <w:footnoteReference w:id="5"/>
      </w:r>
      <w:r>
        <w:t xml:space="preserve"> normalizes the results by using the true positives and true negatives as shown below:</w:t>
      </w:r>
    </w:p>
    <w:p w14:paraId="6751B206" w14:textId="77777777" w:rsidR="00CB68CE" w:rsidRDefault="00CB68CE" w:rsidP="00CB68CE"/>
    <w:p w14:paraId="442788F7" w14:textId="77777777" w:rsidR="00CB68CE" w:rsidRDefault="00CB68CE" w:rsidP="00CB68CE">
      <m:oMathPara>
        <m:oMath>
          <m:r>
            <w:rPr>
              <w:rFonts w:ascii="Cambria Math" w:hAnsi="Cambria Math"/>
            </w:rPr>
            <m:t xml:space="preserve">Balanced Accuracy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True Positives (TP)</m:t>
                  </m:r>
                </m:num>
                <m:den>
                  <m:r>
                    <w:rPr>
                      <w:rFonts w:ascii="Cambria Math" w:hAnsi="Cambria Math"/>
                    </w:rPr>
                    <m:t>TP+False Negatives</m:t>
                  </m:r>
                </m:den>
              </m:f>
              <m:r>
                <w:rPr>
                  <w:rFonts w:ascii="Cambria Math" w:hAnsi="Cambria Math"/>
                </w:rPr>
                <m:t xml:space="preserve"> + </m:t>
              </m:r>
              <m:f>
                <m:fPr>
                  <m:ctrlPr>
                    <w:rPr>
                      <w:rFonts w:ascii="Cambria Math" w:hAnsi="Cambria Math"/>
                      <w:i/>
                    </w:rPr>
                  </m:ctrlPr>
                </m:fPr>
                <m:num>
                  <m:r>
                    <w:rPr>
                      <w:rFonts w:ascii="Cambria Math" w:hAnsi="Cambria Math"/>
                    </w:rPr>
                    <m:t>True Negatives (TN)</m:t>
                  </m:r>
                </m:num>
                <m:den>
                  <m:r>
                    <w:rPr>
                      <w:rFonts w:ascii="Cambria Math" w:hAnsi="Cambria Math"/>
                    </w:rPr>
                    <m:t>TN+False Positives</m:t>
                  </m:r>
                </m:den>
              </m:f>
            </m:e>
          </m:d>
          <m:r>
            <w:rPr>
              <w:rFonts w:ascii="Cambria Math" w:hAnsi="Cambria Math"/>
            </w:rPr>
            <m:t xml:space="preserve"> </m:t>
          </m:r>
        </m:oMath>
      </m:oMathPara>
    </w:p>
    <w:p w14:paraId="3BBE3E14" w14:textId="77777777" w:rsidR="00CB68CE" w:rsidRDefault="00CB68CE" w:rsidP="00CB68CE"/>
    <w:p w14:paraId="0C6050A6" w14:textId="1D362BA4" w:rsidR="00CB68CE" w:rsidRDefault="00CB68CE" w:rsidP="00CB68CE">
      <w:r>
        <w:t>Recall can also be used as an indicator of model performance</w:t>
      </w:r>
      <w:r w:rsidR="00360EDB">
        <w:t xml:space="preserve"> when it is more important that an item is marked instead of missed. For example, recall is used for medical test</w:t>
      </w:r>
      <w:r w:rsidR="004E2CDD">
        <w:t>ing</w:t>
      </w:r>
      <w:r w:rsidR="00360EDB">
        <w:t xml:space="preserve"> when it is more important </w:t>
      </w:r>
      <w:r w:rsidR="004E2CDD">
        <w:t xml:space="preserve">not to miss a </w:t>
      </w:r>
      <w:r w:rsidR="004547D5">
        <w:t>diagnosis</w:t>
      </w:r>
      <w:r>
        <w:t>. Using the above example, the recall of returning no non</w:t>
      </w:r>
      <w:r w:rsidR="00C779FE">
        <w:t>-</w:t>
      </w:r>
      <w:r>
        <w:t xml:space="preserve">compensatory items would have a recall of 0%. High recall would </w:t>
      </w:r>
      <w:r w:rsidR="00E34A04">
        <w:t>mark items that are true positives.</w:t>
      </w:r>
    </w:p>
    <w:p w14:paraId="66029970" w14:textId="77777777" w:rsidR="00CB68CE" w:rsidRDefault="00CB68CE" w:rsidP="00CB68CE"/>
    <w:p w14:paraId="092796EB" w14:textId="68282254" w:rsidR="00DF276D" w:rsidRPr="00D50574" w:rsidRDefault="00CB68CE" w:rsidP="00D50574">
      <w:pPr>
        <w:pBdr>
          <w:top w:val="nil"/>
          <w:left w:val="nil"/>
          <w:bottom w:val="nil"/>
          <w:right w:val="nil"/>
          <w:between w:val="nil"/>
        </w:pBdr>
        <w:rPr>
          <w:color w:val="000000" w:themeColor="text1"/>
        </w:rPr>
      </w:pPr>
      <m:oMathPara>
        <m:oMath>
          <m:r>
            <w:rPr>
              <w:rFonts w:ascii="Cambria Math" w:hAnsi="Cambria Math"/>
              <w:color w:val="000000" w:themeColor="text1"/>
            </w:rPr>
            <m:t xml:space="preserve">Recall = </m:t>
          </m:r>
          <m:f>
            <m:fPr>
              <m:ctrlPr>
                <w:rPr>
                  <w:rFonts w:ascii="Cambria Math" w:hAnsi="Cambria Math"/>
                  <w:i/>
                  <w:color w:val="000000" w:themeColor="text1"/>
                </w:rPr>
              </m:ctrlPr>
            </m:fPr>
            <m:num>
              <m:r>
                <w:rPr>
                  <w:rFonts w:ascii="Cambria Math" w:hAnsi="Cambria Math"/>
                  <w:color w:val="000000" w:themeColor="text1"/>
                </w:rPr>
                <m:t xml:space="preserve">True Positives </m:t>
              </m:r>
            </m:num>
            <m:den>
              <m:r>
                <w:rPr>
                  <w:rFonts w:ascii="Cambria Math" w:hAnsi="Cambria Math"/>
                  <w:color w:val="000000" w:themeColor="text1"/>
                </w:rPr>
                <m:t>True Positives+False Negatives</m:t>
              </m:r>
            </m:den>
          </m:f>
        </m:oMath>
      </m:oMathPara>
    </w:p>
    <w:p w14:paraId="078FC18B" w14:textId="31009E9B" w:rsidR="00BD2C77" w:rsidRDefault="00BD2C77" w:rsidP="00BD2C77"/>
    <w:p w14:paraId="6C4E9CBE" w14:textId="7FD6FD10" w:rsidR="00DB70E1" w:rsidRDefault="002B3766" w:rsidP="005526C7">
      <w:pPr>
        <w:pStyle w:val="Heading3"/>
      </w:pPr>
      <w:r>
        <w:t>Non-</w:t>
      </w:r>
      <w:r w:rsidR="00104CA5">
        <w:t>Compensatory</w:t>
      </w:r>
      <w:r>
        <w:t xml:space="preserve"> </w:t>
      </w:r>
      <w:r w:rsidR="00CE4293">
        <w:t>Codes</w:t>
      </w:r>
      <w:r w:rsidR="00AD6370">
        <w:t xml:space="preserve"> Data Source</w:t>
      </w:r>
    </w:p>
    <w:p w14:paraId="1765BACE" w14:textId="77777777" w:rsidR="00DB70E1" w:rsidRDefault="00DB70E1" w:rsidP="005526C7"/>
    <w:p w14:paraId="05A9DF19" w14:textId="423050BD" w:rsidR="00C62DED" w:rsidRPr="000823B6" w:rsidRDefault="00DB70E1" w:rsidP="005526C7">
      <w:pPr>
        <w:ind w:left="360"/>
      </w:pPr>
      <w:r w:rsidRPr="00DB70E1">
        <w:t xml:space="preserve">For the non-compensatory data set, </w:t>
      </w:r>
      <w:r w:rsidR="005A1236">
        <w:t>Litigation Operations received</w:t>
      </w:r>
      <w:r w:rsidR="00BD2C77" w:rsidRPr="00DB70E1">
        <w:t xml:space="preserve"> 26,766 invoice line items between 12/1/2021 and 3/1/2022. Lawyers reviewed</w:t>
      </w:r>
      <w:r w:rsidR="005A1236">
        <w:t xml:space="preserve"> the AI predicted</w:t>
      </w:r>
      <w:r w:rsidR="00BD2C77" w:rsidRPr="00DB70E1">
        <w:t xml:space="preserve"> items</w:t>
      </w:r>
      <w:r w:rsidR="005A1236">
        <w:t xml:space="preserve"> and</w:t>
      </w:r>
      <w:r w:rsidR="00BD2C77" w:rsidRPr="00DB70E1">
        <w:t xml:space="preserve"> updated the non-</w:t>
      </w:r>
      <w:r w:rsidR="00BD2C77" w:rsidRPr="00DB70E1">
        <w:rPr>
          <w:color w:val="0E101A"/>
        </w:rPr>
        <w:t xml:space="preserve">compensatory codes. </w:t>
      </w:r>
      <w:r w:rsidRPr="00DB70E1">
        <w:rPr>
          <w:color w:val="0E101A"/>
        </w:rPr>
        <w:t xml:space="preserve"> </w:t>
      </w:r>
      <w:r w:rsidR="00C62DED" w:rsidRPr="000823B6">
        <w:rPr>
          <w:color w:val="0E101A"/>
        </w:rPr>
        <w:t xml:space="preserve">I gave analysis priority to the non-compensatory codes with the </w:t>
      </w:r>
      <w:r w:rsidR="00AD6370">
        <w:rPr>
          <w:color w:val="0E101A"/>
        </w:rPr>
        <w:t>highest</w:t>
      </w:r>
      <w:r w:rsidR="00C62DED" w:rsidRPr="000823B6">
        <w:rPr>
          <w:color w:val="0E101A"/>
        </w:rPr>
        <w:t xml:space="preserve"> </w:t>
      </w:r>
      <w:r w:rsidR="005A1236">
        <w:rPr>
          <w:color w:val="0E101A"/>
        </w:rPr>
        <w:t xml:space="preserve">number of </w:t>
      </w:r>
      <w:r w:rsidR="00C62DED" w:rsidRPr="000823B6">
        <w:rPr>
          <w:color w:val="0E101A"/>
        </w:rPr>
        <w:t xml:space="preserve">errors. For this data set, the counts for the greatest number of AI errors are shown in the </w:t>
      </w:r>
      <w:r w:rsidR="005A1236">
        <w:rPr>
          <w:color w:val="0E101A"/>
        </w:rPr>
        <w:t>Figure 4</w:t>
      </w:r>
      <w:r w:rsidR="00C62DED" w:rsidRPr="000823B6">
        <w:rPr>
          <w:color w:val="0E101A"/>
        </w:rPr>
        <w:t xml:space="preserve"> below</w:t>
      </w:r>
      <w:r w:rsidR="00282FC0">
        <w:rPr>
          <w:color w:val="0E101A"/>
        </w:rPr>
        <w:t xml:space="preserve"> on the right</w:t>
      </w:r>
      <w:r w:rsidR="00C62DED" w:rsidRPr="000823B6">
        <w:rPr>
          <w:color w:val="0E101A"/>
        </w:rPr>
        <w:t>.</w:t>
      </w:r>
      <w:r w:rsidR="00570394" w:rsidRPr="000823B6">
        <w:rPr>
          <w:color w:val="0E101A"/>
        </w:rPr>
        <w:t xml:space="preserve"> The data was grouped by non-compensatory </w:t>
      </w:r>
      <w:r w:rsidR="00570394" w:rsidRPr="000823B6">
        <w:rPr>
          <w:color w:val="0E101A"/>
        </w:rPr>
        <w:lastRenderedPageBreak/>
        <w:t>code and error type.</w:t>
      </w:r>
      <w:r w:rsidR="00814AF7" w:rsidRPr="000823B6">
        <w:rPr>
          <w:color w:val="0E101A"/>
        </w:rPr>
        <w:t xml:space="preserve"> The range in number of errors is also shown in the box plot below</w:t>
      </w:r>
      <w:r w:rsidR="00104CA5" w:rsidRPr="000823B6">
        <w:rPr>
          <w:color w:val="0E101A"/>
        </w:rPr>
        <w:t xml:space="preserve"> in </w:t>
      </w:r>
      <w:r w:rsidR="00E30772" w:rsidRPr="00DB70E1">
        <w:rPr>
          <w:b/>
          <w:bCs/>
          <w:noProof/>
        </w:rPr>
        <w:drawing>
          <wp:anchor distT="0" distB="0" distL="114300" distR="114300" simplePos="0" relativeHeight="251689984" behindDoc="0" locked="0" layoutInCell="1" allowOverlap="1" wp14:anchorId="14EE85DB" wp14:editId="5296335B">
            <wp:simplePos x="0" y="0"/>
            <wp:positionH relativeFrom="margin">
              <wp:align>right</wp:align>
            </wp:positionH>
            <wp:positionV relativeFrom="paragraph">
              <wp:posOffset>467995</wp:posOffset>
            </wp:positionV>
            <wp:extent cx="5943600" cy="2971800"/>
            <wp:effectExtent l="0" t="0" r="0" b="0"/>
            <wp:wrapTopAndBottom/>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104CA5" w:rsidRPr="000823B6">
        <w:rPr>
          <w:color w:val="0E101A"/>
        </w:rPr>
        <w:t>Figure 4</w:t>
      </w:r>
      <w:r w:rsidR="00282FC0">
        <w:rPr>
          <w:color w:val="0E101A"/>
        </w:rPr>
        <w:t xml:space="preserve"> on the left</w:t>
      </w:r>
      <w:r w:rsidR="00814AF7" w:rsidRPr="000823B6">
        <w:rPr>
          <w:color w:val="0E101A"/>
        </w:rPr>
        <w:t>.</w:t>
      </w:r>
    </w:p>
    <w:p w14:paraId="20C5CB9F" w14:textId="661CDC86" w:rsidR="00104CA5" w:rsidRDefault="00104CA5" w:rsidP="00914B1B">
      <w:pPr>
        <w:pStyle w:val="Caption"/>
        <w:rPr>
          <w:color w:val="0E101A"/>
        </w:rPr>
      </w:pPr>
      <w:r>
        <w:t xml:space="preserve">Figure </w:t>
      </w:r>
      <w:fldSimple w:instr=" SEQ Figure \* ARABIC ">
        <w:r w:rsidR="0016531B">
          <w:rPr>
            <w:noProof/>
          </w:rPr>
          <w:t>5</w:t>
        </w:r>
      </w:fldSimple>
      <w:r>
        <w:t>. Box and Bar Charts of AI Non-Compensatory Error Counts</w:t>
      </w:r>
    </w:p>
    <w:p w14:paraId="1352FB2A" w14:textId="0214419C" w:rsidR="000F1C0C" w:rsidRDefault="00143941" w:rsidP="005071D4">
      <w:pPr>
        <w:ind w:left="720"/>
        <w:rPr>
          <w:color w:val="0E101A"/>
        </w:rPr>
      </w:pPr>
      <w:r>
        <w:rPr>
          <w:color w:val="0E101A"/>
        </w:rPr>
        <w:t>As a result of the most items AI incorrectly marked, I focused on “Vague” and “Partner doing Associate work” for optimizing the AI modeling parameters.</w:t>
      </w:r>
    </w:p>
    <w:p w14:paraId="6630666E" w14:textId="536BC30D" w:rsidR="000F1C0C" w:rsidRPr="00C62DED" w:rsidRDefault="000F1C0C" w:rsidP="00570394">
      <w:pPr>
        <w:ind w:left="720"/>
        <w:rPr>
          <w:color w:val="0E101A"/>
        </w:rPr>
      </w:pPr>
    </w:p>
    <w:p w14:paraId="18831EE5" w14:textId="0F536E90" w:rsidR="002B3766" w:rsidRDefault="002B3766" w:rsidP="002B3766">
      <w:pPr>
        <w:pStyle w:val="Heading2"/>
      </w:pPr>
      <w:r>
        <w:t>New Benchmark Topics</w:t>
      </w:r>
    </w:p>
    <w:p w14:paraId="30F26B38" w14:textId="444B8392" w:rsidR="00DF276D" w:rsidRDefault="00DF276D"/>
    <w:p w14:paraId="20035CAC" w14:textId="55011682" w:rsidR="00231635" w:rsidRDefault="00231635">
      <w:r>
        <w:t>Litigation Operations was on-boarding a n</w:t>
      </w:r>
      <w:r w:rsidRPr="00E31B22">
        <w:t>ew client</w:t>
      </w:r>
      <w:r>
        <w:t>. The client sent a sample of invoice entries for initial review. Because benchmarks are customized to a client,</w:t>
      </w:r>
      <w:r w:rsidRPr="00E31B22">
        <w:t xml:space="preserve"> LDA topics were generated using</w:t>
      </w:r>
      <w:r>
        <w:t xml:space="preserve"> the</w:t>
      </w:r>
      <w:r w:rsidRPr="00E31B22">
        <w:t xml:space="preserve"> line-item entries</w:t>
      </w:r>
      <w:r>
        <w:t>. The l</w:t>
      </w:r>
      <w:r w:rsidRPr="00E31B22">
        <w:t xml:space="preserve">egal </w:t>
      </w:r>
      <w:r>
        <w:t xml:space="preserve">team </w:t>
      </w:r>
      <w:r w:rsidRPr="00E31B22">
        <w:t xml:space="preserve">used </w:t>
      </w:r>
      <w:r w:rsidR="00877686">
        <w:t xml:space="preserve">the </w:t>
      </w:r>
      <w:r w:rsidRPr="00E31B22">
        <w:t xml:space="preserve">LDA </w:t>
      </w:r>
      <w:r w:rsidR="00877686">
        <w:t xml:space="preserve">extracted </w:t>
      </w:r>
      <w:r w:rsidRPr="00E31B22">
        <w:t xml:space="preserve">topics as a starting point for creating the final benchmark </w:t>
      </w:r>
      <w:r>
        <w:t xml:space="preserve">topics. </w:t>
      </w:r>
    </w:p>
    <w:p w14:paraId="10DA41C1" w14:textId="20195611" w:rsidR="002144DF" w:rsidRDefault="002144DF" w:rsidP="004400D7">
      <w:pPr>
        <w:ind w:left="720"/>
      </w:pPr>
    </w:p>
    <w:p w14:paraId="0707928F" w14:textId="13D0E77E" w:rsidR="002144DF" w:rsidRPr="0085671D" w:rsidRDefault="002144DF" w:rsidP="002144DF">
      <w:pPr>
        <w:pStyle w:val="Heading1"/>
      </w:pPr>
      <w:r>
        <w:t>ACCOMPLISHMENTS</w:t>
      </w:r>
    </w:p>
    <w:p w14:paraId="2A32F0CA" w14:textId="77777777" w:rsidR="00DF276D" w:rsidRDefault="00DF276D">
      <w:pPr>
        <w:ind w:left="720"/>
        <w:rPr>
          <w:sz w:val="20"/>
          <w:szCs w:val="20"/>
        </w:rPr>
      </w:pPr>
    </w:p>
    <w:p w14:paraId="27AF34AE" w14:textId="77777777" w:rsidR="00A21863" w:rsidRDefault="00A21863" w:rsidP="00A21863">
      <w:pPr>
        <w:pStyle w:val="Heading2"/>
      </w:pPr>
      <w:r>
        <w:t>Unsupervised LDA Error Topics</w:t>
      </w:r>
    </w:p>
    <w:p w14:paraId="510DEF15" w14:textId="1E99CDC0" w:rsidR="0040484A" w:rsidRDefault="0040484A" w:rsidP="0040484A"/>
    <w:p w14:paraId="144C829E" w14:textId="545E8D57" w:rsidR="000154C2" w:rsidRDefault="000154C2" w:rsidP="000154C2">
      <w:pPr>
        <w:rPr>
          <w:color w:val="0E101A"/>
        </w:rPr>
      </w:pPr>
      <w:r>
        <w:rPr>
          <w:color w:val="0E101A"/>
        </w:rPr>
        <w:t>Unsupervised learning using</w:t>
      </w:r>
      <w:r w:rsidRPr="00E31B22">
        <w:t xml:space="preserve"> LDA topics</w:t>
      </w:r>
      <w:r>
        <w:t xml:space="preserve"> was used to better understand the non-compensatory errors and generate benchmark topics. </w:t>
      </w:r>
      <w:r>
        <w:rPr>
          <w:color w:val="0E101A"/>
        </w:rPr>
        <w:t xml:space="preserve">Topic extraction is a type of unsupervised learning that uncovers word clusters that are common between question responses as topics. David M. </w:t>
      </w:r>
      <w:proofErr w:type="spellStart"/>
      <w:r>
        <w:rPr>
          <w:color w:val="0E101A"/>
        </w:rPr>
        <w:t>Blei</w:t>
      </w:r>
      <w:proofErr w:type="spellEnd"/>
      <w:r>
        <w:rPr>
          <w:color w:val="0E101A"/>
        </w:rPr>
        <w:t xml:space="preserve"> developed a method to extract hidden or latent topics from a response called Latent Dirichlet allocation (LDA).</w:t>
      </w:r>
      <w:r>
        <w:rPr>
          <w:color w:val="0E101A"/>
          <w:vertAlign w:val="superscript"/>
        </w:rPr>
        <w:t xml:space="preserve"> </w:t>
      </w:r>
      <w:r>
        <w:rPr>
          <w:color w:val="0E101A"/>
        </w:rPr>
        <w:t xml:space="preserve"> LDA extracts meaningful word combinations from the user responses to summarize the results across all invoices. LDA is a well-known topic retrieval technique for </w:t>
      </w:r>
      <w:r>
        <w:rPr>
          <w:color w:val="0E101A"/>
        </w:rPr>
        <w:lastRenderedPageBreak/>
        <w:t xml:space="preserve">documents. LDA was chosen for this project because of the support python library, </w:t>
      </w:r>
      <w:proofErr w:type="spellStart"/>
      <w:r>
        <w:rPr>
          <w:color w:val="0E101A"/>
        </w:rPr>
        <w:t>pyLDAvis</w:t>
      </w:r>
      <w:proofErr w:type="spellEnd"/>
      <w:r>
        <w:rPr>
          <w:rStyle w:val="FootnoteReference"/>
          <w:color w:val="0E101A"/>
        </w:rPr>
        <w:footnoteReference w:id="6"/>
      </w:r>
      <w:r>
        <w:rPr>
          <w:color w:val="0E101A"/>
        </w:rPr>
        <w:t>, that generates easy to interpret topic charts.</w:t>
      </w:r>
    </w:p>
    <w:p w14:paraId="4A612F8D" w14:textId="0D6A121C" w:rsidR="000C7126" w:rsidRDefault="000C7126" w:rsidP="000154C2">
      <w:pPr>
        <w:rPr>
          <w:color w:val="0E101A"/>
        </w:rPr>
      </w:pPr>
    </w:p>
    <w:p w14:paraId="39458680" w14:textId="6FC3958C" w:rsidR="000C7126" w:rsidRPr="000C7126" w:rsidRDefault="000C7126" w:rsidP="000154C2">
      <w:r>
        <w:rPr>
          <w:color w:val="0E101A"/>
        </w:rPr>
        <w:t xml:space="preserve">For the non-compensatory reviewed items, </w:t>
      </w:r>
      <w:r>
        <w:t>attributes of QC reviewer name, ai assigned</w:t>
      </w:r>
      <w:r w:rsidR="00A34BC7">
        <w:t xml:space="preserve"> and final</w:t>
      </w:r>
      <w:r>
        <w:t xml:space="preserve"> benchmark name, activity and task code were added to the text string to see if patterns existed across these items. The legal team members assigned an entry had their names obfuscated for this paper by using assigned letters.</w:t>
      </w:r>
    </w:p>
    <w:p w14:paraId="30F86359" w14:textId="77777777" w:rsidR="004B34BA" w:rsidRPr="00C26DB4" w:rsidRDefault="004B34BA" w:rsidP="00C26DB4"/>
    <w:p w14:paraId="70C3BF2D" w14:textId="77777777" w:rsidR="00A21863" w:rsidRDefault="001D12F1" w:rsidP="00A21863">
      <w:pPr>
        <w:pStyle w:val="Heading3"/>
      </w:pPr>
      <w:r>
        <w:t>Vague Invoice Entries</w:t>
      </w:r>
    </w:p>
    <w:p w14:paraId="42A7E07C" w14:textId="395AF05C" w:rsidR="00024E20" w:rsidRDefault="001D12F1" w:rsidP="00A21863">
      <w:r>
        <w:t xml:space="preserve"> </w:t>
      </w:r>
    </w:p>
    <w:p w14:paraId="7AC12768" w14:textId="312F2245" w:rsidR="004400D7" w:rsidRDefault="00884137" w:rsidP="00EE590D">
      <w:pPr>
        <w:ind w:left="360"/>
      </w:pPr>
      <w:r>
        <w:t xml:space="preserve">For non-compensatory items, I generated LDA clusters </w:t>
      </w:r>
      <w:r w:rsidR="00870A0A">
        <w:t xml:space="preserve">for </w:t>
      </w:r>
      <w:r w:rsidR="00E06876">
        <w:t xml:space="preserve">AI generated </w:t>
      </w:r>
      <w:r w:rsidR="00870A0A">
        <w:t>cascading errors from task codes, benchmarks, and activities</w:t>
      </w:r>
      <w:r>
        <w:t xml:space="preserve"> that also missed </w:t>
      </w:r>
      <w:r w:rsidR="00E06876">
        <w:t>v</w:t>
      </w:r>
      <w:r>
        <w:t xml:space="preserve">ague entries. </w:t>
      </w:r>
    </w:p>
    <w:p w14:paraId="77F30632" w14:textId="77777777" w:rsidR="00870A0A" w:rsidRDefault="00870A0A" w:rsidP="009101E8">
      <w:pPr>
        <w:ind w:left="360"/>
      </w:pPr>
    </w:p>
    <w:p w14:paraId="0F1F883E" w14:textId="0A3F41F4" w:rsidR="00870A0A" w:rsidRDefault="00AD5A26" w:rsidP="00EE590D">
      <w:pPr>
        <w:ind w:left="360"/>
      </w:pPr>
      <w:r>
        <w:rPr>
          <w:noProof/>
        </w:rPr>
        <w:drawing>
          <wp:anchor distT="0" distB="0" distL="114300" distR="114300" simplePos="0" relativeHeight="251692032" behindDoc="0" locked="0" layoutInCell="1" allowOverlap="1" wp14:anchorId="62D0D334" wp14:editId="37D1DB33">
            <wp:simplePos x="0" y="0"/>
            <wp:positionH relativeFrom="margin">
              <wp:align>right</wp:align>
            </wp:positionH>
            <wp:positionV relativeFrom="paragraph">
              <wp:posOffset>830615</wp:posOffset>
            </wp:positionV>
            <wp:extent cx="5943600" cy="3481705"/>
            <wp:effectExtent l="0" t="0" r="0" b="4445"/>
            <wp:wrapTopAndBottom/>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16"/>
                    <a:stretch>
                      <a:fillRect/>
                    </a:stretch>
                  </pic:blipFill>
                  <pic:spPr>
                    <a:xfrm>
                      <a:off x="0" y="0"/>
                      <a:ext cx="5943600" cy="3481705"/>
                    </a:xfrm>
                    <a:prstGeom prst="rect">
                      <a:avLst/>
                    </a:prstGeom>
                  </pic:spPr>
                </pic:pic>
              </a:graphicData>
            </a:graphic>
          </wp:anchor>
        </w:drawing>
      </w:r>
      <w:r w:rsidR="00870A0A">
        <w:t xml:space="preserve">The first clustered topic, summarized by </w:t>
      </w:r>
      <w:r w:rsidR="00D21646">
        <w:t>“</w:t>
      </w:r>
      <w:r w:rsidR="00C351BB">
        <w:t>email</w:t>
      </w:r>
      <w:r w:rsidR="00D21646">
        <w:t xml:space="preserve"> plaintiff trial</w:t>
      </w:r>
      <w:r w:rsidR="00C351BB">
        <w:t xml:space="preserve"> review” and</w:t>
      </w:r>
      <w:r w:rsidR="00870A0A">
        <w:t xml:space="preserve"> “</w:t>
      </w:r>
      <w:r w:rsidR="00C351BB">
        <w:t>deposition</w:t>
      </w:r>
      <w:r w:rsidR="00A406E8">
        <w:t xml:space="preserve"> motion</w:t>
      </w:r>
      <w:proofErr w:type="gramStart"/>
      <w:r w:rsidR="00870A0A">
        <w:t>”</w:t>
      </w:r>
      <w:r w:rsidR="00C351BB">
        <w:t xml:space="preserve">, </w:t>
      </w:r>
      <w:r w:rsidR="00870A0A">
        <w:t xml:space="preserve"> </w:t>
      </w:r>
      <w:proofErr w:type="spellStart"/>
      <w:r w:rsidR="00870A0A">
        <w:t>d</w:t>
      </w:r>
      <w:proofErr w:type="gramEnd"/>
      <w:r w:rsidR="00870A0A">
        <w:t>_</w:t>
      </w:r>
      <w:r w:rsidR="00C351BB">
        <w:t>b</w:t>
      </w:r>
      <w:proofErr w:type="spellEnd"/>
      <w:r w:rsidR="00870A0A">
        <w:t xml:space="preserve"> reviewed the activit</w:t>
      </w:r>
      <w:r w:rsidR="00C351BB">
        <w:t>ies</w:t>
      </w:r>
      <w:r w:rsidR="00870A0A">
        <w:t xml:space="preserve"> of </w:t>
      </w:r>
      <w:r w:rsidR="00C351BB">
        <w:t>“Review Only”, “Communication Meetings” and AI incorrectly marked activity “</w:t>
      </w:r>
      <w:r w:rsidR="00870A0A">
        <w:t>Communications/Meetings</w:t>
      </w:r>
      <w:r w:rsidR="00C351BB">
        <w:t>”</w:t>
      </w:r>
      <w:r w:rsidR="00870A0A">
        <w:t>.</w:t>
      </w:r>
      <w:r w:rsidR="00A406E8">
        <w:t xml:space="preserve"> This cluster accounted for 52% of all tokenized words for the missed entries</w:t>
      </w:r>
      <w:r w:rsidR="008C6EC4">
        <w:t xml:space="preserve"> shown in the </w:t>
      </w:r>
      <w:proofErr w:type="spellStart"/>
      <w:r w:rsidR="008C6EC4">
        <w:t>Py</w:t>
      </w:r>
      <w:r w:rsidR="00EE590D">
        <w:t>L</w:t>
      </w:r>
      <w:r w:rsidR="008C6EC4">
        <w:t>D</w:t>
      </w:r>
      <w:r w:rsidR="00EE590D">
        <w:t>A</w:t>
      </w:r>
      <w:r w:rsidR="008C6EC4">
        <w:t>vis</w:t>
      </w:r>
      <w:proofErr w:type="spellEnd"/>
      <w:r w:rsidR="008C6EC4">
        <w:t xml:space="preserve"> chart below</w:t>
      </w:r>
      <w:r w:rsidR="00884137">
        <w:t xml:space="preserve"> in Figure 6</w:t>
      </w:r>
      <w:r w:rsidR="00A406E8">
        <w:t>.</w:t>
      </w:r>
    </w:p>
    <w:p w14:paraId="47BA6207" w14:textId="22A40ACE" w:rsidR="00870A0A" w:rsidRDefault="00870A0A" w:rsidP="00CE4293"/>
    <w:p w14:paraId="7F9A12DF" w14:textId="71A7C058" w:rsidR="0014559C" w:rsidRDefault="00884137" w:rsidP="00884137">
      <w:pPr>
        <w:pStyle w:val="Caption"/>
      </w:pPr>
      <w:r>
        <w:t xml:space="preserve">Figure </w:t>
      </w:r>
      <w:fldSimple w:instr=" SEQ Figure \* ARABIC ">
        <w:r w:rsidR="0016531B">
          <w:rPr>
            <w:noProof/>
          </w:rPr>
          <w:t>6</w:t>
        </w:r>
      </w:fldSimple>
      <w:r>
        <w:t>. LDA Vague Non-compensatory Topic Extraction</w:t>
      </w:r>
    </w:p>
    <w:p w14:paraId="52EE1C59" w14:textId="77777777" w:rsidR="00951EA1" w:rsidRDefault="00951EA1" w:rsidP="008A2972">
      <w:pPr>
        <w:ind w:left="720"/>
      </w:pPr>
    </w:p>
    <w:p w14:paraId="10AF92C6" w14:textId="77777777" w:rsidR="008C6EC4" w:rsidRDefault="008C6EC4" w:rsidP="008C6EC4">
      <w:pPr>
        <w:pStyle w:val="Heading3"/>
      </w:pPr>
      <w:r>
        <w:t>Partners doing associate work</w:t>
      </w:r>
    </w:p>
    <w:p w14:paraId="3A9E7B17" w14:textId="77777777" w:rsidR="008C6EC4" w:rsidRDefault="008C6EC4" w:rsidP="008C6EC4"/>
    <w:p w14:paraId="297EF2FC" w14:textId="70F1410B" w:rsidR="00E06876" w:rsidRDefault="00E06876" w:rsidP="00E06876">
      <w:pPr>
        <w:ind w:left="360"/>
      </w:pPr>
      <w:r>
        <w:t xml:space="preserve">For non-compensatory items, I generated LDA clusters for AI generated cascading errors from task codes, benchmarks, and activities that also missed </w:t>
      </w:r>
      <w:r w:rsidR="0018282B">
        <w:t>partners doing associate work non-compliant</w:t>
      </w:r>
      <w:r>
        <w:t xml:space="preserve"> entries. </w:t>
      </w:r>
    </w:p>
    <w:p w14:paraId="755A9F8E" w14:textId="77777777" w:rsidR="008C6EC4" w:rsidRDefault="008C6EC4" w:rsidP="008C6EC4">
      <w:pPr>
        <w:ind w:left="720"/>
      </w:pPr>
    </w:p>
    <w:p w14:paraId="2AB67AA6" w14:textId="042C77FD" w:rsidR="00825719" w:rsidRDefault="008C6EC4" w:rsidP="00603BD7">
      <w:pPr>
        <w:ind w:left="360"/>
      </w:pPr>
      <w:r>
        <w:t xml:space="preserve">The first clustered topic, summarized by “review </w:t>
      </w:r>
      <w:r w:rsidR="00825719">
        <w:t>plaintiff with</w:t>
      </w:r>
      <w:r>
        <w:t xml:space="preserve"> regard”, </w:t>
      </w:r>
      <w:proofErr w:type="spellStart"/>
      <w:r>
        <w:t>d_h</w:t>
      </w:r>
      <w:proofErr w:type="spellEnd"/>
      <w:r>
        <w:t xml:space="preserve"> reviewed the activity of </w:t>
      </w:r>
      <w:r w:rsidR="00825719">
        <w:t>“Prepare/Prepare for</w:t>
      </w:r>
      <w:r>
        <w:t>” and activity “Communications/Meetings”. This cluster accounted for 5</w:t>
      </w:r>
      <w:r w:rsidR="00825719">
        <w:t>1</w:t>
      </w:r>
      <w:r>
        <w:t xml:space="preserve">% of all tokenized words for the missed entries. This cluster is shown below in the </w:t>
      </w:r>
      <w:proofErr w:type="spellStart"/>
      <w:r>
        <w:t>PyLDavis</w:t>
      </w:r>
      <w:proofErr w:type="spellEnd"/>
      <w:r>
        <w:t xml:space="preserve"> chart</w:t>
      </w:r>
      <w:r w:rsidR="00603BD7">
        <w:t xml:space="preserve"> in Figure 7.</w:t>
      </w:r>
    </w:p>
    <w:p w14:paraId="0AF166F7" w14:textId="5E83EB65" w:rsidR="008C6EC4" w:rsidRDefault="00603BD7" w:rsidP="008C6EC4">
      <w:pPr>
        <w:ind w:left="720"/>
      </w:pPr>
      <w:r>
        <w:rPr>
          <w:noProof/>
        </w:rPr>
        <w:drawing>
          <wp:anchor distT="0" distB="0" distL="114300" distR="114300" simplePos="0" relativeHeight="251694080" behindDoc="0" locked="0" layoutInCell="1" allowOverlap="1" wp14:anchorId="7333B752" wp14:editId="05EA74A3">
            <wp:simplePos x="0" y="0"/>
            <wp:positionH relativeFrom="margin">
              <wp:align>right</wp:align>
            </wp:positionH>
            <wp:positionV relativeFrom="paragraph">
              <wp:posOffset>156944</wp:posOffset>
            </wp:positionV>
            <wp:extent cx="5943600" cy="3585845"/>
            <wp:effectExtent l="0" t="0" r="0" b="0"/>
            <wp:wrapTopAndBottom/>
            <wp:docPr id="12" name="Picture 1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pic:nvPicPr>
                  <pic:blipFill>
                    <a:blip r:embed="rId17"/>
                    <a:stretch>
                      <a:fillRect/>
                    </a:stretch>
                  </pic:blipFill>
                  <pic:spPr>
                    <a:xfrm>
                      <a:off x="0" y="0"/>
                      <a:ext cx="5943600" cy="3585845"/>
                    </a:xfrm>
                    <a:prstGeom prst="rect">
                      <a:avLst/>
                    </a:prstGeom>
                  </pic:spPr>
                </pic:pic>
              </a:graphicData>
            </a:graphic>
          </wp:anchor>
        </w:drawing>
      </w:r>
    </w:p>
    <w:p w14:paraId="6A07CB0C" w14:textId="7DD8650C" w:rsidR="008C6EC4" w:rsidRDefault="00603BD7" w:rsidP="00603BD7">
      <w:pPr>
        <w:pStyle w:val="Caption"/>
      </w:pPr>
      <w:r>
        <w:t xml:space="preserve">Figure </w:t>
      </w:r>
      <w:fldSimple w:instr=" SEQ Figure \* ARABIC ">
        <w:r w:rsidR="0016531B">
          <w:rPr>
            <w:noProof/>
          </w:rPr>
          <w:t>7</w:t>
        </w:r>
      </w:fldSimple>
      <w:r>
        <w:t xml:space="preserve">. </w:t>
      </w:r>
      <w:r w:rsidRPr="00BA5201">
        <w:t xml:space="preserve">LDA </w:t>
      </w:r>
      <w:r>
        <w:t>partners doing associate work</w:t>
      </w:r>
      <w:r w:rsidRPr="00BA5201">
        <w:t xml:space="preserve"> </w:t>
      </w:r>
      <w:r>
        <w:t>n</w:t>
      </w:r>
      <w:r w:rsidRPr="00BA5201">
        <w:t xml:space="preserve">on-compensatory </w:t>
      </w:r>
      <w:r>
        <w:t>t</w:t>
      </w:r>
      <w:r w:rsidRPr="00BA5201">
        <w:t xml:space="preserve">opic </w:t>
      </w:r>
      <w:r>
        <w:t>e</w:t>
      </w:r>
      <w:r w:rsidRPr="00BA5201">
        <w:t>xtraction</w:t>
      </w:r>
      <w:r>
        <w:t>.</w:t>
      </w:r>
    </w:p>
    <w:p w14:paraId="1785C7F6" w14:textId="74658424" w:rsidR="008C6EC4" w:rsidRDefault="007E3209" w:rsidP="007E3209">
      <w:pPr>
        <w:pStyle w:val="Heading3"/>
      </w:pPr>
      <w:r>
        <w:t xml:space="preserve">Non-Compensatory Review </w:t>
      </w:r>
    </w:p>
    <w:p w14:paraId="758B5515" w14:textId="77777777" w:rsidR="007E3209" w:rsidRPr="007E3209" w:rsidRDefault="007E3209" w:rsidP="007E3209"/>
    <w:p w14:paraId="71D41206" w14:textId="231C9121" w:rsidR="007E3209" w:rsidRDefault="0016531B" w:rsidP="007E3209">
      <w:pPr>
        <w:ind w:left="360"/>
      </w:pPr>
      <w:r>
        <w:t>B</w:t>
      </w:r>
      <w:r w:rsidR="007E3209">
        <w:t xml:space="preserve">usiness executives reviewed </w:t>
      </w:r>
      <w:r>
        <w:t>the cluster</w:t>
      </w:r>
      <w:r w:rsidR="008C6EC4">
        <w:t xml:space="preserve"> entries for consistency.</w:t>
      </w:r>
      <w:r w:rsidR="00453FB6">
        <w:t xml:space="preserve"> </w:t>
      </w:r>
      <w:r w:rsidR="00B850A8">
        <w:t>LDA analysis showed unexpected results as it highlighted identical entries across legal matters</w:t>
      </w:r>
      <w:r w:rsidR="007E3209">
        <w:t xml:space="preserve"> as a cluster</w:t>
      </w:r>
      <w:r w:rsidR="00B850A8">
        <w:t xml:space="preserve">. Because these entries were duplicated up to 50 times, the frequencies increased the cluster location probability significantly. While this was not congruent with the goal of finding patterns to focus on quality improvement, it did emphasize an area for investigation. </w:t>
      </w:r>
    </w:p>
    <w:p w14:paraId="59C58336" w14:textId="77777777" w:rsidR="007E3209" w:rsidRDefault="007E3209" w:rsidP="007E3209">
      <w:pPr>
        <w:ind w:left="360"/>
      </w:pPr>
    </w:p>
    <w:p w14:paraId="29740389" w14:textId="62B85744" w:rsidR="007E3209" w:rsidRDefault="00B850A8" w:rsidP="007E3209">
      <w:pPr>
        <w:ind w:left="360"/>
      </w:pPr>
      <w:r>
        <w:t xml:space="preserve">An entry on the same date across many matters may indicate that a law firm might be over reporting hours. Further data was extracted to determine if a timekeeper was spending more than </w:t>
      </w:r>
      <w:r w:rsidR="007E3209">
        <w:t>12</w:t>
      </w:r>
      <w:r>
        <w:t xml:space="preserve"> hours per day and the rate that this work was being billed. </w:t>
      </w:r>
    </w:p>
    <w:p w14:paraId="4039597D" w14:textId="732AEA2C" w:rsidR="00A21863" w:rsidRDefault="00A21863" w:rsidP="00B850A8"/>
    <w:p w14:paraId="50668B0D" w14:textId="0A99F271" w:rsidR="00A21863" w:rsidRDefault="00A21863" w:rsidP="00B850A8">
      <w:pPr>
        <w:pStyle w:val="Heading3"/>
      </w:pPr>
      <w:r>
        <w:t>New Benchmark Topics</w:t>
      </w:r>
    </w:p>
    <w:p w14:paraId="3F3BAEC1" w14:textId="77777777" w:rsidR="00B850A8" w:rsidRDefault="00B850A8" w:rsidP="00B850A8"/>
    <w:p w14:paraId="3386BF98" w14:textId="37F37AD9" w:rsidR="000C7126" w:rsidRDefault="0016531B" w:rsidP="0016531B">
      <w:pPr>
        <w:ind w:left="360"/>
      </w:pPr>
      <w:r>
        <w:rPr>
          <w:noProof/>
        </w:rPr>
        <w:drawing>
          <wp:anchor distT="0" distB="0" distL="114300" distR="114300" simplePos="0" relativeHeight="251721728" behindDoc="0" locked="0" layoutInCell="1" allowOverlap="1" wp14:anchorId="3815A0AD" wp14:editId="12BCA73C">
            <wp:simplePos x="0" y="0"/>
            <wp:positionH relativeFrom="margin">
              <wp:align>right</wp:align>
            </wp:positionH>
            <wp:positionV relativeFrom="paragraph">
              <wp:posOffset>839586</wp:posOffset>
            </wp:positionV>
            <wp:extent cx="5943600" cy="3061335"/>
            <wp:effectExtent l="0" t="0" r="0" b="5715"/>
            <wp:wrapTopAndBottom/>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8"/>
                    <a:stretch>
                      <a:fillRect/>
                    </a:stretch>
                  </pic:blipFill>
                  <pic:spPr>
                    <a:xfrm>
                      <a:off x="0" y="0"/>
                      <a:ext cx="5943600" cy="3061335"/>
                    </a:xfrm>
                    <a:prstGeom prst="rect">
                      <a:avLst/>
                    </a:prstGeom>
                  </pic:spPr>
                </pic:pic>
              </a:graphicData>
            </a:graphic>
          </wp:anchor>
        </w:drawing>
      </w:r>
      <w:r w:rsidR="00EC3449">
        <w:t xml:space="preserve">Benchmarks were </w:t>
      </w:r>
      <w:r w:rsidR="00EC3449" w:rsidRPr="00E31B22">
        <w:t>generated using line-item entries</w:t>
      </w:r>
      <w:r w:rsidR="00EC3449">
        <w:t xml:space="preserve"> summarized from the LDA clusters</w:t>
      </w:r>
      <w:r>
        <w:t xml:space="preserve"> for each of the new client’s task codes. Figure 8 below shows cluster one for task code B140. I extracted benchmark topic “Prepare/Draft/Confer Opposition to Stay” from looking at the cluster words. </w:t>
      </w:r>
    </w:p>
    <w:p w14:paraId="170C3A61" w14:textId="7185E01C" w:rsidR="00B850A8" w:rsidRDefault="00B850A8" w:rsidP="00B850A8">
      <w:pPr>
        <w:pBdr>
          <w:top w:val="nil"/>
          <w:left w:val="nil"/>
          <w:bottom w:val="nil"/>
          <w:right w:val="nil"/>
          <w:between w:val="nil"/>
        </w:pBdr>
        <w:rPr>
          <w:bCs/>
        </w:rPr>
      </w:pPr>
    </w:p>
    <w:p w14:paraId="169F72A7" w14:textId="3D77810C" w:rsidR="0016531B" w:rsidRDefault="0016531B" w:rsidP="0016531B">
      <w:pPr>
        <w:pStyle w:val="Caption"/>
      </w:pPr>
      <w:r>
        <w:t xml:space="preserve">Figure </w:t>
      </w:r>
      <w:fldSimple w:instr=" SEQ Figure \* ARABIC ">
        <w:r>
          <w:rPr>
            <w:noProof/>
          </w:rPr>
          <w:t>8</w:t>
        </w:r>
      </w:fldSimple>
      <w:r>
        <w:t>. Benchmark task code B140</w:t>
      </w:r>
      <w:r w:rsidRPr="00D746AA">
        <w:t xml:space="preserve"> topic extraction</w:t>
      </w:r>
    </w:p>
    <w:p w14:paraId="0AC65581" w14:textId="343D5243" w:rsidR="00FD0991" w:rsidRDefault="00FD0991">
      <w:pPr>
        <w:rPr>
          <w:bCs/>
        </w:rPr>
      </w:pPr>
      <w:r>
        <w:rPr>
          <w:bCs/>
        </w:rPr>
        <w:br w:type="page"/>
      </w:r>
    </w:p>
    <w:p w14:paraId="2F89953B" w14:textId="77777777" w:rsidR="008A2972" w:rsidRPr="008A2972" w:rsidRDefault="008A2972" w:rsidP="00570E5D"/>
    <w:p w14:paraId="669C4C59" w14:textId="7F278C89" w:rsidR="00EE590D" w:rsidRDefault="00EE590D" w:rsidP="00EE590D">
      <w:pPr>
        <w:pStyle w:val="Heading1"/>
      </w:pPr>
      <w:r>
        <w:t>RESULTS</w:t>
      </w:r>
    </w:p>
    <w:p w14:paraId="75368DFF" w14:textId="6DA527AC" w:rsidR="00B219F3" w:rsidRDefault="00B219F3" w:rsidP="00B219F3"/>
    <w:p w14:paraId="41136AF8" w14:textId="76753C93" w:rsidR="002903BA" w:rsidRDefault="002903BA" w:rsidP="00570E5D">
      <w:pPr>
        <w:pStyle w:val="Heading2"/>
      </w:pPr>
      <w:r>
        <w:t>Non-compensatory Code Analysis</w:t>
      </w:r>
    </w:p>
    <w:p w14:paraId="0AA1BA22" w14:textId="796E5F06" w:rsidR="007E3243" w:rsidRDefault="007E3243" w:rsidP="007E3243"/>
    <w:p w14:paraId="1A405D9F" w14:textId="50E376EA" w:rsidR="007E3243" w:rsidRPr="007E3243" w:rsidRDefault="007E3243" w:rsidP="007E3243">
      <w:r>
        <w:t xml:space="preserve">The unsupervised analysis gave the most insight into areas where timekeepers where billing more than 12 hours and line items that were duplicated across matters. </w:t>
      </w:r>
      <w:proofErr w:type="gramStart"/>
      <w:r>
        <w:t>Both of these</w:t>
      </w:r>
      <w:proofErr w:type="gramEnd"/>
      <w:r>
        <w:t xml:space="preserve"> items have since been added as non-compensatory codes that are marked on import. </w:t>
      </w:r>
    </w:p>
    <w:p w14:paraId="6D98849F" w14:textId="77777777" w:rsidR="002903BA" w:rsidRDefault="002903BA" w:rsidP="002903BA"/>
    <w:p w14:paraId="53ED2327" w14:textId="58308F41" w:rsidR="00570E5D" w:rsidRDefault="00570E5D" w:rsidP="00570E5D">
      <w:pPr>
        <w:pStyle w:val="Heading2"/>
      </w:pPr>
      <w:r>
        <w:t>New Benchmark Topics</w:t>
      </w:r>
    </w:p>
    <w:p w14:paraId="4B6A7AD7" w14:textId="77777777" w:rsidR="00570E5D" w:rsidRDefault="00570E5D" w:rsidP="00570E5D">
      <w:pPr>
        <w:ind w:left="720"/>
      </w:pPr>
    </w:p>
    <w:p w14:paraId="4EF7649E" w14:textId="66FF3A80" w:rsidR="00570E5D" w:rsidRDefault="00570E5D" w:rsidP="00570E5D">
      <w:r w:rsidRPr="00E31B22">
        <w:t>New client LDA topics were generated using line-item entries</w:t>
      </w:r>
      <w:r>
        <w:t xml:space="preserve"> summarized from the LDA clusters. </w:t>
      </w:r>
      <w:r w:rsidRPr="00E31B22">
        <w:t xml:space="preserve">Legal used LDA topics as a starting point for creating the final benchmark </w:t>
      </w:r>
      <w:r>
        <w:t xml:space="preserve">topics. </w:t>
      </w:r>
      <w:r w:rsidRPr="00E31B22">
        <w:t>LDA topic extraction accelerated legal final topic creation from a limited number of entries</w:t>
      </w:r>
      <w:r>
        <w:t xml:space="preserve">. </w:t>
      </w:r>
      <w:r w:rsidR="00B23A0E">
        <w:t>The</w:t>
      </w:r>
      <w:r w:rsidRPr="00E31B22">
        <w:t xml:space="preserve"> </w:t>
      </w:r>
      <w:r>
        <w:t>results are</w:t>
      </w:r>
      <w:r w:rsidRPr="00E31B22">
        <w:t xml:space="preserve"> shown </w:t>
      </w:r>
      <w:r>
        <w:t xml:space="preserve">below in Table </w:t>
      </w:r>
      <w:r w:rsidR="009E718F">
        <w:t>1</w:t>
      </w:r>
      <w:r w:rsidR="00B23A0E">
        <w:t xml:space="preserve"> including the legal team’s assigned final topic</w:t>
      </w:r>
      <w:r>
        <w:t>.</w:t>
      </w:r>
    </w:p>
    <w:p w14:paraId="47DCAF6C" w14:textId="2F9A215F" w:rsidR="00583B07" w:rsidRDefault="00583B07" w:rsidP="00570E5D">
      <w:pPr>
        <w:pStyle w:val="Caption"/>
      </w:pPr>
      <w:r w:rsidRPr="00E31B22">
        <w:rPr>
          <w:noProof/>
        </w:rPr>
        <w:drawing>
          <wp:anchor distT="0" distB="0" distL="114300" distR="114300" simplePos="0" relativeHeight="251713536" behindDoc="0" locked="0" layoutInCell="1" allowOverlap="1" wp14:anchorId="26E368E6" wp14:editId="46FF0C4F">
            <wp:simplePos x="0" y="0"/>
            <wp:positionH relativeFrom="margin">
              <wp:align>right</wp:align>
            </wp:positionH>
            <wp:positionV relativeFrom="paragraph">
              <wp:posOffset>137374</wp:posOffset>
            </wp:positionV>
            <wp:extent cx="5943600" cy="4199890"/>
            <wp:effectExtent l="0" t="0" r="0" b="0"/>
            <wp:wrapTopAndBottom/>
            <wp:docPr id="2" name="Picture 4">
              <a:extLst xmlns:a="http://schemas.openxmlformats.org/drawingml/2006/main">
                <a:ext uri="{FF2B5EF4-FFF2-40B4-BE49-F238E27FC236}">
                  <a16:creationId xmlns:a16="http://schemas.microsoft.com/office/drawing/2014/main" id="{D5736AE5-B3DE-4C5E-A250-8411A802A4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736AE5-B3DE-4C5E-A250-8411A802A4BF}"/>
                        </a:ext>
                      </a:extLst>
                    </pic:cNvPr>
                    <pic:cNvPicPr>
                      <a:picLocks noChangeAspect="1"/>
                    </pic:cNvPicPr>
                  </pic:nvPicPr>
                  <pic:blipFill>
                    <a:blip r:embed="rId19">
                      <a:grayscl/>
                    </a:blip>
                    <a:stretch>
                      <a:fillRect/>
                    </a:stretch>
                  </pic:blipFill>
                  <pic:spPr>
                    <a:xfrm>
                      <a:off x="0" y="0"/>
                      <a:ext cx="5943600" cy="4199890"/>
                    </a:xfrm>
                    <a:prstGeom prst="rect">
                      <a:avLst/>
                    </a:prstGeom>
                  </pic:spPr>
                </pic:pic>
              </a:graphicData>
            </a:graphic>
          </wp:anchor>
        </w:drawing>
      </w:r>
    </w:p>
    <w:p w14:paraId="03DBEB6D" w14:textId="27F2FB29" w:rsidR="00570E5D" w:rsidRDefault="00570E5D" w:rsidP="00570E5D">
      <w:pPr>
        <w:pStyle w:val="Caption"/>
      </w:pPr>
      <w:r>
        <w:t xml:space="preserve">Table </w:t>
      </w:r>
      <w:r w:rsidR="009E718F">
        <w:t>1</w:t>
      </w:r>
      <w:r>
        <w:t>. Benchmark LDA Topic Results</w:t>
      </w:r>
    </w:p>
    <w:p w14:paraId="2ACA0295" w14:textId="2A6D001A" w:rsidR="00EC5EA9" w:rsidRPr="00EC5EA9" w:rsidRDefault="00EC5EA9" w:rsidP="00EC5EA9">
      <w:pPr>
        <w:pStyle w:val="Heading2"/>
      </w:pPr>
    </w:p>
    <w:p w14:paraId="47F7E62D" w14:textId="481DC5A9" w:rsidR="00DF276D" w:rsidRDefault="0005266C" w:rsidP="00A21863">
      <w:pPr>
        <w:pStyle w:val="Heading1"/>
      </w:pPr>
      <w:r>
        <w:lastRenderedPageBreak/>
        <w:t>Bibliography and Credits</w:t>
      </w:r>
    </w:p>
    <w:p w14:paraId="55F6C5F4" w14:textId="577E5366" w:rsidR="00024587" w:rsidRPr="005B713D" w:rsidRDefault="00024587" w:rsidP="00024587">
      <w:pPr>
        <w:rPr>
          <w:lang w:val="en-US"/>
        </w:rPr>
      </w:pPr>
    </w:p>
    <w:p w14:paraId="64959FCD" w14:textId="3F0D1FC1" w:rsidR="00DF276D" w:rsidRDefault="0005266C">
      <w:pPr>
        <w:numPr>
          <w:ilvl w:val="0"/>
          <w:numId w:val="1"/>
        </w:numPr>
        <w:rPr>
          <w:color w:val="0E101A"/>
        </w:rPr>
      </w:pPr>
      <w:proofErr w:type="spellStart"/>
      <w:r>
        <w:rPr>
          <w:color w:val="0E101A"/>
        </w:rPr>
        <w:t>Blei</w:t>
      </w:r>
      <w:proofErr w:type="spellEnd"/>
      <w:r>
        <w:rPr>
          <w:color w:val="0E101A"/>
        </w:rPr>
        <w:t xml:space="preserve">, D.M.; Ng, A.Y.; Jordan, M.I. Latent </w:t>
      </w:r>
      <w:proofErr w:type="spellStart"/>
      <w:r>
        <w:rPr>
          <w:color w:val="0E101A"/>
        </w:rPr>
        <w:t>dirichlet</w:t>
      </w:r>
      <w:proofErr w:type="spellEnd"/>
      <w:r>
        <w:rPr>
          <w:color w:val="0E101A"/>
        </w:rPr>
        <w:t xml:space="preserve"> allocation. J. Mach. Learn. Res. 2003, 3, 993–1022.</w:t>
      </w:r>
    </w:p>
    <w:p w14:paraId="5B205A68" w14:textId="77777777" w:rsidR="00DF276D" w:rsidRDefault="0005266C">
      <w:pPr>
        <w:numPr>
          <w:ilvl w:val="0"/>
          <w:numId w:val="1"/>
        </w:numPr>
        <w:pBdr>
          <w:top w:val="nil"/>
          <w:left w:val="nil"/>
          <w:bottom w:val="nil"/>
          <w:right w:val="nil"/>
          <w:between w:val="nil"/>
        </w:pBdr>
        <w:rPr>
          <w:color w:val="0E101A"/>
        </w:rPr>
      </w:pPr>
      <w:proofErr w:type="spellStart"/>
      <w:r>
        <w:rPr>
          <w:color w:val="0E101A"/>
        </w:rPr>
        <w:t>Blei</w:t>
      </w:r>
      <w:proofErr w:type="spellEnd"/>
      <w:r>
        <w:rPr>
          <w:color w:val="0E101A"/>
        </w:rPr>
        <w:t xml:space="preserve">, D.M.; Ng, A.Y.; Jordan, M.I. Latent </w:t>
      </w:r>
      <w:proofErr w:type="spellStart"/>
      <w:r>
        <w:rPr>
          <w:color w:val="0E101A"/>
        </w:rPr>
        <w:t>dirichlet</w:t>
      </w:r>
      <w:proofErr w:type="spellEnd"/>
      <w:r>
        <w:rPr>
          <w:color w:val="0E101A"/>
        </w:rPr>
        <w:t xml:space="preserve"> allocation. In Advances in Neural Information Processing Systems; University of California: Berkeley, CA, USA, 2002; pp. 601–608.</w:t>
      </w:r>
    </w:p>
    <w:p w14:paraId="7A6B91E0" w14:textId="77777777" w:rsidR="0026295B" w:rsidRDefault="0026295B" w:rsidP="0026295B">
      <w:pPr>
        <w:numPr>
          <w:ilvl w:val="0"/>
          <w:numId w:val="1"/>
        </w:numPr>
        <w:pBdr>
          <w:top w:val="nil"/>
          <w:left w:val="nil"/>
          <w:bottom w:val="nil"/>
          <w:right w:val="nil"/>
          <w:between w:val="nil"/>
        </w:pBdr>
        <w:rPr>
          <w:color w:val="0E101A"/>
        </w:rPr>
      </w:pPr>
      <w:r w:rsidRPr="00B33CF0">
        <w:rPr>
          <w:color w:val="0E101A"/>
        </w:rPr>
        <w:t xml:space="preserve">Chuang, Manning, C., &amp; </w:t>
      </w:r>
      <w:proofErr w:type="spellStart"/>
      <w:r w:rsidRPr="00B33CF0">
        <w:rPr>
          <w:color w:val="0E101A"/>
        </w:rPr>
        <w:t>Heer</w:t>
      </w:r>
      <w:proofErr w:type="spellEnd"/>
      <w:r w:rsidRPr="00B33CF0">
        <w:rPr>
          <w:color w:val="0E101A"/>
        </w:rPr>
        <w:t xml:space="preserve">, J. (2012). </w:t>
      </w:r>
      <w:hyperlink r:id="rId20" w:history="1">
        <w:r w:rsidRPr="006E241D">
          <w:rPr>
            <w:rStyle w:val="Hyperlink"/>
          </w:rPr>
          <w:t>Termite. Proceedings of the International Working Conference on Advanced Visual Interfaces</w:t>
        </w:r>
      </w:hyperlink>
      <w:r w:rsidRPr="00B33CF0">
        <w:rPr>
          <w:color w:val="0E101A"/>
        </w:rPr>
        <w:t xml:space="preserve">, 74–77. </w:t>
      </w:r>
      <w:hyperlink r:id="rId21" w:history="1">
        <w:r w:rsidRPr="00C02A97">
          <w:rPr>
            <w:rStyle w:val="Hyperlink"/>
          </w:rPr>
          <w:t>https://doi.org/10.1145/2254556.2254572</w:t>
        </w:r>
      </w:hyperlink>
    </w:p>
    <w:p w14:paraId="0BC82AF3" w14:textId="77777777" w:rsidR="0026295B" w:rsidRDefault="0026295B" w:rsidP="0026295B">
      <w:pPr>
        <w:numPr>
          <w:ilvl w:val="0"/>
          <w:numId w:val="1"/>
        </w:numPr>
        <w:pBdr>
          <w:top w:val="nil"/>
          <w:left w:val="nil"/>
          <w:bottom w:val="nil"/>
          <w:right w:val="nil"/>
          <w:between w:val="nil"/>
        </w:pBdr>
        <w:rPr>
          <w:color w:val="0E101A"/>
        </w:rPr>
      </w:pPr>
      <w:r w:rsidRPr="000F77ED">
        <w:rPr>
          <w:color w:val="0E101A"/>
        </w:rPr>
        <w:t xml:space="preserve">S. </w:t>
      </w:r>
      <w:proofErr w:type="spellStart"/>
      <w:r w:rsidRPr="000F77ED">
        <w:rPr>
          <w:color w:val="0E101A"/>
        </w:rPr>
        <w:t>Kullback</w:t>
      </w:r>
      <w:proofErr w:type="spellEnd"/>
      <w:r w:rsidRPr="000F77ED">
        <w:rPr>
          <w:color w:val="0E101A"/>
        </w:rPr>
        <w:t xml:space="preserve"> and R. A. </w:t>
      </w:r>
      <w:proofErr w:type="spellStart"/>
      <w:r w:rsidRPr="000F77ED">
        <w:rPr>
          <w:color w:val="0E101A"/>
        </w:rPr>
        <w:t>Leibler</w:t>
      </w:r>
      <w:proofErr w:type="spellEnd"/>
      <w:r w:rsidRPr="000F77ED">
        <w:rPr>
          <w:color w:val="0E101A"/>
        </w:rPr>
        <w:t xml:space="preserve">. On information and </w:t>
      </w:r>
      <w:proofErr w:type="spellStart"/>
      <w:proofErr w:type="gramStart"/>
      <w:r w:rsidRPr="000F77ED">
        <w:rPr>
          <w:color w:val="0E101A"/>
        </w:rPr>
        <w:t>sufficiency.Annals</w:t>
      </w:r>
      <w:proofErr w:type="spellEnd"/>
      <w:proofErr w:type="gramEnd"/>
      <w:r w:rsidRPr="000F77ED">
        <w:rPr>
          <w:color w:val="0E101A"/>
        </w:rPr>
        <w:t xml:space="preserve"> of Mathematical Statistics, 22(1):79-86, 1951.</w:t>
      </w:r>
    </w:p>
    <w:p w14:paraId="58B0B7AA" w14:textId="77777777" w:rsidR="0026295B" w:rsidRPr="004F28B8" w:rsidRDefault="0026295B" w:rsidP="0026295B">
      <w:pPr>
        <w:pStyle w:val="ListParagraph"/>
        <w:numPr>
          <w:ilvl w:val="0"/>
          <w:numId w:val="1"/>
        </w:numPr>
        <w:rPr>
          <w:lang w:val="en-US"/>
        </w:rPr>
      </w:pPr>
      <w:r w:rsidRPr="00933D8D">
        <w:rPr>
          <w:lang w:val="en-US"/>
        </w:rPr>
        <w:t>Mower, Jeffrey P. (2005-04-12). "PREP-Mt: predictive RNA editor for plant mitochondrial genes". BMC Bioinformatics. 6: 96. doi:10.1186/1471-2105-6-96. ISSN 1471-2105. PMC 1087475. PMID 15826309.</w:t>
      </w:r>
    </w:p>
    <w:p w14:paraId="69758454" w14:textId="3425A5E3" w:rsidR="008B3A92" w:rsidRPr="0026295B" w:rsidRDefault="0026295B" w:rsidP="0026295B">
      <w:pPr>
        <w:numPr>
          <w:ilvl w:val="0"/>
          <w:numId w:val="1"/>
        </w:numPr>
        <w:pBdr>
          <w:top w:val="nil"/>
          <w:left w:val="nil"/>
          <w:bottom w:val="nil"/>
          <w:right w:val="nil"/>
          <w:between w:val="nil"/>
        </w:pBdr>
        <w:rPr>
          <w:color w:val="0E101A"/>
        </w:rPr>
      </w:pPr>
      <w:r w:rsidRPr="00D42148">
        <w:t xml:space="preserve">Sievert, Carson &amp; Shirley, Kenneth. (2014). </w:t>
      </w:r>
      <w:hyperlink r:id="rId22" w:history="1">
        <w:proofErr w:type="spellStart"/>
        <w:r w:rsidRPr="00A93596">
          <w:rPr>
            <w:rStyle w:val="Hyperlink"/>
          </w:rPr>
          <w:t>LDAvis</w:t>
        </w:r>
        <w:proofErr w:type="spellEnd"/>
        <w:r w:rsidRPr="00A93596">
          <w:rPr>
            <w:rStyle w:val="Hyperlink"/>
          </w:rPr>
          <w:t>: A method for visualizing and interpreting topics</w:t>
        </w:r>
      </w:hyperlink>
      <w:r w:rsidRPr="00D42148">
        <w:t>. 10.13140/2.1.1394.3043.</w:t>
      </w:r>
    </w:p>
    <w:sectPr w:rsidR="008B3A92" w:rsidRPr="0026295B">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241AD" w14:textId="77777777" w:rsidR="002806A4" w:rsidRDefault="002806A4">
      <w:pPr>
        <w:spacing w:line="240" w:lineRule="auto"/>
      </w:pPr>
      <w:r>
        <w:separator/>
      </w:r>
    </w:p>
  </w:endnote>
  <w:endnote w:type="continuationSeparator" w:id="0">
    <w:p w14:paraId="24C6404B" w14:textId="77777777" w:rsidR="002806A4" w:rsidRDefault="00280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F6EB" w14:textId="3DD1B9D5" w:rsidR="00DF276D" w:rsidRPr="00552657" w:rsidRDefault="0005266C">
    <w:pPr>
      <w:rPr>
        <w:sz w:val="20"/>
        <w:szCs w:val="20"/>
      </w:rPr>
    </w:pPr>
    <w:r w:rsidRPr="00552657">
      <w:rPr>
        <w:sz w:val="20"/>
        <w:szCs w:val="20"/>
      </w:rPr>
      <w:t>N. Abramson</w:t>
    </w:r>
    <w:r w:rsidR="0030134F" w:rsidRPr="00552657">
      <w:rPr>
        <w:sz w:val="20"/>
        <w:szCs w:val="20"/>
      </w:rPr>
      <w:t xml:space="preserve"> OMSA Spring 2022</w:t>
    </w:r>
    <w:r w:rsidRPr="00552657">
      <w:rPr>
        <w:sz w:val="20"/>
        <w:szCs w:val="20"/>
      </w:rPr>
      <w:tab/>
    </w:r>
    <w:r w:rsidRPr="00552657">
      <w:rPr>
        <w:sz w:val="20"/>
        <w:szCs w:val="20"/>
      </w:rPr>
      <w:tab/>
      <w:t xml:space="preserve">   </w:t>
    </w:r>
    <w:r w:rsidR="0030134F" w:rsidRPr="00552657">
      <w:rPr>
        <w:sz w:val="20"/>
        <w:szCs w:val="20"/>
      </w:rPr>
      <w:t xml:space="preserve">        </w:t>
    </w:r>
    <w:r w:rsidRPr="00552657">
      <w:rPr>
        <w:sz w:val="20"/>
        <w:szCs w:val="20"/>
      </w:rPr>
      <w:fldChar w:fldCharType="begin"/>
    </w:r>
    <w:r w:rsidRPr="00552657">
      <w:rPr>
        <w:sz w:val="20"/>
        <w:szCs w:val="20"/>
      </w:rPr>
      <w:instrText>PAGE</w:instrText>
    </w:r>
    <w:r w:rsidRPr="00552657">
      <w:rPr>
        <w:sz w:val="20"/>
        <w:szCs w:val="20"/>
      </w:rPr>
      <w:fldChar w:fldCharType="separate"/>
    </w:r>
    <w:r w:rsidR="00440E96" w:rsidRPr="00552657">
      <w:rPr>
        <w:noProof/>
        <w:sz w:val="20"/>
        <w:szCs w:val="20"/>
      </w:rPr>
      <w:t>1</w:t>
    </w:r>
    <w:r w:rsidRPr="00552657">
      <w:rPr>
        <w:sz w:val="20"/>
        <w:szCs w:val="20"/>
      </w:rPr>
      <w:fldChar w:fldCharType="end"/>
    </w:r>
    <w:r w:rsidR="00372172" w:rsidRPr="00552657">
      <w:rPr>
        <w:sz w:val="20"/>
        <w:szCs w:val="20"/>
      </w:rPr>
      <w:tab/>
      <w:t xml:space="preserve">                             GaTech Practicum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4563" w14:textId="77777777" w:rsidR="002806A4" w:rsidRDefault="002806A4">
      <w:pPr>
        <w:spacing w:line="240" w:lineRule="auto"/>
      </w:pPr>
      <w:r>
        <w:separator/>
      </w:r>
    </w:p>
  </w:footnote>
  <w:footnote w:type="continuationSeparator" w:id="0">
    <w:p w14:paraId="3EB77057" w14:textId="77777777" w:rsidR="002806A4" w:rsidRDefault="002806A4">
      <w:pPr>
        <w:spacing w:line="240" w:lineRule="auto"/>
      </w:pPr>
      <w:r>
        <w:continuationSeparator/>
      </w:r>
    </w:p>
  </w:footnote>
  <w:footnote w:id="1">
    <w:p w14:paraId="0374750E" w14:textId="77777777" w:rsidR="00985119" w:rsidRDefault="00985119" w:rsidP="00985119">
      <w:pPr>
        <w:pStyle w:val="Footnote"/>
        <w:rPr>
          <w:vertAlign w:val="superscript"/>
        </w:rPr>
      </w:pPr>
      <w:r>
        <w:rPr>
          <w:vertAlign w:val="superscript"/>
        </w:rPr>
        <w:footnoteRef/>
      </w:r>
      <w:r>
        <w:rPr>
          <w:highlight w:val="white"/>
          <w:vertAlign w:val="superscript"/>
        </w:rPr>
        <w:t xml:space="preserve"> </w:t>
      </w:r>
      <w:r w:rsidRPr="00CE63D4">
        <w:rPr>
          <w:highlight w:val="white"/>
        </w:rPr>
        <w:t>Blei, D.M.; Ng, A.Y.; Jordan, M.I. Latent Dirichlet allocation. J. Mach. Learn. Res. 2003, 3, 993–1022.</w:t>
      </w:r>
    </w:p>
  </w:footnote>
  <w:footnote w:id="2">
    <w:p w14:paraId="25BB5821" w14:textId="77777777" w:rsidR="00985119" w:rsidRPr="00D51B25" w:rsidRDefault="00985119" w:rsidP="00985119">
      <w:pPr>
        <w:pStyle w:val="Footnote"/>
        <w:rPr>
          <w:vertAlign w:val="superscript"/>
        </w:rPr>
      </w:pPr>
      <w:r>
        <w:rPr>
          <w:vertAlign w:val="superscript"/>
        </w:rPr>
        <w:footnoteRef/>
      </w:r>
      <w:r>
        <w:rPr>
          <w:highlight w:val="white"/>
          <w:vertAlign w:val="superscript"/>
        </w:rPr>
        <w:t xml:space="preserve"> </w:t>
      </w:r>
      <w:r w:rsidRPr="00D51B25">
        <w:t>Blei, D.M.; Ng, A.Y.; Jordan, M.I. Latent Dirichlet allocation. In Advances in Neural Information Processing Systems; University of California: Berkeley, CA, USA, 2002; pp. 601–608.</w:t>
      </w:r>
    </w:p>
  </w:footnote>
  <w:footnote w:id="3">
    <w:p w14:paraId="1A7EA108" w14:textId="77777777" w:rsidR="005526C7" w:rsidRPr="00394E2E" w:rsidRDefault="005526C7" w:rsidP="005526C7">
      <w:pPr>
        <w:pStyle w:val="Footnote"/>
      </w:pPr>
      <w:r>
        <w:rPr>
          <w:rStyle w:val="FootnoteReference"/>
        </w:rPr>
        <w:footnoteRef/>
      </w:r>
      <w:r>
        <w:t xml:space="preserve"> Chuang, Manning, C., &amp; Heer, J. (2012). </w:t>
      </w:r>
      <w:hyperlink r:id="rId1" w:history="1">
        <w:r w:rsidRPr="00A733B3">
          <w:rPr>
            <w:rStyle w:val="Hyperlink"/>
          </w:rPr>
          <w:t>Termite. Proceedings of the International Working Conference on Advanced Visual Interfaces</w:t>
        </w:r>
      </w:hyperlink>
      <w:r>
        <w:t>, 74–77. https://doi.org/10.1145/2254556.2254572</w:t>
      </w:r>
    </w:p>
  </w:footnote>
  <w:footnote w:id="4">
    <w:p w14:paraId="06F45D18" w14:textId="77777777" w:rsidR="005526C7" w:rsidRPr="00B46B8F" w:rsidRDefault="005526C7" w:rsidP="005526C7">
      <w:pPr>
        <w:pStyle w:val="Footnote"/>
        <w:rPr>
          <w:lang w:val="en-US"/>
        </w:rPr>
      </w:pPr>
      <w:r>
        <w:rPr>
          <w:rStyle w:val="FootnoteReference"/>
        </w:rPr>
        <w:footnoteRef/>
      </w:r>
      <w:r>
        <w:t xml:space="preserve"> S. Kullback and R. A. Leibler. On information and </w:t>
      </w:r>
      <w:proofErr w:type="gramStart"/>
      <w:r>
        <w:t>sufficiency.Annals</w:t>
      </w:r>
      <w:proofErr w:type="gramEnd"/>
      <w:r>
        <w:t xml:space="preserve"> of Mathematical Statistics, 22(1):79-86, 1951.</w:t>
      </w:r>
    </w:p>
  </w:footnote>
  <w:footnote w:id="5">
    <w:p w14:paraId="0914B7FF" w14:textId="77777777" w:rsidR="00CB68CE" w:rsidRPr="00933D8D" w:rsidRDefault="00CB68CE" w:rsidP="00CB68CE">
      <w:pPr>
        <w:pStyle w:val="Footnote"/>
      </w:pPr>
      <w:r>
        <w:rPr>
          <w:rStyle w:val="FootnoteReference"/>
        </w:rPr>
        <w:footnoteRef/>
      </w:r>
      <w:r>
        <w:t xml:space="preserve"> </w:t>
      </w:r>
      <w:r w:rsidRPr="00933D8D">
        <w:t>Mower, Jeffrey P. (2005-04-12). "PREP-Mt: predictive RNA editor for plant mitochondrial genes". BMC Bioinformatics. 6: 96. doi:10.1186/1471-2105-6-96. ISSN 1471-2105. PMC 1087475. PMID 15826309.</w:t>
      </w:r>
    </w:p>
  </w:footnote>
  <w:footnote w:id="6">
    <w:p w14:paraId="563B9BB3" w14:textId="77777777" w:rsidR="000154C2" w:rsidRPr="00555F37" w:rsidRDefault="000154C2" w:rsidP="000154C2">
      <w:pPr>
        <w:pStyle w:val="Footnote"/>
        <w:rPr>
          <w:lang w:val="en-US"/>
        </w:rPr>
      </w:pPr>
      <w:r>
        <w:rPr>
          <w:rStyle w:val="FootnoteReference"/>
        </w:rPr>
        <w:footnoteRef/>
      </w:r>
      <w:r>
        <w:t xml:space="preserve"> </w:t>
      </w:r>
      <w:r w:rsidRPr="00CE63D4">
        <w:t xml:space="preserve">Sievert, Carson &amp; Shirley, Kenneth. (2014). </w:t>
      </w:r>
      <w:hyperlink r:id="rId2" w:history="1">
        <w:r w:rsidRPr="00D42148">
          <w:rPr>
            <w:rStyle w:val="Hyperlink"/>
          </w:rPr>
          <w:t>LDAvis: A method for visualizing and interpreting topics</w:t>
        </w:r>
      </w:hyperlink>
      <w:r w:rsidRPr="00CE63D4">
        <w:t>. 10.13140/2.1.1394.3043.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14FE" w14:textId="79904EE8" w:rsidR="00DF276D" w:rsidRDefault="00BC3051" w:rsidP="003E207B">
    <w:pPr>
      <w:jc w:val="center"/>
      <w:rPr>
        <w:sz w:val="48"/>
        <w:szCs w:val="48"/>
      </w:rPr>
    </w:pPr>
    <w:r w:rsidRPr="003E207B">
      <w:rPr>
        <w:sz w:val="48"/>
        <w:szCs w:val="48"/>
      </w:rPr>
      <w:t>Practicum</w:t>
    </w:r>
  </w:p>
  <w:p w14:paraId="0977F631" w14:textId="77777777" w:rsidR="00792349" w:rsidRPr="00792349" w:rsidRDefault="00792349" w:rsidP="00792349">
    <w:pPr>
      <w:jc w:val="center"/>
    </w:pPr>
    <w:r w:rsidRPr="00792349">
      <w:t>Spring 2022 MGT - 6748</w:t>
    </w:r>
  </w:p>
  <w:p w14:paraId="5A2C7DA8" w14:textId="77777777" w:rsidR="00792349" w:rsidRPr="00792349" w:rsidRDefault="00792349" w:rsidP="00792349">
    <w:pPr>
      <w:jc w:val="center"/>
    </w:pPr>
    <w:r w:rsidRPr="00792349">
      <w:t>Nancy Abramson - (789) - nabramson@gatech.edu</w:t>
    </w:r>
  </w:p>
  <w:p w14:paraId="3030189D" w14:textId="1D1E569F" w:rsidR="00792349" w:rsidRDefault="00792349" w:rsidP="00792349">
    <w:pPr>
      <w:jc w:val="center"/>
    </w:pPr>
    <w:r>
      <w:t>April 20</w:t>
    </w:r>
    <w:r w:rsidRPr="00792349">
      <w:t>, 2022</w:t>
    </w:r>
  </w:p>
  <w:p w14:paraId="2FEDE635" w14:textId="77777777" w:rsidR="00294AD9" w:rsidRPr="003E207B" w:rsidRDefault="00294AD9" w:rsidP="0079234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512"/>
    <w:multiLevelType w:val="hybridMultilevel"/>
    <w:tmpl w:val="3A12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E0816"/>
    <w:multiLevelType w:val="hybridMultilevel"/>
    <w:tmpl w:val="2C7A976C"/>
    <w:lvl w:ilvl="0" w:tplc="04090001">
      <w:start w:val="1"/>
      <w:numFmt w:val="bullet"/>
      <w:lvlText w:val=""/>
      <w:lvlJc w:val="left"/>
      <w:pPr>
        <w:ind w:left="720" w:hanging="360"/>
      </w:pPr>
      <w:rPr>
        <w:rFonts w:ascii="Symbol" w:hAnsi="Symbol" w:hint="default"/>
      </w:rPr>
    </w:lvl>
    <w:lvl w:ilvl="1" w:tplc="8E26AB60">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626B8"/>
    <w:multiLevelType w:val="hybridMultilevel"/>
    <w:tmpl w:val="201A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64DD2"/>
    <w:multiLevelType w:val="hybridMultilevel"/>
    <w:tmpl w:val="7F6E4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17332"/>
    <w:multiLevelType w:val="multilevel"/>
    <w:tmpl w:val="1A629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115B88"/>
    <w:multiLevelType w:val="hybridMultilevel"/>
    <w:tmpl w:val="6E84284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43A5EC9"/>
    <w:multiLevelType w:val="hybridMultilevel"/>
    <w:tmpl w:val="4A3E8C26"/>
    <w:lvl w:ilvl="0" w:tplc="EE10981C">
      <w:start w:val="1"/>
      <w:numFmt w:val="bullet"/>
      <w:pStyle w:val="Heading3"/>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0C52CF"/>
    <w:multiLevelType w:val="hybridMultilevel"/>
    <w:tmpl w:val="3E2E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A2AFC"/>
    <w:multiLevelType w:val="hybridMultilevel"/>
    <w:tmpl w:val="7F50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048059">
    <w:abstractNumId w:val="4"/>
  </w:num>
  <w:num w:numId="2" w16cid:durableId="440804991">
    <w:abstractNumId w:val="6"/>
  </w:num>
  <w:num w:numId="3" w16cid:durableId="1866628773">
    <w:abstractNumId w:val="0"/>
  </w:num>
  <w:num w:numId="4" w16cid:durableId="633602376">
    <w:abstractNumId w:val="1"/>
  </w:num>
  <w:num w:numId="5" w16cid:durableId="434519059">
    <w:abstractNumId w:val="7"/>
  </w:num>
  <w:num w:numId="6" w16cid:durableId="1522355742">
    <w:abstractNumId w:val="5"/>
  </w:num>
  <w:num w:numId="7" w16cid:durableId="624117892">
    <w:abstractNumId w:val="8"/>
  </w:num>
  <w:num w:numId="8" w16cid:durableId="120345389">
    <w:abstractNumId w:val="3"/>
  </w:num>
  <w:num w:numId="9" w16cid:durableId="621612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6D"/>
    <w:rsid w:val="00013E08"/>
    <w:rsid w:val="000154C2"/>
    <w:rsid w:val="00024587"/>
    <w:rsid w:val="00024E20"/>
    <w:rsid w:val="000343B8"/>
    <w:rsid w:val="00047795"/>
    <w:rsid w:val="0005266C"/>
    <w:rsid w:val="00061252"/>
    <w:rsid w:val="000823B6"/>
    <w:rsid w:val="00092423"/>
    <w:rsid w:val="000A61AA"/>
    <w:rsid w:val="000C1514"/>
    <w:rsid w:val="000C7126"/>
    <w:rsid w:val="000E3C0D"/>
    <w:rsid w:val="000E42A8"/>
    <w:rsid w:val="000E527B"/>
    <w:rsid w:val="000F0BB6"/>
    <w:rsid w:val="000F0FD5"/>
    <w:rsid w:val="000F1C0C"/>
    <w:rsid w:val="000F276C"/>
    <w:rsid w:val="000F42B6"/>
    <w:rsid w:val="000F70BF"/>
    <w:rsid w:val="000F77ED"/>
    <w:rsid w:val="001018B9"/>
    <w:rsid w:val="00101CBB"/>
    <w:rsid w:val="00104CA5"/>
    <w:rsid w:val="001051E4"/>
    <w:rsid w:val="00117B81"/>
    <w:rsid w:val="00120D74"/>
    <w:rsid w:val="00123693"/>
    <w:rsid w:val="00126C06"/>
    <w:rsid w:val="0013302C"/>
    <w:rsid w:val="00136060"/>
    <w:rsid w:val="00143941"/>
    <w:rsid w:val="0014559C"/>
    <w:rsid w:val="00152E89"/>
    <w:rsid w:val="00153492"/>
    <w:rsid w:val="001538FD"/>
    <w:rsid w:val="0016531B"/>
    <w:rsid w:val="00174DB0"/>
    <w:rsid w:val="001755AB"/>
    <w:rsid w:val="001825BD"/>
    <w:rsid w:val="0018282B"/>
    <w:rsid w:val="00185489"/>
    <w:rsid w:val="00185B4C"/>
    <w:rsid w:val="00186933"/>
    <w:rsid w:val="00191438"/>
    <w:rsid w:val="00193979"/>
    <w:rsid w:val="001B7669"/>
    <w:rsid w:val="001C489D"/>
    <w:rsid w:val="001D12F1"/>
    <w:rsid w:val="001E0838"/>
    <w:rsid w:val="001F1420"/>
    <w:rsid w:val="001F2A74"/>
    <w:rsid w:val="001F70C2"/>
    <w:rsid w:val="00203BCC"/>
    <w:rsid w:val="002144DF"/>
    <w:rsid w:val="002151E6"/>
    <w:rsid w:val="00231635"/>
    <w:rsid w:val="00234376"/>
    <w:rsid w:val="002474E7"/>
    <w:rsid w:val="00256723"/>
    <w:rsid w:val="0026295B"/>
    <w:rsid w:val="002641CF"/>
    <w:rsid w:val="00264B1D"/>
    <w:rsid w:val="0027055A"/>
    <w:rsid w:val="002806A4"/>
    <w:rsid w:val="00282F6B"/>
    <w:rsid w:val="00282FC0"/>
    <w:rsid w:val="002903BA"/>
    <w:rsid w:val="00294AD9"/>
    <w:rsid w:val="002A1554"/>
    <w:rsid w:val="002B3766"/>
    <w:rsid w:val="002C0C04"/>
    <w:rsid w:val="002E61BA"/>
    <w:rsid w:val="002F5E21"/>
    <w:rsid w:val="0030134F"/>
    <w:rsid w:val="00306D36"/>
    <w:rsid w:val="00307027"/>
    <w:rsid w:val="00307F98"/>
    <w:rsid w:val="0031153A"/>
    <w:rsid w:val="003120E7"/>
    <w:rsid w:val="003334FD"/>
    <w:rsid w:val="00336B5E"/>
    <w:rsid w:val="00342B8A"/>
    <w:rsid w:val="00343102"/>
    <w:rsid w:val="003508FB"/>
    <w:rsid w:val="00355D32"/>
    <w:rsid w:val="00360EDB"/>
    <w:rsid w:val="00371D3B"/>
    <w:rsid w:val="00372172"/>
    <w:rsid w:val="00375D85"/>
    <w:rsid w:val="00394E2E"/>
    <w:rsid w:val="003A1908"/>
    <w:rsid w:val="003A4EDC"/>
    <w:rsid w:val="003B253B"/>
    <w:rsid w:val="003B5540"/>
    <w:rsid w:val="003E207B"/>
    <w:rsid w:val="003E4AEE"/>
    <w:rsid w:val="003F1EF6"/>
    <w:rsid w:val="0040372C"/>
    <w:rsid w:val="0040484A"/>
    <w:rsid w:val="004264BE"/>
    <w:rsid w:val="004378EA"/>
    <w:rsid w:val="004400D7"/>
    <w:rsid w:val="00440E96"/>
    <w:rsid w:val="00453FB6"/>
    <w:rsid w:val="004547D5"/>
    <w:rsid w:val="0045665B"/>
    <w:rsid w:val="00486987"/>
    <w:rsid w:val="0049392D"/>
    <w:rsid w:val="0049457F"/>
    <w:rsid w:val="004A0155"/>
    <w:rsid w:val="004A1C82"/>
    <w:rsid w:val="004B34BA"/>
    <w:rsid w:val="004B537B"/>
    <w:rsid w:val="004E2CDD"/>
    <w:rsid w:val="004E5D5F"/>
    <w:rsid w:val="004F28B8"/>
    <w:rsid w:val="005071D4"/>
    <w:rsid w:val="00522068"/>
    <w:rsid w:val="0054742A"/>
    <w:rsid w:val="00551D9D"/>
    <w:rsid w:val="00552657"/>
    <w:rsid w:val="005526C7"/>
    <w:rsid w:val="00555F37"/>
    <w:rsid w:val="00563C6B"/>
    <w:rsid w:val="00566AA0"/>
    <w:rsid w:val="00570394"/>
    <w:rsid w:val="00570E5D"/>
    <w:rsid w:val="00573B1A"/>
    <w:rsid w:val="00583B07"/>
    <w:rsid w:val="00591183"/>
    <w:rsid w:val="005A1236"/>
    <w:rsid w:val="005A1FDF"/>
    <w:rsid w:val="005A5C1F"/>
    <w:rsid w:val="005B713D"/>
    <w:rsid w:val="005B7C94"/>
    <w:rsid w:val="005C0E9B"/>
    <w:rsid w:val="005C2B82"/>
    <w:rsid w:val="005C57F7"/>
    <w:rsid w:val="005E0637"/>
    <w:rsid w:val="005F6B3A"/>
    <w:rsid w:val="00602BE5"/>
    <w:rsid w:val="00603BD7"/>
    <w:rsid w:val="006152AE"/>
    <w:rsid w:val="006258E6"/>
    <w:rsid w:val="00654457"/>
    <w:rsid w:val="00657B79"/>
    <w:rsid w:val="0066467D"/>
    <w:rsid w:val="0066554A"/>
    <w:rsid w:val="00677351"/>
    <w:rsid w:val="00681A5B"/>
    <w:rsid w:val="006A05E6"/>
    <w:rsid w:val="006A27ED"/>
    <w:rsid w:val="006A34F0"/>
    <w:rsid w:val="006B32AB"/>
    <w:rsid w:val="006C136E"/>
    <w:rsid w:val="006C430D"/>
    <w:rsid w:val="006E241D"/>
    <w:rsid w:val="006E2F64"/>
    <w:rsid w:val="006E6C71"/>
    <w:rsid w:val="007045DF"/>
    <w:rsid w:val="00721F86"/>
    <w:rsid w:val="00725EEC"/>
    <w:rsid w:val="00741827"/>
    <w:rsid w:val="00750ABB"/>
    <w:rsid w:val="00757948"/>
    <w:rsid w:val="00792349"/>
    <w:rsid w:val="00792CC3"/>
    <w:rsid w:val="007A1D38"/>
    <w:rsid w:val="007A2498"/>
    <w:rsid w:val="007A3068"/>
    <w:rsid w:val="007A3A2E"/>
    <w:rsid w:val="007B4783"/>
    <w:rsid w:val="007C7CC1"/>
    <w:rsid w:val="007D1EBE"/>
    <w:rsid w:val="007E3209"/>
    <w:rsid w:val="007E3243"/>
    <w:rsid w:val="007F758E"/>
    <w:rsid w:val="0081229E"/>
    <w:rsid w:val="00814AF7"/>
    <w:rsid w:val="00822D5C"/>
    <w:rsid w:val="00823A8F"/>
    <w:rsid w:val="00825719"/>
    <w:rsid w:val="008258AE"/>
    <w:rsid w:val="00831FE0"/>
    <w:rsid w:val="008336AE"/>
    <w:rsid w:val="00840AA7"/>
    <w:rsid w:val="00847B19"/>
    <w:rsid w:val="008552DD"/>
    <w:rsid w:val="0085671D"/>
    <w:rsid w:val="00867DA1"/>
    <w:rsid w:val="00870A0A"/>
    <w:rsid w:val="00875B0E"/>
    <w:rsid w:val="00877686"/>
    <w:rsid w:val="00884137"/>
    <w:rsid w:val="0088599A"/>
    <w:rsid w:val="008A2972"/>
    <w:rsid w:val="008B3A92"/>
    <w:rsid w:val="008B3E36"/>
    <w:rsid w:val="008B49F7"/>
    <w:rsid w:val="008B54BD"/>
    <w:rsid w:val="008C13E7"/>
    <w:rsid w:val="008C6EC4"/>
    <w:rsid w:val="008D5361"/>
    <w:rsid w:val="008E0795"/>
    <w:rsid w:val="008E7830"/>
    <w:rsid w:val="008F07D3"/>
    <w:rsid w:val="008F32CE"/>
    <w:rsid w:val="008F6073"/>
    <w:rsid w:val="00904AD2"/>
    <w:rsid w:val="009101E8"/>
    <w:rsid w:val="0091203C"/>
    <w:rsid w:val="00913342"/>
    <w:rsid w:val="00914B1B"/>
    <w:rsid w:val="00916CDB"/>
    <w:rsid w:val="009207D4"/>
    <w:rsid w:val="0092603B"/>
    <w:rsid w:val="00933D8D"/>
    <w:rsid w:val="00936BC3"/>
    <w:rsid w:val="00951EA1"/>
    <w:rsid w:val="00953211"/>
    <w:rsid w:val="009565D8"/>
    <w:rsid w:val="00985119"/>
    <w:rsid w:val="0099587D"/>
    <w:rsid w:val="00997CD7"/>
    <w:rsid w:val="009B04F1"/>
    <w:rsid w:val="009C1779"/>
    <w:rsid w:val="009D70B2"/>
    <w:rsid w:val="009E718F"/>
    <w:rsid w:val="009F3771"/>
    <w:rsid w:val="009F4F97"/>
    <w:rsid w:val="00A171C7"/>
    <w:rsid w:val="00A21863"/>
    <w:rsid w:val="00A34BC7"/>
    <w:rsid w:val="00A406E8"/>
    <w:rsid w:val="00A42D22"/>
    <w:rsid w:val="00A436AB"/>
    <w:rsid w:val="00A630C0"/>
    <w:rsid w:val="00A725FF"/>
    <w:rsid w:val="00A733B3"/>
    <w:rsid w:val="00A857CB"/>
    <w:rsid w:val="00A93596"/>
    <w:rsid w:val="00AD5A26"/>
    <w:rsid w:val="00AD6370"/>
    <w:rsid w:val="00AE3B5B"/>
    <w:rsid w:val="00AE5264"/>
    <w:rsid w:val="00AF0839"/>
    <w:rsid w:val="00B139CD"/>
    <w:rsid w:val="00B15CC8"/>
    <w:rsid w:val="00B219F3"/>
    <w:rsid w:val="00B23A0E"/>
    <w:rsid w:val="00B25C62"/>
    <w:rsid w:val="00B25CBF"/>
    <w:rsid w:val="00B33CF0"/>
    <w:rsid w:val="00B362FA"/>
    <w:rsid w:val="00B44D78"/>
    <w:rsid w:val="00B46B8F"/>
    <w:rsid w:val="00B627F4"/>
    <w:rsid w:val="00B73BBA"/>
    <w:rsid w:val="00B812B3"/>
    <w:rsid w:val="00B850A8"/>
    <w:rsid w:val="00B85141"/>
    <w:rsid w:val="00B859EA"/>
    <w:rsid w:val="00B92DD8"/>
    <w:rsid w:val="00B9690D"/>
    <w:rsid w:val="00BA5E66"/>
    <w:rsid w:val="00BC1AED"/>
    <w:rsid w:val="00BC3051"/>
    <w:rsid w:val="00BD0ED2"/>
    <w:rsid w:val="00BD2C77"/>
    <w:rsid w:val="00BD6C95"/>
    <w:rsid w:val="00BE6156"/>
    <w:rsid w:val="00BF212B"/>
    <w:rsid w:val="00BF5E07"/>
    <w:rsid w:val="00C02886"/>
    <w:rsid w:val="00C24BA1"/>
    <w:rsid w:val="00C26DB4"/>
    <w:rsid w:val="00C27492"/>
    <w:rsid w:val="00C351BB"/>
    <w:rsid w:val="00C61C91"/>
    <w:rsid w:val="00C62DED"/>
    <w:rsid w:val="00C63EA5"/>
    <w:rsid w:val="00C7384D"/>
    <w:rsid w:val="00C77284"/>
    <w:rsid w:val="00C779FE"/>
    <w:rsid w:val="00C82D36"/>
    <w:rsid w:val="00C90315"/>
    <w:rsid w:val="00C92E17"/>
    <w:rsid w:val="00CA2B2E"/>
    <w:rsid w:val="00CB68CE"/>
    <w:rsid w:val="00CC5613"/>
    <w:rsid w:val="00CD468E"/>
    <w:rsid w:val="00CE07F0"/>
    <w:rsid w:val="00CE4293"/>
    <w:rsid w:val="00CE63D4"/>
    <w:rsid w:val="00CE770C"/>
    <w:rsid w:val="00CF495C"/>
    <w:rsid w:val="00D128BF"/>
    <w:rsid w:val="00D20AA0"/>
    <w:rsid w:val="00D21646"/>
    <w:rsid w:val="00D23D74"/>
    <w:rsid w:val="00D33F7E"/>
    <w:rsid w:val="00D42148"/>
    <w:rsid w:val="00D50574"/>
    <w:rsid w:val="00D5180D"/>
    <w:rsid w:val="00D51B25"/>
    <w:rsid w:val="00D729A6"/>
    <w:rsid w:val="00D82660"/>
    <w:rsid w:val="00D9015A"/>
    <w:rsid w:val="00D974B5"/>
    <w:rsid w:val="00DB0C7B"/>
    <w:rsid w:val="00DB70E1"/>
    <w:rsid w:val="00DC4667"/>
    <w:rsid w:val="00DC7E29"/>
    <w:rsid w:val="00DE3992"/>
    <w:rsid w:val="00DF035A"/>
    <w:rsid w:val="00DF276D"/>
    <w:rsid w:val="00DF7935"/>
    <w:rsid w:val="00E04A0F"/>
    <w:rsid w:val="00E06876"/>
    <w:rsid w:val="00E072D6"/>
    <w:rsid w:val="00E167CD"/>
    <w:rsid w:val="00E30772"/>
    <w:rsid w:val="00E31B22"/>
    <w:rsid w:val="00E34A04"/>
    <w:rsid w:val="00E539D1"/>
    <w:rsid w:val="00E561FD"/>
    <w:rsid w:val="00E64A45"/>
    <w:rsid w:val="00E64F19"/>
    <w:rsid w:val="00E662B0"/>
    <w:rsid w:val="00E67482"/>
    <w:rsid w:val="00E87036"/>
    <w:rsid w:val="00E87FE4"/>
    <w:rsid w:val="00EA7DB1"/>
    <w:rsid w:val="00EB65AF"/>
    <w:rsid w:val="00EC3449"/>
    <w:rsid w:val="00EC5EA9"/>
    <w:rsid w:val="00EE590D"/>
    <w:rsid w:val="00F01FA9"/>
    <w:rsid w:val="00F11005"/>
    <w:rsid w:val="00F11868"/>
    <w:rsid w:val="00F128FB"/>
    <w:rsid w:val="00F1378F"/>
    <w:rsid w:val="00F54552"/>
    <w:rsid w:val="00F76C5E"/>
    <w:rsid w:val="00F80433"/>
    <w:rsid w:val="00F80B80"/>
    <w:rsid w:val="00F83B62"/>
    <w:rsid w:val="00F979CC"/>
    <w:rsid w:val="00FA6849"/>
    <w:rsid w:val="00FD0991"/>
    <w:rsid w:val="00FD5604"/>
    <w:rsid w:val="00FE29A4"/>
    <w:rsid w:val="00FE4033"/>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4321C"/>
  <w15:docId w15:val="{F8AE3290-38C5-4799-ABCC-ABC9C880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uiPriority w:val="9"/>
    <w:qFormat/>
    <w:rsid w:val="00E67482"/>
    <w:pPr>
      <w:outlineLvl w:val="0"/>
    </w:pPr>
    <w:rPr>
      <w:sz w:val="26"/>
      <w:szCs w:val="26"/>
      <w:u w:val="single"/>
    </w:rPr>
  </w:style>
  <w:style w:type="paragraph" w:styleId="Heading2">
    <w:name w:val="heading 2"/>
    <w:basedOn w:val="Normal"/>
    <w:next w:val="Normal"/>
    <w:uiPriority w:val="9"/>
    <w:unhideWhenUsed/>
    <w:qFormat/>
    <w:rsid w:val="003E207B"/>
    <w:pPr>
      <w:spacing w:line="240" w:lineRule="auto"/>
      <w:outlineLvl w:val="1"/>
    </w:pPr>
    <w:rPr>
      <w:b/>
    </w:rPr>
  </w:style>
  <w:style w:type="paragraph" w:styleId="Heading3">
    <w:name w:val="heading 3"/>
    <w:basedOn w:val="Normal"/>
    <w:next w:val="Normal"/>
    <w:uiPriority w:val="9"/>
    <w:unhideWhenUsed/>
    <w:qFormat/>
    <w:rsid w:val="002474E7"/>
    <w:pPr>
      <w:numPr>
        <w:numId w:val="2"/>
      </w:numPr>
      <w:pBdr>
        <w:top w:val="nil"/>
        <w:left w:val="nil"/>
        <w:bottom w:val="nil"/>
        <w:right w:val="nil"/>
        <w:between w:val="nil"/>
      </w:pBdr>
      <w:outlineLvl w:val="2"/>
    </w:pPr>
    <w:rPr>
      <w:b/>
    </w:rPr>
  </w:style>
  <w:style w:type="paragraph" w:styleId="Heading4">
    <w:name w:val="heading 4"/>
    <w:basedOn w:val="Normal"/>
    <w:next w:val="Normal"/>
    <w:uiPriority w:val="9"/>
    <w:unhideWhenUsed/>
    <w:qFormat/>
    <w:pPr>
      <w:keepNext/>
      <w:keepLines/>
      <w:spacing w:before="360" w:after="240"/>
      <w:outlineLvl w:val="3"/>
    </w:pPr>
    <w:rPr>
      <w:b/>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3051"/>
    <w:pPr>
      <w:tabs>
        <w:tab w:val="center" w:pos="4680"/>
        <w:tab w:val="right" w:pos="9360"/>
      </w:tabs>
      <w:spacing w:line="240" w:lineRule="auto"/>
    </w:pPr>
  </w:style>
  <w:style w:type="character" w:customStyle="1" w:styleId="HeaderChar">
    <w:name w:val="Header Char"/>
    <w:basedOn w:val="DefaultParagraphFont"/>
    <w:link w:val="Header"/>
    <w:uiPriority w:val="99"/>
    <w:rsid w:val="00BC3051"/>
  </w:style>
  <w:style w:type="paragraph" w:styleId="Footer">
    <w:name w:val="footer"/>
    <w:basedOn w:val="Normal"/>
    <w:link w:val="FooterChar"/>
    <w:uiPriority w:val="99"/>
    <w:unhideWhenUsed/>
    <w:rsid w:val="00BC3051"/>
    <w:pPr>
      <w:tabs>
        <w:tab w:val="center" w:pos="4680"/>
        <w:tab w:val="right" w:pos="9360"/>
      </w:tabs>
      <w:spacing w:line="240" w:lineRule="auto"/>
    </w:pPr>
  </w:style>
  <w:style w:type="character" w:customStyle="1" w:styleId="FooterChar">
    <w:name w:val="Footer Char"/>
    <w:basedOn w:val="DefaultParagraphFont"/>
    <w:link w:val="Footer"/>
    <w:uiPriority w:val="99"/>
    <w:rsid w:val="00BC3051"/>
  </w:style>
  <w:style w:type="paragraph" w:styleId="FootnoteText">
    <w:name w:val="footnote text"/>
    <w:basedOn w:val="Normal"/>
    <w:link w:val="FootnoteTextChar"/>
    <w:uiPriority w:val="99"/>
    <w:semiHidden/>
    <w:unhideWhenUsed/>
    <w:rsid w:val="005B713D"/>
    <w:pPr>
      <w:spacing w:line="240" w:lineRule="auto"/>
    </w:pPr>
    <w:rPr>
      <w:sz w:val="20"/>
      <w:szCs w:val="20"/>
    </w:rPr>
  </w:style>
  <w:style w:type="character" w:customStyle="1" w:styleId="FootnoteTextChar">
    <w:name w:val="Footnote Text Char"/>
    <w:basedOn w:val="DefaultParagraphFont"/>
    <w:link w:val="FootnoteText"/>
    <w:uiPriority w:val="99"/>
    <w:semiHidden/>
    <w:rsid w:val="005B713D"/>
    <w:rPr>
      <w:sz w:val="20"/>
      <w:szCs w:val="20"/>
    </w:rPr>
  </w:style>
  <w:style w:type="character" w:styleId="FootnoteReference">
    <w:name w:val="footnote reference"/>
    <w:basedOn w:val="DefaultParagraphFont"/>
    <w:uiPriority w:val="99"/>
    <w:semiHidden/>
    <w:unhideWhenUsed/>
    <w:rsid w:val="005B713D"/>
    <w:rPr>
      <w:vertAlign w:val="superscript"/>
    </w:rPr>
  </w:style>
  <w:style w:type="paragraph" w:styleId="ListParagraph">
    <w:name w:val="List Paragraph"/>
    <w:basedOn w:val="Normal"/>
    <w:uiPriority w:val="34"/>
    <w:qFormat/>
    <w:rsid w:val="00024587"/>
    <w:pPr>
      <w:ind w:left="720"/>
      <w:contextualSpacing/>
    </w:pPr>
  </w:style>
  <w:style w:type="paragraph" w:customStyle="1" w:styleId="Footnote">
    <w:name w:val="Footnote"/>
    <w:basedOn w:val="Normal"/>
    <w:qFormat/>
    <w:rsid w:val="00120D74"/>
    <w:pPr>
      <w:spacing w:line="240" w:lineRule="auto"/>
    </w:pPr>
    <w:rPr>
      <w:rFonts w:ascii="Calibri" w:eastAsia="Calibri" w:hAnsi="Calibri" w:cs="Calibri"/>
      <w:color w:val="595959" w:themeColor="text1" w:themeTint="A6"/>
      <w:sz w:val="16"/>
      <w:szCs w:val="14"/>
    </w:rPr>
  </w:style>
  <w:style w:type="character" w:styleId="Hyperlink">
    <w:name w:val="Hyperlink"/>
    <w:basedOn w:val="DefaultParagraphFont"/>
    <w:uiPriority w:val="99"/>
    <w:unhideWhenUsed/>
    <w:rsid w:val="00831FE0"/>
    <w:rPr>
      <w:color w:val="0000FF" w:themeColor="hyperlink"/>
      <w:u w:val="single"/>
    </w:rPr>
  </w:style>
  <w:style w:type="character" w:styleId="UnresolvedMention">
    <w:name w:val="Unresolved Mention"/>
    <w:basedOn w:val="DefaultParagraphFont"/>
    <w:uiPriority w:val="99"/>
    <w:semiHidden/>
    <w:unhideWhenUsed/>
    <w:rsid w:val="00831FE0"/>
    <w:rPr>
      <w:color w:val="605E5C"/>
      <w:shd w:val="clear" w:color="auto" w:fill="E1DFDD"/>
    </w:rPr>
  </w:style>
  <w:style w:type="character" w:styleId="PlaceholderText">
    <w:name w:val="Placeholder Text"/>
    <w:basedOn w:val="DefaultParagraphFont"/>
    <w:uiPriority w:val="99"/>
    <w:semiHidden/>
    <w:rsid w:val="0013302C"/>
    <w:rPr>
      <w:color w:val="808080"/>
    </w:rPr>
  </w:style>
  <w:style w:type="paragraph" w:styleId="Caption">
    <w:name w:val="caption"/>
    <w:basedOn w:val="Normal"/>
    <w:next w:val="Normal"/>
    <w:uiPriority w:val="35"/>
    <w:unhideWhenUsed/>
    <w:qFormat/>
    <w:rsid w:val="009F377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3717">
      <w:bodyDiv w:val="1"/>
      <w:marLeft w:val="0"/>
      <w:marRight w:val="0"/>
      <w:marTop w:val="0"/>
      <w:marBottom w:val="0"/>
      <w:divBdr>
        <w:top w:val="none" w:sz="0" w:space="0" w:color="auto"/>
        <w:left w:val="none" w:sz="0" w:space="0" w:color="auto"/>
        <w:bottom w:val="none" w:sz="0" w:space="0" w:color="auto"/>
        <w:right w:val="none" w:sz="0" w:space="0" w:color="auto"/>
      </w:divBdr>
    </w:div>
    <w:div w:id="187985561">
      <w:bodyDiv w:val="1"/>
      <w:marLeft w:val="0"/>
      <w:marRight w:val="0"/>
      <w:marTop w:val="0"/>
      <w:marBottom w:val="0"/>
      <w:divBdr>
        <w:top w:val="none" w:sz="0" w:space="0" w:color="auto"/>
        <w:left w:val="none" w:sz="0" w:space="0" w:color="auto"/>
        <w:bottom w:val="none" w:sz="0" w:space="0" w:color="auto"/>
        <w:right w:val="none" w:sz="0" w:space="0" w:color="auto"/>
      </w:divBdr>
    </w:div>
    <w:div w:id="937952879">
      <w:bodyDiv w:val="1"/>
      <w:marLeft w:val="0"/>
      <w:marRight w:val="0"/>
      <w:marTop w:val="0"/>
      <w:marBottom w:val="0"/>
      <w:divBdr>
        <w:top w:val="none" w:sz="0" w:space="0" w:color="auto"/>
        <w:left w:val="none" w:sz="0" w:space="0" w:color="auto"/>
        <w:bottom w:val="none" w:sz="0" w:space="0" w:color="auto"/>
        <w:right w:val="none" w:sz="0" w:space="0" w:color="auto"/>
      </w:divBdr>
    </w:div>
    <w:div w:id="1730958632">
      <w:bodyDiv w:val="1"/>
      <w:marLeft w:val="0"/>
      <w:marRight w:val="0"/>
      <w:marTop w:val="0"/>
      <w:marBottom w:val="0"/>
      <w:divBdr>
        <w:top w:val="none" w:sz="0" w:space="0" w:color="auto"/>
        <w:left w:val="none" w:sz="0" w:space="0" w:color="auto"/>
        <w:bottom w:val="none" w:sz="0" w:space="0" w:color="auto"/>
        <w:right w:val="none" w:sz="0" w:space="0" w:color="auto"/>
      </w:divBdr>
    </w:div>
    <w:div w:id="1824664286">
      <w:bodyDiv w:val="1"/>
      <w:marLeft w:val="0"/>
      <w:marRight w:val="0"/>
      <w:marTop w:val="0"/>
      <w:marBottom w:val="0"/>
      <w:divBdr>
        <w:top w:val="none" w:sz="0" w:space="0" w:color="auto"/>
        <w:left w:val="none" w:sz="0" w:space="0" w:color="auto"/>
        <w:bottom w:val="none" w:sz="0" w:space="0" w:color="auto"/>
        <w:right w:val="none" w:sz="0" w:space="0" w:color="auto"/>
      </w:divBdr>
    </w:div>
    <w:div w:id="2132283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45/2254556.2254572"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vis.stanford.edu/files/2012-Termite-AV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s://nlp.stanford.edu/events/illvi2014/papers/sievert-illvi2014.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nlp.stanford.edu/events/illvi2014/papers/sievert-illvi2014.pdf" TargetMode="External"/><Relationship Id="rId1" Type="http://schemas.openxmlformats.org/officeDocument/2006/relationships/hyperlink" Target="http://vis.stanford.edu/files/2012-Termite-AVI.pdf"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6FF5FD-CD63-464B-9565-D9A5891AE979}" type="doc">
      <dgm:prSet loTypeId="urn:microsoft.com/office/officeart/2005/8/layout/cycle8" loCatId="cycle" qsTypeId="urn:microsoft.com/office/officeart/2005/8/quickstyle/simple5" qsCatId="simple" csTypeId="urn:microsoft.com/office/officeart/2005/8/colors/colorful4" csCatId="colorful" phldr="1"/>
      <dgm:spPr/>
    </dgm:pt>
    <dgm:pt modelId="{04C69BB2-0F4B-4566-81C3-BCAA7E48DFE0}">
      <dgm:prSet phldrT="[Text]" custT="1"/>
      <dgm:spPr>
        <a:solidFill>
          <a:srgbClr val="00BFFF"/>
        </a:solidFill>
      </dgm:spPr>
      <dgm:t>
        <a:bodyPr/>
        <a:lstStyle/>
        <a:p>
          <a:r>
            <a:rPr lang="en-US" sz="1600" b="1"/>
            <a:t>AI Data </a:t>
          </a:r>
        </a:p>
        <a:p>
          <a:r>
            <a:rPr lang="en-US" sz="1100" b="1"/>
            <a:t>Augmentation</a:t>
          </a:r>
        </a:p>
      </dgm:t>
    </dgm:pt>
    <dgm:pt modelId="{DB99F3F6-A108-4E88-8261-BC2214ED9933}" type="parTrans" cxnId="{F5108218-EE8D-4344-BD2D-2F51A18135CE}">
      <dgm:prSet/>
      <dgm:spPr/>
      <dgm:t>
        <a:bodyPr/>
        <a:lstStyle/>
        <a:p>
          <a:endParaRPr lang="en-US"/>
        </a:p>
      </dgm:t>
    </dgm:pt>
    <dgm:pt modelId="{ED91A8CD-6585-47A8-A3C5-5658894AC0A4}" type="sibTrans" cxnId="{F5108218-EE8D-4344-BD2D-2F51A18135CE}">
      <dgm:prSet/>
      <dgm:spPr/>
      <dgm:t>
        <a:bodyPr/>
        <a:lstStyle/>
        <a:p>
          <a:endParaRPr lang="en-US"/>
        </a:p>
      </dgm:t>
    </dgm:pt>
    <dgm:pt modelId="{7A850672-A06D-4C8C-8B7E-E56D727D4967}">
      <dgm:prSet phldrT="[Text]" custT="1"/>
      <dgm:spPr>
        <a:solidFill>
          <a:srgbClr val="1E90FF"/>
        </a:solidFill>
      </dgm:spPr>
      <dgm:t>
        <a:bodyPr/>
        <a:lstStyle/>
        <a:p>
          <a:r>
            <a:rPr lang="en-US" sz="1600" b="1"/>
            <a:t>QC Legal Review</a:t>
          </a:r>
        </a:p>
      </dgm:t>
    </dgm:pt>
    <dgm:pt modelId="{2002122B-6556-48C0-A817-31620F40622F}" type="parTrans" cxnId="{E865B4BE-8D69-4E10-BB90-57295CC35AC7}">
      <dgm:prSet/>
      <dgm:spPr/>
      <dgm:t>
        <a:bodyPr/>
        <a:lstStyle/>
        <a:p>
          <a:endParaRPr lang="en-US"/>
        </a:p>
      </dgm:t>
    </dgm:pt>
    <dgm:pt modelId="{9060BB71-4F9E-489A-ADEA-CA3530CFF7C6}" type="sibTrans" cxnId="{E865B4BE-8D69-4E10-BB90-57295CC35AC7}">
      <dgm:prSet/>
      <dgm:spPr/>
      <dgm:t>
        <a:bodyPr/>
        <a:lstStyle/>
        <a:p>
          <a:endParaRPr lang="en-US"/>
        </a:p>
      </dgm:t>
    </dgm:pt>
    <dgm:pt modelId="{8960B49E-4942-4D00-AA2F-CF0D01797B3D}">
      <dgm:prSet phldrT="[Text]" custT="1"/>
      <dgm:spPr>
        <a:solidFill>
          <a:srgbClr val="4169E1"/>
        </a:solidFill>
      </dgm:spPr>
      <dgm:t>
        <a:bodyPr/>
        <a:lstStyle/>
        <a:p>
          <a:r>
            <a:rPr lang="en-US" sz="1800" b="1"/>
            <a:t>AI Data </a:t>
          </a:r>
        </a:p>
        <a:p>
          <a:r>
            <a:rPr lang="en-US" sz="1100" b="1"/>
            <a:t>Daily Model Rebuild</a:t>
          </a:r>
        </a:p>
      </dgm:t>
    </dgm:pt>
    <dgm:pt modelId="{23A48842-E9F8-4D4A-AA2E-C0A011C20CB4}" type="parTrans" cxnId="{E2F1CDE1-A87F-4B04-A226-930F4B098C45}">
      <dgm:prSet/>
      <dgm:spPr/>
      <dgm:t>
        <a:bodyPr/>
        <a:lstStyle/>
        <a:p>
          <a:endParaRPr lang="en-US"/>
        </a:p>
      </dgm:t>
    </dgm:pt>
    <dgm:pt modelId="{BAA0562D-0BB9-4070-8238-10B94CB707F3}" type="sibTrans" cxnId="{E2F1CDE1-A87F-4B04-A226-930F4B098C45}">
      <dgm:prSet/>
      <dgm:spPr/>
      <dgm:t>
        <a:bodyPr/>
        <a:lstStyle/>
        <a:p>
          <a:endParaRPr lang="en-US"/>
        </a:p>
      </dgm:t>
    </dgm:pt>
    <dgm:pt modelId="{37756F45-60DE-470F-BE88-8BD9E39FC036}">
      <dgm:prSet phldrT="[Text]" custT="1"/>
      <dgm:spPr/>
      <dgm:t>
        <a:bodyPr/>
        <a:lstStyle/>
        <a:p>
          <a:r>
            <a:rPr lang="en-US" sz="1600" b="1">
              <a:solidFill>
                <a:schemeClr val="bg1"/>
              </a:solidFill>
            </a:rPr>
            <a:t>Incoming Invoice</a:t>
          </a:r>
        </a:p>
      </dgm:t>
    </dgm:pt>
    <dgm:pt modelId="{9D946B07-C9B3-420F-8C91-8D40EB0D0249}" type="parTrans" cxnId="{AF9B2392-CA69-4129-BB09-3F1518CB50BF}">
      <dgm:prSet/>
      <dgm:spPr/>
      <dgm:t>
        <a:bodyPr/>
        <a:lstStyle/>
        <a:p>
          <a:endParaRPr lang="en-US"/>
        </a:p>
      </dgm:t>
    </dgm:pt>
    <dgm:pt modelId="{9DB57FB8-8A28-4097-8B37-AE6D99F39C24}" type="sibTrans" cxnId="{AF9B2392-CA69-4129-BB09-3F1518CB50BF}">
      <dgm:prSet/>
      <dgm:spPr/>
      <dgm:t>
        <a:bodyPr/>
        <a:lstStyle/>
        <a:p>
          <a:endParaRPr lang="en-US"/>
        </a:p>
      </dgm:t>
    </dgm:pt>
    <dgm:pt modelId="{8A2098DB-58E4-4EE1-971E-4C6B000D38DE}" type="pres">
      <dgm:prSet presAssocID="{E46FF5FD-CD63-464B-9565-D9A5891AE979}" presName="compositeShape" presStyleCnt="0">
        <dgm:presLayoutVars>
          <dgm:chMax val="7"/>
          <dgm:dir/>
          <dgm:resizeHandles val="exact"/>
        </dgm:presLayoutVars>
      </dgm:prSet>
      <dgm:spPr/>
    </dgm:pt>
    <dgm:pt modelId="{00674ED6-76D7-4D66-B1D5-4D346C823F66}" type="pres">
      <dgm:prSet presAssocID="{E46FF5FD-CD63-464B-9565-D9A5891AE979}" presName="wedge1" presStyleLbl="node1" presStyleIdx="0" presStyleCnt="4"/>
      <dgm:spPr/>
    </dgm:pt>
    <dgm:pt modelId="{3CE003AC-18BE-456B-A0AF-8473C5417260}" type="pres">
      <dgm:prSet presAssocID="{E46FF5FD-CD63-464B-9565-D9A5891AE979}" presName="dummy1a" presStyleCnt="0"/>
      <dgm:spPr/>
    </dgm:pt>
    <dgm:pt modelId="{21E11CD9-F37B-4C5E-8364-CFEB59095F2E}" type="pres">
      <dgm:prSet presAssocID="{E46FF5FD-CD63-464B-9565-D9A5891AE979}" presName="dummy1b" presStyleCnt="0"/>
      <dgm:spPr/>
    </dgm:pt>
    <dgm:pt modelId="{C0F3B151-54CE-4D63-A8DF-A708EF4F3A12}" type="pres">
      <dgm:prSet presAssocID="{E46FF5FD-CD63-464B-9565-D9A5891AE979}" presName="wedge1Tx" presStyleLbl="node1" presStyleIdx="0" presStyleCnt="4">
        <dgm:presLayoutVars>
          <dgm:chMax val="0"/>
          <dgm:chPref val="0"/>
          <dgm:bulletEnabled val="1"/>
        </dgm:presLayoutVars>
      </dgm:prSet>
      <dgm:spPr/>
    </dgm:pt>
    <dgm:pt modelId="{3ADC6913-F637-4D4C-B07B-32F455B62619}" type="pres">
      <dgm:prSet presAssocID="{E46FF5FD-CD63-464B-9565-D9A5891AE979}" presName="wedge2" presStyleLbl="node1" presStyleIdx="1" presStyleCnt="4"/>
      <dgm:spPr/>
    </dgm:pt>
    <dgm:pt modelId="{09599DCC-672B-42B5-9B6F-EE4750BC60B9}" type="pres">
      <dgm:prSet presAssocID="{E46FF5FD-CD63-464B-9565-D9A5891AE979}" presName="dummy2a" presStyleCnt="0"/>
      <dgm:spPr/>
    </dgm:pt>
    <dgm:pt modelId="{480DD17D-1C49-4A86-B8A3-7360FDDD72A7}" type="pres">
      <dgm:prSet presAssocID="{E46FF5FD-CD63-464B-9565-D9A5891AE979}" presName="dummy2b" presStyleCnt="0"/>
      <dgm:spPr/>
    </dgm:pt>
    <dgm:pt modelId="{D5A783A9-E408-479F-9464-858141DBAD0B}" type="pres">
      <dgm:prSet presAssocID="{E46FF5FD-CD63-464B-9565-D9A5891AE979}" presName="wedge2Tx" presStyleLbl="node1" presStyleIdx="1" presStyleCnt="4">
        <dgm:presLayoutVars>
          <dgm:chMax val="0"/>
          <dgm:chPref val="0"/>
          <dgm:bulletEnabled val="1"/>
        </dgm:presLayoutVars>
      </dgm:prSet>
      <dgm:spPr/>
    </dgm:pt>
    <dgm:pt modelId="{DDA6769A-632E-4E2C-99D4-594C53E2302E}" type="pres">
      <dgm:prSet presAssocID="{E46FF5FD-CD63-464B-9565-D9A5891AE979}" presName="wedge3" presStyleLbl="node1" presStyleIdx="2" presStyleCnt="4"/>
      <dgm:spPr/>
    </dgm:pt>
    <dgm:pt modelId="{7CC46CFC-B144-417E-BDAD-B48BEE950E73}" type="pres">
      <dgm:prSet presAssocID="{E46FF5FD-CD63-464B-9565-D9A5891AE979}" presName="dummy3a" presStyleCnt="0"/>
      <dgm:spPr/>
    </dgm:pt>
    <dgm:pt modelId="{811D77BF-B99E-42B9-A9C3-615380990F4F}" type="pres">
      <dgm:prSet presAssocID="{E46FF5FD-CD63-464B-9565-D9A5891AE979}" presName="dummy3b" presStyleCnt="0"/>
      <dgm:spPr/>
    </dgm:pt>
    <dgm:pt modelId="{DDA52D23-E81A-41FE-9D6C-8F61CCCDDC3F}" type="pres">
      <dgm:prSet presAssocID="{E46FF5FD-CD63-464B-9565-D9A5891AE979}" presName="wedge3Tx" presStyleLbl="node1" presStyleIdx="2" presStyleCnt="4">
        <dgm:presLayoutVars>
          <dgm:chMax val="0"/>
          <dgm:chPref val="0"/>
          <dgm:bulletEnabled val="1"/>
        </dgm:presLayoutVars>
      </dgm:prSet>
      <dgm:spPr/>
    </dgm:pt>
    <dgm:pt modelId="{C64F8753-1CE6-42B1-AC70-1F1EC5555098}" type="pres">
      <dgm:prSet presAssocID="{E46FF5FD-CD63-464B-9565-D9A5891AE979}" presName="wedge4" presStyleLbl="node1" presStyleIdx="3" presStyleCnt="4"/>
      <dgm:spPr/>
    </dgm:pt>
    <dgm:pt modelId="{3FAC02F3-4E81-47ED-83EC-3ADE615A9B5A}" type="pres">
      <dgm:prSet presAssocID="{E46FF5FD-CD63-464B-9565-D9A5891AE979}" presName="dummy4a" presStyleCnt="0"/>
      <dgm:spPr/>
    </dgm:pt>
    <dgm:pt modelId="{2BD26FE0-3D18-4128-B211-DF7D652C46BD}" type="pres">
      <dgm:prSet presAssocID="{E46FF5FD-CD63-464B-9565-D9A5891AE979}" presName="dummy4b" presStyleCnt="0"/>
      <dgm:spPr/>
    </dgm:pt>
    <dgm:pt modelId="{7ECD1E61-A042-4180-9776-8C621F09D1A8}" type="pres">
      <dgm:prSet presAssocID="{E46FF5FD-CD63-464B-9565-D9A5891AE979}" presName="wedge4Tx" presStyleLbl="node1" presStyleIdx="3" presStyleCnt="4">
        <dgm:presLayoutVars>
          <dgm:chMax val="0"/>
          <dgm:chPref val="0"/>
          <dgm:bulletEnabled val="1"/>
        </dgm:presLayoutVars>
      </dgm:prSet>
      <dgm:spPr/>
    </dgm:pt>
    <dgm:pt modelId="{5EDDA81A-74ED-43BC-8BA1-7F0BC700992E}" type="pres">
      <dgm:prSet presAssocID="{ED91A8CD-6585-47A8-A3C5-5658894AC0A4}" presName="arrowWedge1" presStyleLbl="fgSibTrans2D1" presStyleIdx="0" presStyleCnt="4"/>
      <dgm:spPr>
        <a:solidFill>
          <a:srgbClr val="00BFFF"/>
        </a:solidFill>
      </dgm:spPr>
    </dgm:pt>
    <dgm:pt modelId="{0E463AA7-0F39-4C57-8C90-D9AC20125200}" type="pres">
      <dgm:prSet presAssocID="{9060BB71-4F9E-489A-ADEA-CA3530CFF7C6}" presName="arrowWedge2" presStyleLbl="fgSibTrans2D1" presStyleIdx="1" presStyleCnt="4"/>
      <dgm:spPr>
        <a:solidFill>
          <a:srgbClr val="1E90FF"/>
        </a:solidFill>
      </dgm:spPr>
    </dgm:pt>
    <dgm:pt modelId="{ABC76834-C8F3-4A69-8D0A-044383CDA0A1}" type="pres">
      <dgm:prSet presAssocID="{BAA0562D-0BB9-4070-8238-10B94CB707F3}" presName="arrowWedge3" presStyleLbl="fgSibTrans2D1" presStyleIdx="2" presStyleCnt="4"/>
      <dgm:spPr>
        <a:solidFill>
          <a:srgbClr val="4169E1"/>
        </a:solidFill>
      </dgm:spPr>
    </dgm:pt>
    <dgm:pt modelId="{9BD24216-8833-40EE-9658-29613C8808D8}" type="pres">
      <dgm:prSet presAssocID="{9DB57FB8-8A28-4097-8B37-AE6D99F39C24}" presName="arrowWedge4" presStyleLbl="fgSibTrans2D1" presStyleIdx="3" presStyleCnt="4"/>
      <dgm:spPr/>
    </dgm:pt>
  </dgm:ptLst>
  <dgm:cxnLst>
    <dgm:cxn modelId="{42749707-D253-4B3E-860A-03570CEDE4F3}" type="presOf" srcId="{E46FF5FD-CD63-464B-9565-D9A5891AE979}" destId="{8A2098DB-58E4-4EE1-971E-4C6B000D38DE}" srcOrd="0" destOrd="0" presId="urn:microsoft.com/office/officeart/2005/8/layout/cycle8"/>
    <dgm:cxn modelId="{F5108218-EE8D-4344-BD2D-2F51A18135CE}" srcId="{E46FF5FD-CD63-464B-9565-D9A5891AE979}" destId="{04C69BB2-0F4B-4566-81C3-BCAA7E48DFE0}" srcOrd="0" destOrd="0" parTransId="{DB99F3F6-A108-4E88-8261-BC2214ED9933}" sibTransId="{ED91A8CD-6585-47A8-A3C5-5658894AC0A4}"/>
    <dgm:cxn modelId="{28FEDB6E-DB5D-4B64-A543-1DE7C379ACFC}" type="presOf" srcId="{37756F45-60DE-470F-BE88-8BD9E39FC036}" destId="{C64F8753-1CE6-42B1-AC70-1F1EC5555098}" srcOrd="0" destOrd="0" presId="urn:microsoft.com/office/officeart/2005/8/layout/cycle8"/>
    <dgm:cxn modelId="{1CE49974-FF06-47E6-8108-F2955E8E467B}" type="presOf" srcId="{04C69BB2-0F4B-4566-81C3-BCAA7E48DFE0}" destId="{00674ED6-76D7-4D66-B1D5-4D346C823F66}" srcOrd="0" destOrd="0" presId="urn:microsoft.com/office/officeart/2005/8/layout/cycle8"/>
    <dgm:cxn modelId="{9769BD89-9FDF-4AF4-9CCF-9452982337F3}" type="presOf" srcId="{37756F45-60DE-470F-BE88-8BD9E39FC036}" destId="{7ECD1E61-A042-4180-9776-8C621F09D1A8}" srcOrd="1" destOrd="0" presId="urn:microsoft.com/office/officeart/2005/8/layout/cycle8"/>
    <dgm:cxn modelId="{AF9B2392-CA69-4129-BB09-3F1518CB50BF}" srcId="{E46FF5FD-CD63-464B-9565-D9A5891AE979}" destId="{37756F45-60DE-470F-BE88-8BD9E39FC036}" srcOrd="3" destOrd="0" parTransId="{9D946B07-C9B3-420F-8C91-8D40EB0D0249}" sibTransId="{9DB57FB8-8A28-4097-8B37-AE6D99F39C24}"/>
    <dgm:cxn modelId="{9EE54FB2-BA7E-4C19-933D-C83AAD0411FB}" type="presOf" srcId="{7A850672-A06D-4C8C-8B7E-E56D727D4967}" destId="{D5A783A9-E408-479F-9464-858141DBAD0B}" srcOrd="1" destOrd="0" presId="urn:microsoft.com/office/officeart/2005/8/layout/cycle8"/>
    <dgm:cxn modelId="{E865B4BE-8D69-4E10-BB90-57295CC35AC7}" srcId="{E46FF5FD-CD63-464B-9565-D9A5891AE979}" destId="{7A850672-A06D-4C8C-8B7E-E56D727D4967}" srcOrd="1" destOrd="0" parTransId="{2002122B-6556-48C0-A817-31620F40622F}" sibTransId="{9060BB71-4F9E-489A-ADEA-CA3530CFF7C6}"/>
    <dgm:cxn modelId="{B4EC50D9-481E-42B4-B6A2-4CD022E24E13}" type="presOf" srcId="{04C69BB2-0F4B-4566-81C3-BCAA7E48DFE0}" destId="{C0F3B151-54CE-4D63-A8DF-A708EF4F3A12}" srcOrd="1" destOrd="0" presId="urn:microsoft.com/office/officeart/2005/8/layout/cycle8"/>
    <dgm:cxn modelId="{E2F1CDE1-A87F-4B04-A226-930F4B098C45}" srcId="{E46FF5FD-CD63-464B-9565-D9A5891AE979}" destId="{8960B49E-4942-4D00-AA2F-CF0D01797B3D}" srcOrd="2" destOrd="0" parTransId="{23A48842-E9F8-4D4A-AA2E-C0A011C20CB4}" sibTransId="{BAA0562D-0BB9-4070-8238-10B94CB707F3}"/>
    <dgm:cxn modelId="{CCE42AEB-FBEA-424D-896F-B2722D6C78D1}" type="presOf" srcId="{8960B49E-4942-4D00-AA2F-CF0D01797B3D}" destId="{DDA52D23-E81A-41FE-9D6C-8F61CCCDDC3F}" srcOrd="1" destOrd="0" presId="urn:microsoft.com/office/officeart/2005/8/layout/cycle8"/>
    <dgm:cxn modelId="{1925ECEC-40AE-46D7-B19C-62B63DC52421}" type="presOf" srcId="{7A850672-A06D-4C8C-8B7E-E56D727D4967}" destId="{3ADC6913-F637-4D4C-B07B-32F455B62619}" srcOrd="0" destOrd="0" presId="urn:microsoft.com/office/officeart/2005/8/layout/cycle8"/>
    <dgm:cxn modelId="{7604D4ED-B1F3-4EF5-8243-0686702B45BD}" type="presOf" srcId="{8960B49E-4942-4D00-AA2F-CF0D01797B3D}" destId="{DDA6769A-632E-4E2C-99D4-594C53E2302E}" srcOrd="0" destOrd="0" presId="urn:microsoft.com/office/officeart/2005/8/layout/cycle8"/>
    <dgm:cxn modelId="{D6C385F5-9BCD-4B6D-AB7B-5AD613B6C33C}" type="presParOf" srcId="{8A2098DB-58E4-4EE1-971E-4C6B000D38DE}" destId="{00674ED6-76D7-4D66-B1D5-4D346C823F66}" srcOrd="0" destOrd="0" presId="urn:microsoft.com/office/officeart/2005/8/layout/cycle8"/>
    <dgm:cxn modelId="{DC3BF7D5-5711-44E5-91B3-E92A4317067E}" type="presParOf" srcId="{8A2098DB-58E4-4EE1-971E-4C6B000D38DE}" destId="{3CE003AC-18BE-456B-A0AF-8473C5417260}" srcOrd="1" destOrd="0" presId="urn:microsoft.com/office/officeart/2005/8/layout/cycle8"/>
    <dgm:cxn modelId="{706A1787-F870-45A3-8732-070E19D0FE9B}" type="presParOf" srcId="{8A2098DB-58E4-4EE1-971E-4C6B000D38DE}" destId="{21E11CD9-F37B-4C5E-8364-CFEB59095F2E}" srcOrd="2" destOrd="0" presId="urn:microsoft.com/office/officeart/2005/8/layout/cycle8"/>
    <dgm:cxn modelId="{3C020DFA-2620-4507-8D37-BA6C4D4CDB75}" type="presParOf" srcId="{8A2098DB-58E4-4EE1-971E-4C6B000D38DE}" destId="{C0F3B151-54CE-4D63-A8DF-A708EF4F3A12}" srcOrd="3" destOrd="0" presId="urn:microsoft.com/office/officeart/2005/8/layout/cycle8"/>
    <dgm:cxn modelId="{E153C90F-51A5-4773-A77B-FEADF7CD35DC}" type="presParOf" srcId="{8A2098DB-58E4-4EE1-971E-4C6B000D38DE}" destId="{3ADC6913-F637-4D4C-B07B-32F455B62619}" srcOrd="4" destOrd="0" presId="urn:microsoft.com/office/officeart/2005/8/layout/cycle8"/>
    <dgm:cxn modelId="{5A1B0E6F-49F8-432F-B3DD-E65CE009C41E}" type="presParOf" srcId="{8A2098DB-58E4-4EE1-971E-4C6B000D38DE}" destId="{09599DCC-672B-42B5-9B6F-EE4750BC60B9}" srcOrd="5" destOrd="0" presId="urn:microsoft.com/office/officeart/2005/8/layout/cycle8"/>
    <dgm:cxn modelId="{C9081EEA-858E-4C7F-BAFA-EC9B2729076E}" type="presParOf" srcId="{8A2098DB-58E4-4EE1-971E-4C6B000D38DE}" destId="{480DD17D-1C49-4A86-B8A3-7360FDDD72A7}" srcOrd="6" destOrd="0" presId="urn:microsoft.com/office/officeart/2005/8/layout/cycle8"/>
    <dgm:cxn modelId="{DC102323-53B2-4583-9BAE-4784BFF54606}" type="presParOf" srcId="{8A2098DB-58E4-4EE1-971E-4C6B000D38DE}" destId="{D5A783A9-E408-479F-9464-858141DBAD0B}" srcOrd="7" destOrd="0" presId="urn:microsoft.com/office/officeart/2005/8/layout/cycle8"/>
    <dgm:cxn modelId="{1A0DC8D0-BCAB-41E5-9FA6-FE6223BBE162}" type="presParOf" srcId="{8A2098DB-58E4-4EE1-971E-4C6B000D38DE}" destId="{DDA6769A-632E-4E2C-99D4-594C53E2302E}" srcOrd="8" destOrd="0" presId="urn:microsoft.com/office/officeart/2005/8/layout/cycle8"/>
    <dgm:cxn modelId="{FD63E116-31EF-4F26-AAE5-DF83CB3EFE8C}" type="presParOf" srcId="{8A2098DB-58E4-4EE1-971E-4C6B000D38DE}" destId="{7CC46CFC-B144-417E-BDAD-B48BEE950E73}" srcOrd="9" destOrd="0" presId="urn:microsoft.com/office/officeart/2005/8/layout/cycle8"/>
    <dgm:cxn modelId="{5E7834BC-37DB-4BF9-8BF6-C35A871E924C}" type="presParOf" srcId="{8A2098DB-58E4-4EE1-971E-4C6B000D38DE}" destId="{811D77BF-B99E-42B9-A9C3-615380990F4F}" srcOrd="10" destOrd="0" presId="urn:microsoft.com/office/officeart/2005/8/layout/cycle8"/>
    <dgm:cxn modelId="{8CAD0367-BC04-42B5-815B-C4BCC94855D8}" type="presParOf" srcId="{8A2098DB-58E4-4EE1-971E-4C6B000D38DE}" destId="{DDA52D23-E81A-41FE-9D6C-8F61CCCDDC3F}" srcOrd="11" destOrd="0" presId="urn:microsoft.com/office/officeart/2005/8/layout/cycle8"/>
    <dgm:cxn modelId="{8EDD6AFC-DFAB-4033-94F1-3C47EB51D65A}" type="presParOf" srcId="{8A2098DB-58E4-4EE1-971E-4C6B000D38DE}" destId="{C64F8753-1CE6-42B1-AC70-1F1EC5555098}" srcOrd="12" destOrd="0" presId="urn:microsoft.com/office/officeart/2005/8/layout/cycle8"/>
    <dgm:cxn modelId="{93ACFF53-EC3E-40F3-88A1-FC668F673A58}" type="presParOf" srcId="{8A2098DB-58E4-4EE1-971E-4C6B000D38DE}" destId="{3FAC02F3-4E81-47ED-83EC-3ADE615A9B5A}" srcOrd="13" destOrd="0" presId="urn:microsoft.com/office/officeart/2005/8/layout/cycle8"/>
    <dgm:cxn modelId="{878F2A1D-241F-42CC-8694-A1327A57C127}" type="presParOf" srcId="{8A2098DB-58E4-4EE1-971E-4C6B000D38DE}" destId="{2BD26FE0-3D18-4128-B211-DF7D652C46BD}" srcOrd="14" destOrd="0" presId="urn:microsoft.com/office/officeart/2005/8/layout/cycle8"/>
    <dgm:cxn modelId="{2EF44F0B-CCBA-46D1-99D1-382F311D78CF}" type="presParOf" srcId="{8A2098DB-58E4-4EE1-971E-4C6B000D38DE}" destId="{7ECD1E61-A042-4180-9776-8C621F09D1A8}" srcOrd="15" destOrd="0" presId="urn:microsoft.com/office/officeart/2005/8/layout/cycle8"/>
    <dgm:cxn modelId="{96888057-22F9-471B-B03C-9B2D5B50CAF2}" type="presParOf" srcId="{8A2098DB-58E4-4EE1-971E-4C6B000D38DE}" destId="{5EDDA81A-74ED-43BC-8BA1-7F0BC700992E}" srcOrd="16" destOrd="0" presId="urn:microsoft.com/office/officeart/2005/8/layout/cycle8"/>
    <dgm:cxn modelId="{3518FF29-292E-4915-AFA0-3773C910BE6A}" type="presParOf" srcId="{8A2098DB-58E4-4EE1-971E-4C6B000D38DE}" destId="{0E463AA7-0F39-4C57-8C90-D9AC20125200}" srcOrd="17" destOrd="0" presId="urn:microsoft.com/office/officeart/2005/8/layout/cycle8"/>
    <dgm:cxn modelId="{7D2D96E8-E366-4153-8886-7054E6B63F22}" type="presParOf" srcId="{8A2098DB-58E4-4EE1-971E-4C6B000D38DE}" destId="{ABC76834-C8F3-4A69-8D0A-044383CDA0A1}" srcOrd="18" destOrd="0" presId="urn:microsoft.com/office/officeart/2005/8/layout/cycle8"/>
    <dgm:cxn modelId="{FB07FCF3-E65F-4FDF-923B-3B5EB535DE9F}" type="presParOf" srcId="{8A2098DB-58E4-4EE1-971E-4C6B000D38DE}" destId="{9BD24216-8833-40EE-9658-29613C8808D8}" srcOrd="19" destOrd="0" presId="urn:microsoft.com/office/officeart/2005/8/layout/cycle8"/>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74ED6-76D7-4D66-B1D5-4D346C823F66}">
      <dsp:nvSpPr>
        <dsp:cNvPr id="0" name=""/>
        <dsp:cNvSpPr/>
      </dsp:nvSpPr>
      <dsp:spPr>
        <a:xfrm>
          <a:off x="1426157" y="192906"/>
          <a:ext cx="2688336" cy="2688336"/>
        </a:xfrm>
        <a:prstGeom prst="pie">
          <a:avLst>
            <a:gd name="adj1" fmla="val 16200000"/>
            <a:gd name="adj2" fmla="val 0"/>
          </a:avLst>
        </a:prstGeom>
        <a:solidFill>
          <a:srgbClr val="00BF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1" kern="1200"/>
            <a:t>AI Data </a:t>
          </a:r>
        </a:p>
        <a:p>
          <a:pPr marL="0" lvl="0" indent="0" algn="ctr" defTabSz="711200">
            <a:lnSpc>
              <a:spcPct val="90000"/>
            </a:lnSpc>
            <a:spcBef>
              <a:spcPct val="0"/>
            </a:spcBef>
            <a:spcAft>
              <a:spcPct val="35000"/>
            </a:spcAft>
            <a:buNone/>
          </a:pPr>
          <a:r>
            <a:rPr lang="en-US" sz="1100" b="1" kern="1200"/>
            <a:t>Augmentation</a:t>
          </a:r>
        </a:p>
      </dsp:txBody>
      <dsp:txXfrm>
        <a:off x="2853216" y="750095"/>
        <a:ext cx="992124" cy="736092"/>
      </dsp:txXfrm>
    </dsp:sp>
    <dsp:sp modelId="{3ADC6913-F637-4D4C-B07B-32F455B62619}">
      <dsp:nvSpPr>
        <dsp:cNvPr id="0" name=""/>
        <dsp:cNvSpPr/>
      </dsp:nvSpPr>
      <dsp:spPr>
        <a:xfrm>
          <a:off x="1426157" y="283157"/>
          <a:ext cx="2688336" cy="2688336"/>
        </a:xfrm>
        <a:prstGeom prst="pie">
          <a:avLst>
            <a:gd name="adj1" fmla="val 0"/>
            <a:gd name="adj2" fmla="val 5400000"/>
          </a:avLst>
        </a:prstGeom>
        <a:solidFill>
          <a:srgbClr val="1E90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1" kern="1200"/>
            <a:t>QC Legal Review</a:t>
          </a:r>
        </a:p>
      </dsp:txBody>
      <dsp:txXfrm>
        <a:off x="2853216" y="1678212"/>
        <a:ext cx="992124" cy="736092"/>
      </dsp:txXfrm>
    </dsp:sp>
    <dsp:sp modelId="{DDA6769A-632E-4E2C-99D4-594C53E2302E}">
      <dsp:nvSpPr>
        <dsp:cNvPr id="0" name=""/>
        <dsp:cNvSpPr/>
      </dsp:nvSpPr>
      <dsp:spPr>
        <a:xfrm>
          <a:off x="1335906" y="283157"/>
          <a:ext cx="2688336" cy="2688336"/>
        </a:xfrm>
        <a:prstGeom prst="pie">
          <a:avLst>
            <a:gd name="adj1" fmla="val 5400000"/>
            <a:gd name="adj2" fmla="val 10800000"/>
          </a:avLst>
        </a:prstGeom>
        <a:solidFill>
          <a:srgbClr val="4169E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a:t>AI Data </a:t>
          </a:r>
        </a:p>
        <a:p>
          <a:pPr marL="0" lvl="0" indent="0" algn="ctr" defTabSz="800100">
            <a:lnSpc>
              <a:spcPct val="90000"/>
            </a:lnSpc>
            <a:spcBef>
              <a:spcPct val="0"/>
            </a:spcBef>
            <a:spcAft>
              <a:spcPct val="35000"/>
            </a:spcAft>
            <a:buNone/>
          </a:pPr>
          <a:r>
            <a:rPr lang="en-US" sz="1100" b="1" kern="1200"/>
            <a:t>Daily Model Rebuild</a:t>
          </a:r>
        </a:p>
      </dsp:txBody>
      <dsp:txXfrm>
        <a:off x="1605059" y="1678212"/>
        <a:ext cx="992124" cy="736092"/>
      </dsp:txXfrm>
    </dsp:sp>
    <dsp:sp modelId="{C64F8753-1CE6-42B1-AC70-1F1EC5555098}">
      <dsp:nvSpPr>
        <dsp:cNvPr id="0" name=""/>
        <dsp:cNvSpPr/>
      </dsp:nvSpPr>
      <dsp:spPr>
        <a:xfrm>
          <a:off x="1335906" y="192906"/>
          <a:ext cx="2688336" cy="2688336"/>
        </a:xfrm>
        <a:prstGeom prst="pie">
          <a:avLst>
            <a:gd name="adj1" fmla="val 10800000"/>
            <a:gd name="adj2" fmla="val 16200000"/>
          </a:avLst>
        </a:prstGeom>
        <a:gradFill rotWithShape="0">
          <a:gsLst>
            <a:gs pos="0">
              <a:schemeClr val="accent4">
                <a:hueOff val="-4464770"/>
                <a:satOff val="26899"/>
                <a:lumOff val="2156"/>
                <a:alphaOff val="0"/>
                <a:tint val="100000"/>
                <a:shade val="100000"/>
                <a:satMod val="130000"/>
              </a:schemeClr>
            </a:gs>
            <a:gs pos="100000">
              <a:schemeClr val="accent4">
                <a:hueOff val="-4464770"/>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1" kern="1200">
              <a:solidFill>
                <a:schemeClr val="bg1"/>
              </a:solidFill>
            </a:rPr>
            <a:t>Incoming Invoice</a:t>
          </a:r>
        </a:p>
      </dsp:txBody>
      <dsp:txXfrm>
        <a:off x="1605059" y="750095"/>
        <a:ext cx="992124" cy="736092"/>
      </dsp:txXfrm>
    </dsp:sp>
    <dsp:sp modelId="{5EDDA81A-74ED-43BC-8BA1-7F0BC700992E}">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solidFill>
          <a:srgbClr val="00BF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E463AA7-0F39-4C57-8C90-D9AC20125200}">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solidFill>
          <a:srgbClr val="1E90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BC76834-C8F3-4A69-8D0A-044383CDA0A1}">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solidFill>
          <a:srgbClr val="4169E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9BD24216-8833-40EE-9658-29613C8808D8}">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gradFill rotWithShape="0">
          <a:gsLst>
            <a:gs pos="0">
              <a:schemeClr val="accent4">
                <a:hueOff val="-4464770"/>
                <a:satOff val="26899"/>
                <a:lumOff val="2156"/>
                <a:alphaOff val="0"/>
                <a:tint val="100000"/>
                <a:shade val="100000"/>
                <a:satMod val="130000"/>
              </a:schemeClr>
            </a:gs>
            <a:gs pos="100000">
              <a:schemeClr val="accent4">
                <a:hueOff val="-4464770"/>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Leg</b:Tag>
    <b:SourceType>InternetSite</b:SourceType>
    <b:Guid>{65046363-CCF6-467D-B84A-42649050091E}</b:Guid>
    <b:Title>Legal informatics</b:Title>
    <b:InternetSiteTitle>Wikipedia</b:InternetSiteTitle>
    <b:URL>https://en.wikipedia.org/wiki/Legal_informatics</b:URL>
    <b:RefOrder>1</b:RefOrder>
  </b:Source>
</b:Sources>
</file>

<file path=customXml/itemProps1.xml><?xml version="1.0" encoding="utf-8"?>
<ds:datastoreItem xmlns:ds="http://schemas.openxmlformats.org/officeDocument/2006/customXml" ds:itemID="{FAC233F5-632D-4E99-9162-97C3622F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11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nabra</dc:creator>
  <cp:lastModifiedBy>Liat A</cp:lastModifiedBy>
  <cp:revision>327</cp:revision>
  <dcterms:created xsi:type="dcterms:W3CDTF">2022-01-10T18:16:00Z</dcterms:created>
  <dcterms:modified xsi:type="dcterms:W3CDTF">2022-04-15T16:18:00Z</dcterms:modified>
</cp:coreProperties>
</file>