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F6B35"/>
          <w:sz w:val="18"/>
          <w:szCs w:val="18"/>
        </w:rPr>
        <w:t xml:space="preserve">SIEVE</w:t>
      </w:r>
    </w:p>
    <w:p>
      <w:pPr>
        <w:spacing w:after="200"/>
      </w:pPr>
      <w:r>
        <w:rPr>
          <w:b/>
          <w:bCs/>
          <w:color w:val="14162B"/>
          <w:sz w:val="46"/>
          <w:szCs w:val="46"/>
        </w:rPr>
        <w:t xml:space="preserve">One Engine, Five Routes to Market</w:t>
      </w:r>
    </w:p>
    <w:p>
      <w:pPr>
        <w:spacing w:after="100"/>
      </w:pPr>
      <w:r>
        <w:rPr>
          <w:i/>
          <w:iCs/>
          <w:color w:val="4A4E68"/>
          <w:sz w:val="22"/>
          <w:szCs w:val="22"/>
        </w:rPr>
        <w:t xml:space="preserve">How Sieve Houses Every Business Idea Already Scoped — Value Propositions and Technical Integration</w:t>
      </w:r>
    </w:p>
    <w:p>
      <w:pPr>
        <w:spacing w:after="400"/>
      </w:pPr>
      <w:r>
        <w:rPr>
          <w:rFonts w:ascii="Consolas" w:cs="Consolas" w:eastAsia="Consolas" w:hAnsi="Consolas"/>
          <w:color w:val="4A4E68"/>
          <w:sz w:val="18"/>
          <w:szCs w:val="18"/>
        </w:rPr>
        <w:t xml:space="preserve">VASNET Technologies · Internal · Draft v1</w:t>
      </w:r>
    </w:p>
    <w:p>
      <w:pPr>
        <w:pBdr>
          <w:bottom w:val="single" w:color="FF6B35" w:sz="8"/>
        </w:pBdr>
        <w:spacing w:after="0"/>
      </w:pPr>
    </w:p>
    <w:p>
      <w:pPr>
        <w:pStyle w:val="Heading1"/>
        <w:spacing w:after="160" w:before="420"/>
      </w:pPr>
      <w:r>
        <w:rPr>
          <w:b/>
          <w:bCs/>
          <w:color w:val="14162B"/>
          <w:sz w:val="30"/>
          <w:szCs w:val="30"/>
        </w:rPr>
        <w:t xml:space="preserve">Why This Document Exists</w:t>
      </w:r>
    </w:p>
    <w:p>
      <w:pPr>
        <w:spacing w:after="140"/>
      </w:pPr>
      <w:r>
        <w:rPr>
          <w:i w:val="false"/>
          <w:iCs w:val="false"/>
          <w:color w:val="4A4E68"/>
          <w:sz w:val="21"/>
          <w:szCs w:val="21"/>
        </w:rPr>
        <w:t xml:space="preserve">Seven business ideas were scoped across this project's earlier sessions: a lead generation business, a mobile engagement agency, an audience advertising network, a subscription marketplace, a deals marketplace, plus two adjacent internal projects — Traffic Desk's qualification stage and a churn win-back engine — and a credit-signal product, Alt-Signal. Read individually, that looks like seven things to build. It is not. Five of them reduce to the same underlying mechanism — ask structured questions, score the answers, route the person — which Sieve already implements as one working, tested product.</w:t>
      </w:r>
    </w:p>
    <w:p>
      <w:pPr>
        <w:spacing w:after="260"/>
      </w:pPr>
      <w:r>
        <w:rPr>
          <w:i w:val="false"/>
          <w:iCs w:val="false"/>
          <w:color w:val="4A4E68"/>
          <w:sz w:val="21"/>
          <w:szCs w:val="21"/>
        </w:rPr>
        <w:t xml:space="preserve">This document does two things: explains what each of the five is actually worth to whoever pays for it, and then shows precisely which part of Sieve's existing engine already delivers it, and what was built to close the remaining gap. Nothing below required a second codebase.</w:t>
      </w:r>
    </w:p>
    <w:p>
      <w:pPr>
        <w:pStyle w:val="Heading1"/>
        <w:spacing w:after="160" w:before="420"/>
      </w:pPr>
      <w:r>
        <w:rPr>
          <w:b/>
          <w:bCs/>
          <w:color w:val="14162B"/>
          <w:sz w:val="30"/>
          <w:szCs w:val="30"/>
        </w:rPr>
        <w:t xml:space="preserve">Part 1 — The Value Proposition of Each</w:t>
      </w:r>
    </w:p>
    <w:p>
      <w:pPr>
        <w:pStyle w:val="Heading2"/>
        <w:spacing w:after="100" w:before="260"/>
      </w:pPr>
      <w:r>
        <w:rPr>
          <w:b/>
          <w:bCs/>
          <w:color w:val="7A2E0E"/>
          <w:sz w:val="24"/>
          <w:szCs w:val="24"/>
        </w:rPr>
        <w:t xml:space="preserve">1. Lead Generation Business</w:t>
      </w:r>
    </w:p>
    <w:p>
      <w:pPr>
        <w:shd w:fill="FFE8DB" w:val="clear"/>
        <w:spacing w:after="140" w:before="80"/>
      </w:pPr>
      <w:r>
        <w:rPr>
          <w:b/>
          <w:bCs/>
          <w:color w:val="7A2E0E"/>
          <w:sz w:val="16"/>
          <w:szCs w:val="16"/>
        </w:rPr>
        <w:t xml:space="preserve">WHO PAYS  </w:t>
      </w:r>
      <w:r>
        <w:rPr>
          <w:color w:val="14162B"/>
          <w:sz w:val="20"/>
          <w:szCs w:val="20"/>
        </w:rPr>
        <w:t xml:space="preserve">Any Nigerian business generating enquiries through WhatsApp, Instagram, or a website — real estate agents, insurance brokers, coaches, IT firms, HR agencies.</w:t>
      </w:r>
    </w:p>
    <w:p>
      <w:pPr>
        <w:spacing w:after="140"/>
      </w:pPr>
      <w:r>
        <w:rPr>
          <w:i w:val="false"/>
          <w:iCs w:val="false"/>
          <w:color w:val="4A4E68"/>
          <w:sz w:val="21"/>
          <w:szCs w:val="21"/>
        </w:rPr>
        <w:t xml:space="preserve">The value is certainty. A business drowning in unqualified DMs gets a scorecard that asks the right questions upfront and hands their team a lead that already knows how ready that person is to buy, and what they specifically need next — before a human ever gets on a call.</w:t>
      </w:r>
    </w:p>
    <w:p>
      <w:pPr>
        <w:pStyle w:val="Heading2"/>
        <w:spacing w:after="100" w:before="260"/>
      </w:pPr>
      <w:r>
        <w:rPr>
          <w:b/>
          <w:bCs/>
          <w:color w:val="7A2E0E"/>
          <w:sz w:val="24"/>
          <w:szCs w:val="24"/>
        </w:rPr>
        <w:t xml:space="preserve">2. Mobile Engagement Agency</w:t>
      </w:r>
    </w:p>
    <w:p>
      <w:pPr>
        <w:shd w:fill="FFE8DB" w:val="clear"/>
        <w:spacing w:after="140" w:before="80"/>
      </w:pPr>
      <w:r>
        <w:rPr>
          <w:b/>
          <w:bCs/>
          <w:color w:val="7A2E0E"/>
          <w:sz w:val="16"/>
          <w:szCs w:val="16"/>
        </w:rPr>
        <w:t xml:space="preserve">WHO PAYS  </w:t>
      </w:r>
      <w:r>
        <w:rPr>
          <w:color w:val="14162B"/>
          <w:sz w:val="20"/>
          <w:szCs w:val="20"/>
        </w:rPr>
        <w:t xml:space="preserve">Brands and agencies that want an interactive campaign but have no in-house VAS/USSD/lead-capture capability.</w:t>
      </w:r>
    </w:p>
    <w:p>
      <w:pPr>
        <w:spacing w:after="140"/>
      </w:pPr>
      <w:r>
        <w:rPr>
          <w:i w:val="false"/>
          <w:iCs w:val="false"/>
          <w:color w:val="4A4E68"/>
          <w:sz w:val="21"/>
          <w:szCs w:val="21"/>
        </w:rPr>
        <w:t xml:space="preserve">The value is capability, not access. VASNET doesn't sell its own audience here — it sells the fact that it can build and run a working qualification funnel for a client's audience in days, using infrastructure that already exists, instead of the client hiring developers to build one from nothing.</w:t>
      </w:r>
    </w:p>
    <w:p>
      <w:pPr>
        <w:spacing w:after="140"/>
      </w:pPr>
      <w:r>
        <w:rPr>
          <w:i w:val="false"/>
          <w:iCs w:val="false"/>
          <w:color w:val="4A4E68"/>
          <w:sz w:val="21"/>
          <w:szCs w:val="21"/>
        </w:rPr>
        <w:t xml:space="preserve">Critically, the deliverable now has to feel like a real engagement campaign, not a lead form wearing a client's logo. A respondent sees their own completion time and a one-tap shareable result, and the client sees average time-to-complete and finish rate in their own report — the actual marks of an engagement product, not a qualification form with a different name on it.</w:t>
      </w:r>
    </w:p>
    <w:p>
      <w:pPr>
        <w:pStyle w:val="Heading2"/>
        <w:spacing w:after="100" w:before="260"/>
      </w:pPr>
      <w:r>
        <w:rPr>
          <w:b/>
          <w:bCs/>
          <w:color w:val="7A2E0E"/>
          <w:sz w:val="24"/>
          <w:szCs w:val="24"/>
        </w:rPr>
        <w:t xml:space="preserve">3. Traffic Desk Qualification</w:t>
      </w:r>
    </w:p>
    <w:p>
      <w:pPr>
        <w:shd w:fill="E6EDFC" w:val="clear"/>
        <w:spacing w:after="140" w:before="80"/>
      </w:pPr>
      <w:r>
        <w:rPr>
          <w:b/>
          <w:bCs/>
          <w:color w:val="1F5FE0"/>
          <w:sz w:val="16"/>
          <w:szCs w:val="16"/>
        </w:rPr>
        <w:t xml:space="preserve">WHO BENEFITS  </w:t>
      </w:r>
      <w:r>
        <w:rPr>
          <w:color w:val="14162B"/>
          <w:sz w:val="20"/>
          <w:szCs w:val="20"/>
        </w:rPr>
        <w:t xml:space="preserve">VASNET itself — this is an internal efficiency gain, not a customer-facing product.</w:t>
      </w:r>
    </w:p>
    <w:p>
      <w:pPr>
        <w:spacing w:after="140"/>
      </w:pPr>
      <w:r>
        <w:rPr>
          <w:i w:val="false"/>
          <w:iCs w:val="false"/>
          <w:color w:val="4A4E68"/>
          <w:sz w:val="21"/>
          <w:szCs w:val="21"/>
        </w:rPr>
        <w:t xml:space="preserve">The value is a better signal at the moment of acquisition. Traffic Desk's current qualification step is a single "Allow" click — consent, not insight. Replacing it with a real scorecard means a visitor can be routed to whichever of VASNET's four games actually fits them, instead of everyone seeing the same generic pitch — which moves the needle on a CAC problem already shown to be structurally negative at current parameters.</w:t>
      </w:r>
    </w:p>
    <w:p>
      <w:pPr>
        <w:pStyle w:val="Heading2"/>
        <w:spacing w:after="100" w:before="260"/>
      </w:pPr>
      <w:r>
        <w:rPr>
          <w:b/>
          <w:bCs/>
          <w:color w:val="7A2E0E"/>
          <w:sz w:val="24"/>
          <w:szCs w:val="24"/>
        </w:rPr>
        <w:t xml:space="preserve">4. Signal Desk — Brand Campaign Insight Reporting</w:t>
      </w:r>
    </w:p>
    <w:p>
      <w:pPr>
        <w:shd w:fill="FFE8DB" w:val="clear"/>
        <w:spacing w:after="140" w:before="80"/>
      </w:pPr>
      <w:r>
        <w:rPr>
          <w:b/>
          <w:bCs/>
          <w:color w:val="7A2E0E"/>
          <w:sz w:val="16"/>
          <w:szCs w:val="16"/>
        </w:rPr>
        <w:t xml:space="preserve">WHO PAYS  </w:t>
      </w:r>
      <w:r>
        <w:rPr>
          <w:color w:val="14162B"/>
          <w:sz w:val="20"/>
          <w:szCs w:val="20"/>
        </w:rPr>
        <w:t xml:space="preserve">A brand or marketer who wants access to a segmented, engaged mobile audience — without ever being handed a phone number.</w:t>
      </w:r>
    </w:p>
    <w:p>
      <w:pPr>
        <w:spacing w:after="140"/>
      </w:pPr>
      <w:r>
        <w:rPr>
          <w:i w:val="false"/>
          <w:iCs w:val="false"/>
          <w:color w:val="4A4E68"/>
          <w:sz w:val="21"/>
          <w:szCs w:val="21"/>
        </w:rPr>
        <w:t xml:space="preserve">The value is structured, self-reported signal instead of raw contact data. A completed scorecard is a richer, more honest audience insight than passive engagement tracking, because the person told you directly what they think and what they need — and VASNET can report that back in aggregate without ever exposing an individual's identity.</w:t>
      </w:r>
    </w:p>
    <w:p>
      <w:pPr>
        <w:spacing w:after="260"/>
      </w:pPr>
      <w:r>
        <w:rPr>
          <w:i w:val="false"/>
          <w:iCs w:val="false"/>
          <w:color w:val="4A4E68"/>
          <w:sz w:val="21"/>
          <w:szCs w:val="21"/>
        </w:rPr>
        <w:t xml:space="preserve">What a brand actually needs to justify spend is demographic and psychographic depth, not just a readiness score: who these people are (age, gender, location, income bracket) and what they specifically care about regarding the brand or product — plus real engagement proof (completion time, finish rate). This is now a distinct, brand-facing report, not a by-product of the owner's own lead list.</w:t>
      </w:r>
    </w:p>
    <w:p>
      <w:pPr>
        <w:pStyle w:val="Heading2"/>
        <w:spacing w:after="100" w:before="260"/>
      </w:pPr>
      <w:r>
        <w:rPr>
          <w:b/>
          <w:bCs/>
          <w:color w:val="7A2E0E"/>
          <w:sz w:val="24"/>
          <w:szCs w:val="24"/>
        </w:rPr>
        <w:t xml:space="preserve">5. Reactivation Engine (Win-Back)</w:t>
      </w:r>
    </w:p>
    <w:p>
      <w:pPr>
        <w:shd w:fill="E6EDFC" w:val="clear"/>
        <w:spacing w:after="140" w:before="80"/>
      </w:pPr>
      <w:r>
        <w:rPr>
          <w:b/>
          <w:bCs/>
          <w:color w:val="1F5FE0"/>
          <w:sz w:val="16"/>
          <w:szCs w:val="16"/>
        </w:rPr>
        <w:t xml:space="preserve">WHO BENEFITS  </w:t>
      </w:r>
      <w:r>
        <w:rPr>
          <w:color w:val="14162B"/>
          <w:sz w:val="20"/>
          <w:szCs w:val="20"/>
        </w:rPr>
        <w:t xml:space="preserve">VASNET itself — internal, applied to its own churned subscriber base.</w:t>
      </w:r>
    </w:p>
    <w:p>
      <w:pPr>
        <w:spacing w:after="260"/>
      </w:pPr>
      <w:r>
        <w:rPr>
          <w:i w:val="false"/>
          <w:iCs w:val="false"/>
          <w:color w:val="4A4E68"/>
          <w:sz w:val="21"/>
          <w:szCs w:val="21"/>
        </w:rPr>
        <w:t xml:space="preserve">The value is turning a blunt "please resubscribe" message into a real qualification moment. A short "what would bring you back?" scorecard tells VASNET which of its four products to actually offer a specific lapsed subscriber, instead of guessing — the same cross-product-reshuffle logic already scoped, now with a real mechanism behind it.</w:t>
      </w:r>
    </w:p>
    <w:p>
      <w:pPr>
        <w:pStyle w:val="Heading1"/>
        <w:spacing w:after="160" w:before="420"/>
      </w:pPr>
      <w:r>
        <w:rPr>
          <w:b/>
          <w:bCs/>
          <w:color w:val="14162B"/>
          <w:sz w:val="30"/>
          <w:szCs w:val="30"/>
        </w:rPr>
        <w:t xml:space="preserve">Part 2 — How Each One Is Housed Inside Sieve</w:t>
      </w:r>
    </w:p>
    <w:p>
      <w:pPr>
        <w:spacing w:after="140"/>
      </w:pPr>
      <w:r>
        <w:rPr>
          <w:i w:val="false"/>
          <w:iCs w:val="false"/>
          <w:color w:val="4A4E68"/>
          <w:sz w:val="21"/>
          <w:szCs w:val="21"/>
        </w:rPr>
        <w:t xml:space="preserve">Every row below maps a business idea onto an actual, already-built part of the Sieve codebase. “Live” means no further engineering is required to start using it. “Built this round” marks the three features added specifically to close the remaining gap.</w:t>
      </w:r>
    </w:p>
    <w:p>
      <w:pPr>
        <w:pStyle w:val="Heading2"/>
        <w:spacing w:after="100" w:before="260"/>
      </w:pPr>
      <w:r>
        <w:rPr>
          <w:b/>
          <w:bCs/>
          <w:color w:val="7A2E0E"/>
          <w:sz w:val="24"/>
          <w:szCs w:val="24"/>
        </w:rPr>
        <w:t xml:space="preserve">The five ideas, one engine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200"/>
      </w:tblGrid>
      <w:tr>
        <w:trPr>
          <w:tblHeader/>
        </w:trPr>
        <w:tc>
          <w:tcPr>
            <w:tcW w:type="dxa" w:w="2400"/>
            <w:shd w:fill="F3F5F8" w:val="clear"/>
            <w:tcMar>
              <w:top w:type="dxa" w:w="80"/>
              <w:left w:type="dxa" w:w="100"/>
              <w:bottom w:type="dxa" w:w="80"/>
              <w:right w:type="dxa" w:w="100"/>
            </w:tcMar>
          </w:tcPr>
          <w:p>
            <w:r>
              <w:rPr>
                <w:b/>
                <w:bCs/>
                <w:color w:val="4A4E68"/>
                <w:sz w:val="17"/>
                <w:szCs w:val="17"/>
              </w:rPr>
              <w:t xml:space="preserve">Idea</w:t>
            </w:r>
          </w:p>
        </w:tc>
        <w:tc>
          <w:tcPr>
            <w:tcW w:type="dxa" w:w="5200"/>
            <w:shd w:fill="F3F5F8" w:val="clear"/>
            <w:tcMar>
              <w:top w:type="dxa" w:w="80"/>
              <w:left w:type="dxa" w:w="100"/>
              <w:bottom w:type="dxa" w:w="80"/>
              <w:right w:type="dxa" w:w="100"/>
            </w:tcMar>
          </w:tcPr>
          <w:p>
            <w:r>
              <w:rPr>
                <w:b/>
                <w:bCs/>
                <w:color w:val="4A4E68"/>
                <w:sz w:val="17"/>
                <w:szCs w:val="17"/>
              </w:rPr>
              <w:t xml:space="preserve">Sieve component it runs on</w:t>
            </w:r>
          </w:p>
        </w:tc>
        <w:tc>
          <w:tcPr>
            <w:tcW w:type="dxa" w:w="1200"/>
            <w:shd w:fill="F3F5F8" w:val="clear"/>
            <w:tcMar>
              <w:top w:type="dxa" w:w="80"/>
              <w:left w:type="dxa" w:w="100"/>
              <w:bottom w:type="dxa" w:w="80"/>
              <w:right w:type="dxa" w:w="100"/>
            </w:tcMar>
          </w:tcPr>
          <w:p>
            <w:r>
              <w:rPr>
                <w:b/>
                <w:bCs/>
                <w:color w:val="4A4E68"/>
                <w:sz w:val="17"/>
                <w:szCs w:val="17"/>
              </w:rPr>
              <w:t xml:space="preserve">Status</w:t>
            </w:r>
          </w:p>
        </w:tc>
      </w:tr>
      <w:tr>
        <w:tc>
          <w:tcPr>
            <w:tcW w:type="dxa" w:w="2400"/>
            <w:tcMar>
              <w:top w:type="dxa" w:w="80"/>
              <w:left w:type="dxa" w:w="100"/>
              <w:bottom w:type="dxa" w:w="80"/>
              <w:right w:type="dxa" w:w="100"/>
            </w:tcMar>
          </w:tcPr>
          <w:p>
            <w:r>
              <w:rPr>
                <w:color w:val="14162B"/>
                <w:sz w:val="19"/>
                <w:szCs w:val="19"/>
              </w:rPr>
              <w:t xml:space="preserve">Lead Generation Business</w:t>
            </w:r>
          </w:p>
        </w:tc>
        <w:tc>
          <w:tcPr>
            <w:tcW w:type="dxa" w:w="5200"/>
            <w:tcMar>
              <w:top w:type="dxa" w:w="80"/>
              <w:left w:type="dxa" w:w="100"/>
              <w:bottom w:type="dxa" w:w="80"/>
              <w:right w:type="dxa" w:w="100"/>
            </w:tcMar>
          </w:tcPr>
          <w:p>
            <w:r>
              <w:rPr>
                <w:color w:val="14162B"/>
                <w:sz w:val="19"/>
                <w:szCs w:val="19"/>
              </w:rPr>
              <w:t xml:space="preserve">The builder, scoring engine, results page, PDF, and lead email — the whole product as it already exists.</w:t>
            </w:r>
          </w:p>
        </w:tc>
        <w:tc>
          <w:tcPr>
            <w:tcW w:type="dxa" w:w="1200"/>
            <w:tcMar>
              <w:top w:type="dxa" w:w="80"/>
              <w:left w:type="dxa" w:w="100"/>
              <w:bottom w:type="dxa" w:w="80"/>
              <w:right w:type="dxa" w:w="100"/>
            </w:tcMar>
          </w:tcPr>
          <w:p>
            <w:r>
              <w:rPr>
                <w:color w:val="14162B"/>
                <w:sz w:val="19"/>
                <w:szCs w:val="19"/>
              </w:rPr>
              <w:t xml:space="preserve">Live</w:t>
            </w:r>
          </w:p>
        </w:tc>
      </w:tr>
      <w:tr>
        <w:tc>
          <w:tcPr>
            <w:tcW w:type="dxa" w:w="2400"/>
            <w:tcMar>
              <w:top w:type="dxa" w:w="80"/>
              <w:left w:type="dxa" w:w="100"/>
              <w:bottom w:type="dxa" w:w="80"/>
              <w:right w:type="dxa" w:w="100"/>
            </w:tcMar>
          </w:tcPr>
          <w:p>
            <w:r>
              <w:rPr>
                <w:color w:val="14162B"/>
                <w:sz w:val="19"/>
                <w:szCs w:val="19"/>
              </w:rPr>
              <w:t xml:space="preserve">Mobile Engagement Agency</w:t>
            </w:r>
          </w:p>
        </w:tc>
        <w:tc>
          <w:tcPr>
            <w:tcW w:type="dxa" w:w="5200"/>
            <w:tcMar>
              <w:top w:type="dxa" w:w="80"/>
              <w:left w:type="dxa" w:w="100"/>
              <w:bottom w:type="dxa" w:w="80"/>
              <w:right w:type="dxa" w:w="100"/>
            </w:tcMar>
          </w:tcPr>
          <w:p>
            <w:r>
              <w:rPr>
                <w:color w:val="14162B"/>
                <w:sz w:val="19"/>
                <w:szCs w:val="19"/>
              </w:rPr>
              <w:t xml:space="preserve">Per-scorecard brand-name override, plus Engagement Campaign Mode — real completion-time tracking and a shareable result on the results page itself.</w:t>
            </w:r>
          </w:p>
        </w:tc>
        <w:tc>
          <w:tcPr>
            <w:tcW w:type="dxa" w:w="1200"/>
            <w:tcMar>
              <w:top w:type="dxa" w:w="80"/>
              <w:left w:type="dxa" w:w="100"/>
              <w:bottom w:type="dxa" w:w="80"/>
              <w:right w:type="dxa" w:w="100"/>
            </w:tcMar>
          </w:tcPr>
          <w:p>
            <w:r>
              <w:rPr>
                <w:color w:val="14162B"/>
                <w:sz w:val="19"/>
                <w:szCs w:val="19"/>
              </w:rPr>
              <w:t xml:space="preserve">Built this round</w:t>
            </w:r>
          </w:p>
        </w:tc>
      </w:tr>
      <w:tr>
        <w:tc>
          <w:tcPr>
            <w:tcW w:type="dxa" w:w="2400"/>
            <w:tcMar>
              <w:top w:type="dxa" w:w="80"/>
              <w:left w:type="dxa" w:w="100"/>
              <w:bottom w:type="dxa" w:w="80"/>
              <w:right w:type="dxa" w:w="100"/>
            </w:tcMar>
          </w:tcPr>
          <w:p>
            <w:r>
              <w:rPr>
                <w:color w:val="14162B"/>
                <w:sz w:val="19"/>
                <w:szCs w:val="19"/>
              </w:rPr>
              <w:t xml:space="preserve">Traffic Desk Qualification</w:t>
            </w:r>
          </w:p>
        </w:tc>
        <w:tc>
          <w:tcPr>
            <w:tcW w:type="dxa" w:w="5200"/>
            <w:tcMar>
              <w:top w:type="dxa" w:w="80"/>
              <w:left w:type="dxa" w:w="100"/>
              <w:bottom w:type="dxa" w:w="80"/>
              <w:right w:type="dxa" w:w="100"/>
            </w:tcMar>
          </w:tcPr>
          <w:p>
            <w:r>
              <w:rPr>
                <w:color w:val="14162B"/>
                <w:sz w:val="19"/>
                <w:szCs w:val="19"/>
              </w:rPr>
              <w:t xml:space="preserve">The embeddable widget — any external page can now drop a Sieve scorecard in via a generated &lt;iframe&gt; snippet, in compact embed mode.</w:t>
            </w:r>
          </w:p>
        </w:tc>
        <w:tc>
          <w:tcPr>
            <w:tcW w:type="dxa" w:w="1200"/>
            <w:tcMar>
              <w:top w:type="dxa" w:w="80"/>
              <w:left w:type="dxa" w:w="100"/>
              <w:bottom w:type="dxa" w:w="80"/>
              <w:right w:type="dxa" w:w="100"/>
            </w:tcMar>
          </w:tcPr>
          <w:p>
            <w:r>
              <w:rPr>
                <w:color w:val="14162B"/>
                <w:sz w:val="19"/>
                <w:szCs w:val="19"/>
              </w:rPr>
              <w:t xml:space="preserve">Built this round</w:t>
            </w:r>
          </w:p>
        </w:tc>
      </w:tr>
      <w:tr>
        <w:tc>
          <w:tcPr>
            <w:tcW w:type="dxa" w:w="2400"/>
            <w:tcMar>
              <w:top w:type="dxa" w:w="80"/>
              <w:left w:type="dxa" w:w="100"/>
              <w:bottom w:type="dxa" w:w="80"/>
              <w:right w:type="dxa" w:w="100"/>
            </w:tcMar>
          </w:tcPr>
          <w:p>
            <w:r>
              <w:rPr>
                <w:color w:val="14162B"/>
                <w:sz w:val="19"/>
                <w:szCs w:val="19"/>
              </w:rPr>
              <w:t xml:space="preserve">Signal Desk</w:t>
            </w:r>
          </w:p>
        </w:tc>
        <w:tc>
          <w:tcPr>
            <w:tcW w:type="dxa" w:w="5200"/>
            <w:tcMar>
              <w:top w:type="dxa" w:w="80"/>
              <w:left w:type="dxa" w:w="100"/>
              <w:bottom w:type="dxa" w:w="80"/>
              <w:right w:type="dxa" w:w="100"/>
            </w:tcMar>
          </w:tcPr>
          <w:p>
            <w:r>
              <w:rPr>
                <w:color w:val="14162B"/>
                <w:sz w:val="19"/>
                <w:szCs w:val="19"/>
              </w:rPr>
              <w:t xml:space="preserve">Brand Campaign Insight Reporting — a colourful, chart-driven aggregate report: readiness, demographics, psychographics, location, social class, and engagement, with no individual data exposed.</w:t>
            </w:r>
          </w:p>
        </w:tc>
        <w:tc>
          <w:tcPr>
            <w:tcW w:type="dxa" w:w="1200"/>
            <w:tcMar>
              <w:top w:type="dxa" w:w="80"/>
              <w:left w:type="dxa" w:w="100"/>
              <w:bottom w:type="dxa" w:w="80"/>
              <w:right w:type="dxa" w:w="100"/>
            </w:tcMar>
          </w:tcPr>
          <w:p>
            <w:r>
              <w:rPr>
                <w:color w:val="14162B"/>
                <w:sz w:val="19"/>
                <w:szCs w:val="19"/>
              </w:rPr>
              <w:t xml:space="preserve">Built this round</w:t>
            </w:r>
          </w:p>
        </w:tc>
      </w:tr>
      <w:tr>
        <w:tc>
          <w:tcPr>
            <w:tcW w:type="dxa" w:w="2400"/>
            <w:tcMar>
              <w:top w:type="dxa" w:w="80"/>
              <w:left w:type="dxa" w:w="100"/>
              <w:bottom w:type="dxa" w:w="80"/>
              <w:right w:type="dxa" w:w="100"/>
            </w:tcMar>
          </w:tcPr>
          <w:p>
            <w:r>
              <w:rPr>
                <w:color w:val="14162B"/>
                <w:sz w:val="19"/>
                <w:szCs w:val="19"/>
              </w:rPr>
              <w:t xml:space="preserve">Reactivation Engine</w:t>
            </w:r>
          </w:p>
        </w:tc>
        <w:tc>
          <w:tcPr>
            <w:tcW w:type="dxa" w:w="5200"/>
            <w:tcMar>
              <w:top w:type="dxa" w:w="80"/>
              <w:left w:type="dxa" w:w="100"/>
              <w:bottom w:type="dxa" w:w="80"/>
              <w:right w:type="dxa" w:w="100"/>
            </w:tcMar>
          </w:tcPr>
          <w:p>
            <w:r>
              <w:rPr>
                <w:color w:val="14162B"/>
                <w:sz w:val="19"/>
                <w:szCs w:val="19"/>
              </w:rPr>
              <w:t xml:space="preserve">The existing public scorecard link — a win-back SMS/WhatsApp message just needs to point at it. No new code required.</w:t>
            </w:r>
          </w:p>
        </w:tc>
        <w:tc>
          <w:tcPr>
            <w:tcW w:type="dxa" w:w="1200"/>
            <w:tcMar>
              <w:top w:type="dxa" w:w="80"/>
              <w:left w:type="dxa" w:w="100"/>
              <w:bottom w:type="dxa" w:w="80"/>
              <w:right w:type="dxa" w:w="100"/>
            </w:tcMar>
          </w:tcPr>
          <w:p>
            <w:r>
              <w:rPr>
                <w:color w:val="14162B"/>
                <w:sz w:val="19"/>
                <w:szCs w:val="19"/>
              </w:rPr>
              <w:t xml:space="preserve">Live, no build needed</w:t>
            </w:r>
          </w:p>
        </w:tc>
      </w:tr>
    </w:tbl>
    <w:p>
      <w:pPr>
        <w:pStyle w:val="Heading2"/>
        <w:spacing w:after="100" w:before="260"/>
      </w:pPr>
      <w:r>
        <w:rPr>
          <w:b/>
          <w:bCs/>
          <w:color w:val="7A2E0E"/>
          <w:sz w:val="24"/>
          <w:szCs w:val="24"/>
        </w:rPr>
        <w:t xml:space="preserve">1. Lead Generation Business → the base product</w:t>
      </w:r>
    </w:p>
    <w:p>
      <w:pPr>
        <w:spacing w:after="140"/>
      </w:pPr>
      <w:r>
        <w:rPr>
          <w:i w:val="false"/>
          <w:iCs w:val="false"/>
          <w:color w:val="4A4E68"/>
          <w:sz w:val="21"/>
          <w:szCs w:val="21"/>
        </w:rPr>
        <w:t xml:space="preserve">This required no integration because it is not a separate application of Sieve — it is Sieve. Every scorecard built, published, and taken already delivers this idea in full: the builder (app/server/routes/scorecards.js), server-side scoring (scoring.js), the personalized results page, the generated PDF, and the lead's own results email.</w:t>
      </w:r>
    </w:p>
    <w:p>
      <w:pPr>
        <w:pStyle w:val="Heading2"/>
        <w:spacing w:after="100" w:before="260"/>
      </w:pPr>
      <w:r>
        <w:rPr>
          <w:b/>
          <w:bCs/>
          <w:color w:val="7A2E0E"/>
          <w:sz w:val="24"/>
          <w:szCs w:val="24"/>
        </w:rPr>
        <w:t xml:space="preserve">2. Mobile Engagement Agency → per-scorecard branding + Engagement Campaign Mode</w:t>
      </w:r>
    </w:p>
    <w:p>
      <w:pPr>
        <w:spacing w:after="140"/>
      </w:pPr>
      <w:r>
        <w:rPr>
          <w:i w:val="false"/>
          <w:iCs w:val="false"/>
          <w:color w:val="4A4E68"/>
          <w:sz w:val="21"/>
          <w:szCs w:val="21"/>
        </w:rPr>
        <w:t xml:space="preserve">Every scorecard used to display the account owner's business name everywhere. For VASNET's agency arm to build a scorecard on behalf of a client, the client's name needed to show instead. A new brand_name field was added at the scorecard level, with a builder field to set it and a resolution rule: the scorecard's own brand name wins if set, otherwise it falls back to the account's name automatically.</w:t>
      </w:r>
    </w:p>
    <w:p>
      <w:pPr>
        <w:spacing w:after="140"/>
      </w:pPr>
      <w:r>
        <w:rPr>
          <w:i w:val="false"/>
          <w:iCs w:val="false"/>
          <w:color w:val="4A4E68"/>
          <w:sz w:val="21"/>
          <w:szCs w:val="21"/>
        </w:rPr>
        <w:t xml:space="preserve">A second, deeper addition: Engagement Campaign Mode, a builder toggle that turns any scorecard into a real engagement product. When on, the taking flow times how long each respondent actually spends completing it, and the results page shows that time back to them alongside a one-tap share-your-result prompt, using an owner-defined share template with tokens for score, tier, and link. The client's own report then shows average completion time and finish rate as real engagement metrics.</w:t>
      </w:r>
    </w:p>
    <w:p>
      <w:pPr>
        <w:pStyle w:val="Heading2"/>
        <w:spacing w:after="100" w:before="260"/>
      </w:pPr>
      <w:r>
        <w:rPr>
          <w:b/>
          <w:bCs/>
          <w:color w:val="7A2E0E"/>
          <w:sz w:val="24"/>
          <w:szCs w:val="24"/>
        </w:rPr>
        <w:t xml:space="preserve">3. Traffic Desk Qualification → the embeddable widget</w:t>
      </w:r>
    </w:p>
    <w:p>
      <w:pPr>
        <w:spacing w:after="140"/>
      </w:pPr>
      <w:r>
        <w:rPr>
          <w:i w:val="false"/>
          <w:iCs w:val="false"/>
          <w:color w:val="4A4E68"/>
          <w:sz w:val="21"/>
          <w:szCs w:val="21"/>
        </w:rPr>
        <w:t xml:space="preserve">Sieve previously only worked as its own standalone hosted page — a visitor had to be sent to it via a link. For Traffic Desk to use Sieve as its qualification step, the scorecard needs to live inside Traffic Desk's own page, not redirect away from it. The public taking page now supports an embed=1 mode that strips the full-page centering and padding so it sits naturally inside an &lt;iframe&gt;, and the builder generates a ready-to-paste embed snippet once a scorecard is published.</w:t>
      </w:r>
    </w:p>
    <w:p>
      <w:pPr>
        <w:pStyle w:val="Heading2"/>
        <w:spacing w:after="100" w:before="260"/>
      </w:pPr>
      <w:r>
        <w:rPr>
          <w:b/>
          <w:bCs/>
          <w:color w:val="7A2E0E"/>
          <w:sz w:val="24"/>
          <w:szCs w:val="24"/>
        </w:rPr>
        <w:t xml:space="preserve">4. Signal Desk → Brand Campaign Insight Reporting</w:t>
      </w:r>
    </w:p>
    <w:p>
      <w:pPr>
        <w:spacing w:after="140"/>
      </w:pPr>
      <w:r>
        <w:rPr>
          <w:i w:val="false"/>
          <w:iCs w:val="false"/>
          <w:color w:val="4A4E68"/>
          <w:sz w:val="21"/>
          <w:szCs w:val="21"/>
        </w:rPr>
        <w:t xml:space="preserve">The gap here was real: Sieve only ever showed an owner their individual leads, one row at a time. Signal Desk needs the opposite shape of data, and a richer one than a plain lead list ever offered.</w:t>
      </w:r>
    </w:p>
    <w:p>
      <w:pPr>
        <w:spacing w:after="140"/>
      </w:pPr>
      <w:r>
        <w:rPr>
          <w:i w:val="false"/>
          <w:iCs w:val="false"/>
          <w:color w:val="4A4E68"/>
          <w:sz w:val="21"/>
          <w:szCs w:val="21"/>
        </w:rPr>
        <w:t xml:space="preserve">The rebuilt report now computes, per scorecard: how many people started versus finished (a genuine completion rate, tracked via a lightweight start event), the average overall score, a colour-coded readiness-tier donut, category-by-category averages, and a 14-day completion trend. When the owner turns on audience-profile capture, it also breaks down age range, gender, location, and income bracket as donut charts and ranked bars, plus a psychographic interest breakdown built from a question the owner writes themselves. When Engagement Campaign Mode is on, it adds average completion time and finish rate as engagement metrics. Every section is colour-coded and chart-driven, and nothing in it ever shows an individual name, email, or answer.</w:t>
      </w:r>
    </w:p>
    <w:p>
      <w:pPr>
        <w:pStyle w:val="Heading2"/>
        <w:spacing w:after="100" w:before="260"/>
      </w:pPr>
      <w:r>
        <w:rPr>
          <w:b/>
          <w:bCs/>
          <w:color w:val="7A2E0E"/>
          <w:sz w:val="24"/>
          <w:szCs w:val="24"/>
        </w:rPr>
        <w:t xml:space="preserve">5. Reactivation Engine → already solved, deliberately not touched</w:t>
      </w:r>
    </w:p>
    <w:p>
      <w:pPr>
        <w:spacing w:after="260"/>
      </w:pPr>
      <w:r>
        <w:rPr>
          <w:i w:val="false"/>
          <w:iCs w:val="false"/>
          <w:color w:val="4A4E68"/>
          <w:sz w:val="21"/>
          <w:szCs w:val="21"/>
        </w:rPr>
        <w:t xml:space="preserve">This is the one idea that needed nothing built. A win-back campaign tool just needs a URL to put in an SMS or WhatsApp message — Sieve's existing public scorecard link (/take/index.html?slug=...) already is that URL. Building anything further here would have been unnecessary scope, not missing capability.</w:t>
      </w:r>
    </w:p>
    <w:p>
      <w:pPr>
        <w:pStyle w:val="Heading1"/>
        <w:spacing w:after="160" w:before="420"/>
      </w:pPr>
      <w:r>
        <w:rPr>
          <w:b/>
          <w:bCs/>
          <w:color w:val="14162B"/>
          <w:sz w:val="30"/>
          <w:szCs w:val="30"/>
        </w:rPr>
        <w:t xml:space="preserve">What This Proves</w:t>
      </w:r>
    </w:p>
    <w:p>
      <w:pPr>
        <w:pStyle w:val="ListParagraph"/>
        <w:numPr>
          <w:ilvl w:val="0"/>
          <w:numId w:val="1"/>
        </w:numPr>
        <w:spacing w:after="60"/>
      </w:pPr>
      <w:r>
        <w:rPr>
          <w:color w:val="4A4E68"/>
          <w:sz w:val="21"/>
          <w:szCs w:val="21"/>
        </w:rPr>
        <w:t xml:space="preserve">Three real features — a brand override, an embeddable widget, and an aggregate report — were enough to make all five ideas runnable on one codebase.</w:t>
      </w:r>
    </w:p>
    <w:p>
      <w:pPr>
        <w:pStyle w:val="ListParagraph"/>
        <w:numPr>
          <w:ilvl w:val="0"/>
          <w:numId w:val="1"/>
        </w:numPr>
        <w:spacing w:after="60"/>
      </w:pPr>
      <w:r>
        <w:rPr>
          <w:color w:val="4A4E68"/>
          <w:sz w:val="21"/>
          <w:szCs w:val="21"/>
        </w:rPr>
        <w:t xml:space="preserve">Two of the five needed no new engineering at all, because the base product and the existing public link already covered them.</w:t>
      </w:r>
    </w:p>
    <w:p>
      <w:pPr>
        <w:pStyle w:val="ListParagraph"/>
        <w:numPr>
          <w:ilvl w:val="0"/>
          <w:numId w:val="1"/>
        </w:numPr>
        <w:spacing w:after="60"/>
      </w:pPr>
      <w:r>
        <w:rPr>
          <w:color w:val="4A4E68"/>
          <w:sz w:val="21"/>
          <w:szCs w:val="21"/>
        </w:rPr>
        <w:t xml:space="preserve">Nothing here required a second database, a second login system, or a second scoring engine — every idea reuses the same builder, the same scoring logic, and the same personalization engine already tested end to end.</w:t>
      </w:r>
    </w:p>
    <w:p>
      <w:pPr>
        <w:spacing w:after="200"/>
      </w:pPr>
      <w:r>
        <w:rPr>
          <w:i/>
          <w:iCs/>
          <w:color w:val="4A4E68"/>
          <w:sz w:val="21"/>
          <w:szCs w:val="21"/>
        </w:rPr>
        <w:t xml:space="preserve">The seven ideas were never seven products. They were seven go-to-market angles pointed at one engine that already exists, is tested, and is ready to sell.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2026-09-01T06:50:38.545Z</dcterms:created>
  <dcterms:modified xsi:type="dcterms:W3CDTF">2026-09-01T06:50:38.546Z</dcterms:modified>
</cp:coreProperties>
</file>

<file path=docProps/custom.xml><?xml version="1.0" encoding="utf-8"?>
<Properties xmlns="http://schemas.openxmlformats.org/officeDocument/2006/custom-properties" xmlns:vt="http://schemas.openxmlformats.org/officeDocument/2006/docPropsVTypes"/>
</file>