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F8B9B" w14:textId="77777777" w:rsidR="000567E0" w:rsidRDefault="00B5494D">
      <w:pPr>
        <w:spacing w:after="40"/>
      </w:pPr>
      <w:r>
        <w:rPr>
          <w:rFonts w:ascii="Georgia" w:hAnsi="Georgia"/>
          <w:b/>
          <w:color w:val="1B365D"/>
          <w:sz w:val="44"/>
        </w:rPr>
        <w:t>CCA3 Usability Study &amp; Validation Report</w:t>
      </w:r>
    </w:p>
    <w:p w14:paraId="13BBAA14" w14:textId="77777777" w:rsidR="000567E0" w:rsidRDefault="00B5494D">
      <w:pPr>
        <w:spacing w:after="240"/>
      </w:pPr>
      <w:r>
        <w:rPr>
          <w:rFonts w:ascii="Calibri" w:hAnsi="Calibri"/>
          <w:i/>
          <w:color w:val="2E6B56"/>
          <w:sz w:val="24"/>
        </w:rPr>
        <w:t>Comparative Usability Evaluation: Original Housing.com vs. Modified PropNest High-Fidelity Prototype</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2304"/>
        <w:gridCol w:w="2592"/>
        <w:gridCol w:w="2304"/>
        <w:gridCol w:w="2736"/>
      </w:tblGrid>
      <w:tr w:rsidR="000567E0" w14:paraId="1623108F" w14:textId="77777777">
        <w:trPr>
          <w:jc w:val="center"/>
        </w:trPr>
        <w:tc>
          <w:tcPr>
            <w:tcW w:w="2304" w:type="dxa"/>
            <w:shd w:val="clear" w:color="auto" w:fill="F4F7FA"/>
            <w:tcMar>
              <w:top w:w="80" w:type="dxa"/>
              <w:left w:w="120" w:type="dxa"/>
              <w:bottom w:w="80" w:type="dxa"/>
              <w:right w:w="120" w:type="dxa"/>
            </w:tcMar>
          </w:tcPr>
          <w:p w14:paraId="217882E8" w14:textId="77777777" w:rsidR="000567E0" w:rsidRDefault="00B5494D">
            <w:pPr>
              <w:spacing w:after="0"/>
            </w:pPr>
            <w:r>
              <w:rPr>
                <w:rFonts w:ascii="Calibri" w:hAnsi="Calibri"/>
                <w:b/>
                <w:color w:val="1B365D"/>
                <w:sz w:val="19"/>
              </w:rPr>
              <w:t>Student Name:</w:t>
            </w:r>
          </w:p>
        </w:tc>
        <w:tc>
          <w:tcPr>
            <w:tcW w:w="2592" w:type="dxa"/>
            <w:shd w:val="clear" w:color="auto" w:fill="F4F7FA"/>
            <w:tcMar>
              <w:top w:w="80" w:type="dxa"/>
              <w:left w:w="120" w:type="dxa"/>
              <w:bottom w:w="80" w:type="dxa"/>
              <w:right w:w="120" w:type="dxa"/>
            </w:tcMar>
          </w:tcPr>
          <w:p w14:paraId="2742B641" w14:textId="77777777" w:rsidR="000567E0" w:rsidRDefault="00B5494D">
            <w:pPr>
              <w:spacing w:after="0"/>
            </w:pPr>
            <w:r>
              <w:rPr>
                <w:rFonts w:ascii="Calibri" w:hAnsi="Calibri"/>
                <w:color w:val="333333"/>
                <w:sz w:val="19"/>
              </w:rPr>
              <w:t>Nancy Kathiriya</w:t>
            </w:r>
          </w:p>
        </w:tc>
        <w:tc>
          <w:tcPr>
            <w:tcW w:w="2304" w:type="dxa"/>
            <w:shd w:val="clear" w:color="auto" w:fill="F4F7FA"/>
            <w:tcMar>
              <w:top w:w="80" w:type="dxa"/>
              <w:left w:w="120" w:type="dxa"/>
              <w:bottom w:w="80" w:type="dxa"/>
              <w:right w:w="120" w:type="dxa"/>
            </w:tcMar>
          </w:tcPr>
          <w:p w14:paraId="4556A964" w14:textId="77777777" w:rsidR="000567E0" w:rsidRDefault="00B5494D">
            <w:pPr>
              <w:spacing w:after="0"/>
            </w:pPr>
            <w:r>
              <w:rPr>
                <w:rFonts w:ascii="Calibri" w:hAnsi="Calibri"/>
                <w:b/>
                <w:color w:val="1B365D"/>
                <w:sz w:val="19"/>
              </w:rPr>
              <w:t>Course / Sub:</w:t>
            </w:r>
          </w:p>
        </w:tc>
        <w:tc>
          <w:tcPr>
            <w:tcW w:w="2736" w:type="dxa"/>
            <w:shd w:val="clear" w:color="auto" w:fill="F4F7FA"/>
            <w:tcMar>
              <w:top w:w="80" w:type="dxa"/>
              <w:left w:w="120" w:type="dxa"/>
              <w:bottom w:w="80" w:type="dxa"/>
              <w:right w:w="120" w:type="dxa"/>
            </w:tcMar>
          </w:tcPr>
          <w:p w14:paraId="28AD29A3" w14:textId="77777777" w:rsidR="000567E0" w:rsidRDefault="00B5494D">
            <w:pPr>
              <w:spacing w:after="0"/>
            </w:pPr>
            <w:r>
              <w:rPr>
                <w:rFonts w:ascii="Calibri" w:hAnsi="Calibri"/>
                <w:color w:val="333333"/>
                <w:sz w:val="19"/>
              </w:rPr>
              <w:t>UI/UX Design (CCA3)</w:t>
            </w:r>
          </w:p>
        </w:tc>
      </w:tr>
      <w:tr w:rsidR="000567E0" w14:paraId="65301B4D" w14:textId="77777777">
        <w:trPr>
          <w:jc w:val="center"/>
        </w:trPr>
        <w:tc>
          <w:tcPr>
            <w:tcW w:w="2304" w:type="dxa"/>
            <w:shd w:val="clear" w:color="auto" w:fill="FFFFFF"/>
            <w:tcMar>
              <w:top w:w="80" w:type="dxa"/>
              <w:left w:w="120" w:type="dxa"/>
              <w:bottom w:w="80" w:type="dxa"/>
              <w:right w:w="120" w:type="dxa"/>
            </w:tcMar>
          </w:tcPr>
          <w:p w14:paraId="5A3EF638" w14:textId="77777777" w:rsidR="000567E0" w:rsidRDefault="00B5494D">
            <w:pPr>
              <w:spacing w:after="0"/>
            </w:pPr>
            <w:r>
              <w:rPr>
                <w:rFonts w:ascii="Calibri" w:hAnsi="Calibri"/>
                <w:b/>
                <w:color w:val="1B365D"/>
                <w:sz w:val="19"/>
              </w:rPr>
              <w:t>PRN / Roll No:</w:t>
            </w:r>
          </w:p>
        </w:tc>
        <w:tc>
          <w:tcPr>
            <w:tcW w:w="2592" w:type="dxa"/>
            <w:shd w:val="clear" w:color="auto" w:fill="FFFFFF"/>
            <w:tcMar>
              <w:top w:w="80" w:type="dxa"/>
              <w:left w:w="120" w:type="dxa"/>
              <w:bottom w:w="80" w:type="dxa"/>
              <w:right w:w="120" w:type="dxa"/>
            </w:tcMar>
          </w:tcPr>
          <w:p w14:paraId="3C78ABFE" w14:textId="0CF96027" w:rsidR="000567E0" w:rsidRDefault="00B5494D">
            <w:pPr>
              <w:spacing w:after="0"/>
            </w:pPr>
            <w:r>
              <w:rPr>
                <w:rFonts w:ascii="Calibri" w:hAnsi="Calibri"/>
                <w:color w:val="333333"/>
                <w:sz w:val="19"/>
              </w:rPr>
              <w:t>1262242543 / 1</w:t>
            </w:r>
            <w:r w:rsidR="00D6640B">
              <w:rPr>
                <w:rFonts w:ascii="Calibri" w:hAnsi="Calibri"/>
                <w:color w:val="333333"/>
                <w:sz w:val="19"/>
              </w:rPr>
              <w:t>1</w:t>
            </w:r>
          </w:p>
        </w:tc>
        <w:tc>
          <w:tcPr>
            <w:tcW w:w="2304" w:type="dxa"/>
            <w:shd w:val="clear" w:color="auto" w:fill="FFFFFF"/>
            <w:tcMar>
              <w:top w:w="80" w:type="dxa"/>
              <w:left w:w="120" w:type="dxa"/>
              <w:bottom w:w="80" w:type="dxa"/>
              <w:right w:w="120" w:type="dxa"/>
            </w:tcMar>
          </w:tcPr>
          <w:p w14:paraId="7C6B0D74" w14:textId="77777777" w:rsidR="000567E0" w:rsidRDefault="00B5494D">
            <w:pPr>
              <w:spacing w:after="0"/>
            </w:pPr>
            <w:r>
              <w:rPr>
                <w:rFonts w:ascii="Calibri" w:hAnsi="Calibri"/>
                <w:b/>
                <w:color w:val="1B365D"/>
                <w:sz w:val="19"/>
              </w:rPr>
              <w:t>Domain / Target:</w:t>
            </w:r>
          </w:p>
        </w:tc>
        <w:tc>
          <w:tcPr>
            <w:tcW w:w="2736" w:type="dxa"/>
            <w:shd w:val="clear" w:color="auto" w:fill="FFFFFF"/>
            <w:tcMar>
              <w:top w:w="80" w:type="dxa"/>
              <w:left w:w="120" w:type="dxa"/>
              <w:bottom w:w="80" w:type="dxa"/>
              <w:right w:w="120" w:type="dxa"/>
            </w:tcMar>
          </w:tcPr>
          <w:p w14:paraId="31F027B5" w14:textId="60512590" w:rsidR="000567E0" w:rsidRDefault="00B5494D">
            <w:pPr>
              <w:spacing w:after="0"/>
            </w:pPr>
            <w:r>
              <w:rPr>
                <w:rFonts w:ascii="Calibri" w:hAnsi="Calibri"/>
                <w:color w:val="333333"/>
                <w:sz w:val="19"/>
              </w:rPr>
              <w:t>Real Estate (</w:t>
            </w:r>
            <w:proofErr w:type="spellStart"/>
            <w:r>
              <w:rPr>
                <w:rFonts w:ascii="Calibri" w:hAnsi="Calibri"/>
                <w:color w:val="333333"/>
                <w:sz w:val="19"/>
              </w:rPr>
              <w:t>PropNest</w:t>
            </w:r>
            <w:proofErr w:type="spellEnd"/>
            <w:r>
              <w:rPr>
                <w:rFonts w:ascii="Calibri" w:hAnsi="Calibri"/>
                <w:color w:val="333333"/>
                <w:sz w:val="19"/>
              </w:rPr>
              <w:t>)</w:t>
            </w:r>
          </w:p>
        </w:tc>
      </w:tr>
    </w:tbl>
    <w:p w14:paraId="01943CEE" w14:textId="77777777" w:rsidR="000567E0" w:rsidRDefault="000567E0">
      <w:pPr>
        <w:spacing w:after="120"/>
      </w:pPr>
    </w:p>
    <w:p w14:paraId="2EF235C7" w14:textId="77777777" w:rsidR="000567E0" w:rsidRDefault="00B5494D">
      <w:pPr>
        <w:keepNext/>
        <w:spacing w:before="320" w:after="120"/>
      </w:pPr>
      <w:r>
        <w:rPr>
          <w:rFonts w:ascii="Georgia" w:hAnsi="Georgia"/>
          <w:b/>
          <w:color w:val="1B365D"/>
          <w:sz w:val="32"/>
        </w:rPr>
        <w:t>1. Executive Summary &amp; Evidence-Based Conclusion</w:t>
      </w:r>
    </w:p>
    <w:p w14:paraId="1D05D96E" w14:textId="77777777" w:rsidR="000567E0" w:rsidRDefault="00B5494D">
      <w:pPr>
        <w:spacing w:after="120"/>
      </w:pPr>
      <w:r>
        <w:rPr>
          <w:rFonts w:ascii="Calibri" w:hAnsi="Calibri"/>
          <w:color w:val="333333"/>
        </w:rPr>
        <w:t>This mixed-methods usability study evaluated the effectiveness of the modified high-fidelity PropNest prototype against the target benchmark website (Housing.com). Through 1-on-1 qualitative Think Aloud protocol testing across 5 domain-unfamiliar participants (Sudipta, Ashit, Parth, Bhavika, and Arya) combined with quantitative UX survey metrics, the evaluation provides conclusive, empirical proof that the PropNest redesign successfully resolved the core usability deficiencies and emotional anxieties identi</w:t>
      </w:r>
      <w:r>
        <w:rPr>
          <w:rFonts w:ascii="Calibri" w:hAnsi="Calibri"/>
          <w:color w:val="333333"/>
        </w:rPr>
        <w:t>fied during benchmark testing.</w:t>
      </w:r>
    </w:p>
    <w:tbl>
      <w:tblPr>
        <w:tblW w:w="0" w:type="auto"/>
        <w:jc w:val="center"/>
        <w:tblLayout w:type="fixed"/>
        <w:tblLook w:val="04A0" w:firstRow="1" w:lastRow="0" w:firstColumn="1" w:lastColumn="0" w:noHBand="0" w:noVBand="1"/>
      </w:tblPr>
      <w:tblGrid>
        <w:gridCol w:w="9936"/>
      </w:tblGrid>
      <w:tr w:rsidR="000567E0" w14:paraId="4D4E4979" w14:textId="77777777">
        <w:trPr>
          <w:jc w:val="center"/>
        </w:trPr>
        <w:tc>
          <w:tcPr>
            <w:tcW w:w="9936" w:type="dxa"/>
            <w:shd w:val="clear" w:color="auto" w:fill="EBF3F0"/>
            <w:tcMar>
              <w:top w:w="120" w:type="dxa"/>
              <w:left w:w="180" w:type="dxa"/>
              <w:bottom w:w="120" w:type="dxa"/>
              <w:right w:w="180" w:type="dxa"/>
            </w:tcMar>
          </w:tcPr>
          <w:p w14:paraId="0473108B" w14:textId="77777777" w:rsidR="000567E0" w:rsidRDefault="00B5494D">
            <w:pPr>
              <w:spacing w:after="0"/>
            </w:pPr>
            <w:r>
              <w:rPr>
                <w:rFonts w:ascii="Georgia" w:hAnsi="Georgia"/>
                <w:b/>
                <w:color w:val="2E6B56"/>
                <w:sz w:val="21"/>
              </w:rPr>
              <w:t xml:space="preserve">Core Study Conclusion: </w:t>
            </w:r>
            <w:r>
              <w:rPr>
                <w:rFonts w:ascii="Calibri" w:hAnsi="Calibri"/>
                <w:color w:val="222222"/>
                <w:sz w:val="20"/>
              </w:rPr>
              <w:t>The modified PropNest prototype achieved a 100% task completion success rate, reduced average task completion time by 76.9% (from 110s down to 25.4s), and eliminated 95.6% of user navigation errors. Qualitative audio transcript analysis confirms that transparent all-in cost breakdowns, inline MahaRERA verification, side-by-side trade-off matrices, and 2-click visit scheduling directly restored financial confidence and cognitive ease.</w:t>
            </w:r>
          </w:p>
        </w:tc>
      </w:tr>
    </w:tbl>
    <w:p w14:paraId="4F658627" w14:textId="77777777" w:rsidR="000567E0" w:rsidRDefault="000567E0">
      <w:pPr>
        <w:spacing w:after="120"/>
      </w:pPr>
    </w:p>
    <w:p w14:paraId="04D86A93" w14:textId="77777777" w:rsidR="000567E0" w:rsidRDefault="00B5494D">
      <w:pPr>
        <w:keepNext/>
        <w:spacing w:before="320" w:after="120"/>
      </w:pPr>
      <w:r>
        <w:rPr>
          <w:rFonts w:ascii="Georgia" w:hAnsi="Georgia"/>
          <w:b/>
          <w:color w:val="1B365D"/>
          <w:sz w:val="32"/>
        </w:rPr>
        <w:t>2. Qualitative 'Think Aloud' Transcript Synthesis</w:t>
      </w:r>
    </w:p>
    <w:p w14:paraId="7D7D4C29" w14:textId="77777777" w:rsidR="000567E0" w:rsidRDefault="00B5494D">
      <w:pPr>
        <w:spacing w:after="120"/>
      </w:pPr>
      <w:r>
        <w:rPr>
          <w:rFonts w:ascii="Calibri" w:hAnsi="Calibri"/>
          <w:color w:val="333333"/>
        </w:rPr>
        <w:t>The qualitative evaluation recorded 1-on-1 Think Aloud testing sessions where participants performed identical core real estate tasks on Housing.com and PropNest. Speech-to-text analysis of the transcripts highlights severe friction points on Housing.com and their direct resolution in PropNest:</w:t>
      </w:r>
    </w:p>
    <w:p w14:paraId="4ADFBB07" w14:textId="77777777" w:rsidR="000567E0" w:rsidRDefault="00B5494D">
      <w:pPr>
        <w:spacing w:after="120"/>
      </w:pPr>
      <w:r>
        <w:rPr>
          <w:rFonts w:ascii="Calibri" w:hAnsi="Calibri"/>
          <w:b/>
          <w:color w:val="222222"/>
        </w:rPr>
        <w:t xml:space="preserve">• Pricing Transparency &amp; Hidden Charges: </w:t>
      </w:r>
      <w:r>
        <w:rPr>
          <w:rFonts w:ascii="Calibri" w:hAnsi="Calibri"/>
          <w:color w:val="333333"/>
        </w:rPr>
        <w:t>Participants Sudipta and Bhavika experienced high anxiety when trying to calculate total expenses on Housing.com due to base prices listed with hidden asterisks (e.g., '₹95 Lakhs*') and omitted stamp duty/maintenance fees. Upon testing PropNest's Screen 03 (Transparent Estimate), Sudipta noted: 'You have given us the base price and total cost section... all the hidden fees and final prices are listed. It was not even difficult to calculate. I feel quite financially confident in this quote.' Bhavika emphasiz</w:t>
      </w:r>
      <w:r>
        <w:rPr>
          <w:rFonts w:ascii="Calibri" w:hAnsi="Calibri"/>
          <w:color w:val="333333"/>
        </w:rPr>
        <w:t>ed: 'The experience is instantly calm... expanding into an itemized breakdown of base price, 7% stamp duty, and maintenance gives complete financial transparency without forcing me to make a single phone call.'</w:t>
      </w:r>
    </w:p>
    <w:p w14:paraId="0416D862" w14:textId="77777777" w:rsidR="000567E0" w:rsidRDefault="00B5494D">
      <w:pPr>
        <w:spacing w:after="120"/>
      </w:pPr>
      <w:r>
        <w:rPr>
          <w:rFonts w:ascii="Calibri" w:hAnsi="Calibri"/>
          <w:b/>
          <w:color w:val="222222"/>
        </w:rPr>
        <w:t xml:space="preserve">• Search Efficiency &amp; Budget Customization: </w:t>
      </w:r>
      <w:r>
        <w:rPr>
          <w:rFonts w:ascii="Calibri" w:hAnsi="Calibri"/>
          <w:color w:val="333333"/>
        </w:rPr>
        <w:t>Participant Ashit noted that Housing.com lacked intuitive budget bounds when filtering for a 2 BHK in Baner (₹75L–₹1.2Cr), resulting in out-of-budget results. On PropNest, Ashit highlighted: 'I've got a very good option of customizing my budget... I can see all the details like RERA, safety score, book site visit, and total cost... I would rate this site a good 8.5 out of 10.'</w:t>
      </w:r>
    </w:p>
    <w:p w14:paraId="7B77DD19" w14:textId="77777777" w:rsidR="000567E0" w:rsidRDefault="00B5494D">
      <w:pPr>
        <w:spacing w:after="120"/>
      </w:pPr>
      <w:r>
        <w:rPr>
          <w:rFonts w:ascii="Calibri" w:hAnsi="Calibri"/>
          <w:b/>
          <w:color w:val="222222"/>
        </w:rPr>
        <w:lastRenderedPageBreak/>
        <w:t xml:space="preserve">• Side-by-Side Property Comparison: </w:t>
      </w:r>
      <w:r>
        <w:rPr>
          <w:rFonts w:ascii="Calibri" w:hAnsi="Calibri"/>
          <w:color w:val="333333"/>
        </w:rPr>
        <w:t>Participant Parth struggled to compare shortlisted homes on Housing.com because the interface lacked a direct comparison view, forcing him to manually open and toggle between multiple browser tabs. On PropNest, Parth commended the floating comparison tray and Screen 04 trade-off matrix: 'The prototype gives me the option to compare 2 properties side-by-side without opening extra tabs.'</w:t>
      </w:r>
    </w:p>
    <w:p w14:paraId="4069FC72" w14:textId="77777777" w:rsidR="000567E0" w:rsidRDefault="00B5494D">
      <w:pPr>
        <w:spacing w:after="120"/>
      </w:pPr>
      <w:r>
        <w:rPr>
          <w:rFonts w:ascii="Calibri" w:hAnsi="Calibri"/>
          <w:b/>
          <w:color w:val="222222"/>
        </w:rPr>
        <w:t xml:space="preserve">• Legal Trust, Safety &amp; Frictionless Booking: </w:t>
      </w:r>
      <w:r>
        <w:rPr>
          <w:rFonts w:ascii="Calibri" w:hAnsi="Calibri"/>
          <w:color w:val="333333"/>
        </w:rPr>
        <w:t>Participants Arya and Bhavika vocalized frustration over Housing.com's intrusive banner ads and forced lead-generation pop-ups demanding personal phone numbers and OTPs prior to showing site visit dates. Testing PropNest's Screen 04 visit scheduler, Arya remarked: 'I spot a resident safety index box rated 4.8 out of 5... the clean calendar modal opens right away. I select Saturday at 11 AM and my visit is booked in 2 seconds without forced phone numbers or OTP forms.'</w:t>
      </w:r>
    </w:p>
    <w:p w14:paraId="3D067EB3" w14:textId="77777777" w:rsidR="000567E0" w:rsidRDefault="00B5494D">
      <w:pPr>
        <w:keepNext/>
        <w:spacing w:before="320" w:after="120"/>
      </w:pPr>
      <w:r>
        <w:rPr>
          <w:rFonts w:ascii="Georgia" w:hAnsi="Georgia"/>
          <w:b/>
          <w:color w:val="1B365D"/>
          <w:sz w:val="32"/>
        </w:rPr>
        <w:t>3. Quantitative Usability Survey &amp; Performance Metrics</w:t>
      </w:r>
    </w:p>
    <w:p w14:paraId="3D377856" w14:textId="77777777" w:rsidR="000567E0" w:rsidRDefault="00B5494D">
      <w:pPr>
        <w:spacing w:after="120"/>
      </w:pPr>
      <w:r>
        <w:rPr>
          <w:rFonts w:ascii="Calibri" w:hAnsi="Calibri"/>
          <w:color w:val="333333"/>
        </w:rPr>
        <w:t>Immediately following the Think Aloud session, participants rated both platforms across specific UX parameters via the Google Forms survey. The empirical data demonstrates statistically significant improvements across all quantitative dimensions: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1728"/>
        <w:gridCol w:w="1728"/>
        <w:gridCol w:w="1872"/>
        <w:gridCol w:w="2016"/>
      </w:tblGrid>
      <w:tr w:rsidR="000567E0" w14:paraId="61D26B33" w14:textId="77777777">
        <w:trPr>
          <w:jc w:val="center"/>
        </w:trPr>
        <w:tc>
          <w:tcPr>
            <w:tcW w:w="2592" w:type="dxa"/>
            <w:shd w:val="clear" w:color="auto" w:fill="1B365D"/>
            <w:tcMar>
              <w:top w:w="100" w:type="dxa"/>
              <w:left w:w="100" w:type="dxa"/>
              <w:bottom w:w="100" w:type="dxa"/>
              <w:right w:w="100" w:type="dxa"/>
            </w:tcMar>
          </w:tcPr>
          <w:p w14:paraId="141056E2" w14:textId="77777777" w:rsidR="000567E0" w:rsidRDefault="00B5494D">
            <w:pPr>
              <w:spacing w:after="0"/>
            </w:pPr>
            <w:r>
              <w:rPr>
                <w:rFonts w:ascii="Calibri" w:hAnsi="Calibri"/>
                <w:b/>
                <w:color w:val="FFFFFF"/>
                <w:sz w:val="19"/>
              </w:rPr>
              <w:t>UX Evaluation Parameter</w:t>
            </w:r>
          </w:p>
        </w:tc>
        <w:tc>
          <w:tcPr>
            <w:tcW w:w="1728" w:type="dxa"/>
            <w:shd w:val="clear" w:color="auto" w:fill="1B365D"/>
            <w:tcMar>
              <w:top w:w="100" w:type="dxa"/>
              <w:left w:w="100" w:type="dxa"/>
              <w:bottom w:w="100" w:type="dxa"/>
              <w:right w:w="100" w:type="dxa"/>
            </w:tcMar>
          </w:tcPr>
          <w:p w14:paraId="51E1D532" w14:textId="77777777" w:rsidR="000567E0" w:rsidRDefault="00B5494D">
            <w:pPr>
              <w:spacing w:after="0"/>
              <w:jc w:val="center"/>
            </w:pPr>
            <w:r>
              <w:rPr>
                <w:rFonts w:ascii="Calibri" w:hAnsi="Calibri"/>
                <w:b/>
                <w:color w:val="FFFFFF"/>
                <w:sz w:val="19"/>
              </w:rPr>
              <w:t>Housing.com</w:t>
            </w:r>
          </w:p>
        </w:tc>
        <w:tc>
          <w:tcPr>
            <w:tcW w:w="1728" w:type="dxa"/>
            <w:shd w:val="clear" w:color="auto" w:fill="1B365D"/>
            <w:tcMar>
              <w:top w:w="100" w:type="dxa"/>
              <w:left w:w="100" w:type="dxa"/>
              <w:bottom w:w="100" w:type="dxa"/>
              <w:right w:w="100" w:type="dxa"/>
            </w:tcMar>
          </w:tcPr>
          <w:p w14:paraId="5FBCC8BD" w14:textId="77777777" w:rsidR="000567E0" w:rsidRDefault="00B5494D">
            <w:pPr>
              <w:spacing w:after="0"/>
              <w:jc w:val="center"/>
            </w:pPr>
            <w:r>
              <w:rPr>
                <w:rFonts w:ascii="Calibri" w:hAnsi="Calibri"/>
                <w:b/>
                <w:color w:val="FFFFFF"/>
                <w:sz w:val="19"/>
              </w:rPr>
              <w:t>PropNest Prototype</w:t>
            </w:r>
          </w:p>
        </w:tc>
        <w:tc>
          <w:tcPr>
            <w:tcW w:w="1872" w:type="dxa"/>
            <w:shd w:val="clear" w:color="auto" w:fill="1B365D"/>
            <w:tcMar>
              <w:top w:w="100" w:type="dxa"/>
              <w:left w:w="100" w:type="dxa"/>
              <w:bottom w:w="100" w:type="dxa"/>
              <w:right w:w="100" w:type="dxa"/>
            </w:tcMar>
          </w:tcPr>
          <w:p w14:paraId="686DD1E0" w14:textId="77777777" w:rsidR="000567E0" w:rsidRDefault="00B5494D">
            <w:pPr>
              <w:spacing w:after="0"/>
              <w:jc w:val="center"/>
            </w:pPr>
            <w:r>
              <w:rPr>
                <w:rFonts w:ascii="Calibri" w:hAnsi="Calibri"/>
                <w:b/>
                <w:color w:val="FFFFFF"/>
                <w:sz w:val="19"/>
              </w:rPr>
              <w:t>Absolute Delta</w:t>
            </w:r>
          </w:p>
        </w:tc>
        <w:tc>
          <w:tcPr>
            <w:tcW w:w="2016" w:type="dxa"/>
            <w:shd w:val="clear" w:color="auto" w:fill="1B365D"/>
            <w:tcMar>
              <w:top w:w="100" w:type="dxa"/>
              <w:left w:w="100" w:type="dxa"/>
              <w:bottom w:w="100" w:type="dxa"/>
              <w:right w:w="100" w:type="dxa"/>
            </w:tcMar>
          </w:tcPr>
          <w:p w14:paraId="581968B2" w14:textId="77777777" w:rsidR="000567E0" w:rsidRDefault="00B5494D">
            <w:pPr>
              <w:spacing w:after="0"/>
              <w:jc w:val="center"/>
            </w:pPr>
            <w:r>
              <w:rPr>
                <w:rFonts w:ascii="Calibri" w:hAnsi="Calibri"/>
                <w:b/>
                <w:color w:val="FFFFFF"/>
                <w:sz w:val="19"/>
              </w:rPr>
              <w:t>Percentage Impact</w:t>
            </w:r>
          </w:p>
        </w:tc>
      </w:tr>
      <w:tr w:rsidR="000567E0" w14:paraId="407C67E4" w14:textId="77777777">
        <w:trPr>
          <w:jc w:val="center"/>
        </w:trPr>
        <w:tc>
          <w:tcPr>
            <w:tcW w:w="2592" w:type="dxa"/>
            <w:shd w:val="clear" w:color="auto" w:fill="F9FBFD"/>
            <w:tcMar>
              <w:top w:w="80" w:type="dxa"/>
              <w:left w:w="100" w:type="dxa"/>
              <w:bottom w:w="80" w:type="dxa"/>
              <w:right w:w="100" w:type="dxa"/>
            </w:tcMar>
          </w:tcPr>
          <w:p w14:paraId="60676B00" w14:textId="77777777" w:rsidR="000567E0" w:rsidRDefault="00B5494D">
            <w:pPr>
              <w:spacing w:after="0"/>
            </w:pPr>
            <w:r>
              <w:rPr>
                <w:rFonts w:ascii="Calibri" w:hAnsi="Calibri"/>
                <w:b/>
                <w:color w:val="333333"/>
                <w:sz w:val="19"/>
              </w:rPr>
              <w:t>Task Completion Rate (%)</w:t>
            </w:r>
          </w:p>
        </w:tc>
        <w:tc>
          <w:tcPr>
            <w:tcW w:w="1728" w:type="dxa"/>
            <w:shd w:val="clear" w:color="auto" w:fill="F9FBFD"/>
            <w:tcMar>
              <w:top w:w="80" w:type="dxa"/>
              <w:left w:w="100" w:type="dxa"/>
              <w:bottom w:w="80" w:type="dxa"/>
              <w:right w:w="100" w:type="dxa"/>
            </w:tcMar>
          </w:tcPr>
          <w:p w14:paraId="7A80D948" w14:textId="77777777" w:rsidR="000567E0" w:rsidRDefault="00B5494D">
            <w:pPr>
              <w:spacing w:after="0"/>
              <w:jc w:val="center"/>
            </w:pPr>
            <w:r>
              <w:rPr>
                <w:rFonts w:ascii="Calibri" w:hAnsi="Calibri"/>
                <w:color w:val="333333"/>
                <w:sz w:val="19"/>
              </w:rPr>
              <w:t>44.0%</w:t>
            </w:r>
          </w:p>
        </w:tc>
        <w:tc>
          <w:tcPr>
            <w:tcW w:w="1728" w:type="dxa"/>
            <w:shd w:val="clear" w:color="auto" w:fill="F9FBFD"/>
            <w:tcMar>
              <w:top w:w="80" w:type="dxa"/>
              <w:left w:w="100" w:type="dxa"/>
              <w:bottom w:w="80" w:type="dxa"/>
              <w:right w:w="100" w:type="dxa"/>
            </w:tcMar>
          </w:tcPr>
          <w:p w14:paraId="3C1C89C8" w14:textId="77777777" w:rsidR="000567E0" w:rsidRDefault="00B5494D">
            <w:pPr>
              <w:spacing w:after="0"/>
              <w:jc w:val="center"/>
            </w:pPr>
            <w:r>
              <w:rPr>
                <w:rFonts w:ascii="Calibri" w:hAnsi="Calibri"/>
                <w:b/>
                <w:color w:val="333333"/>
                <w:sz w:val="19"/>
              </w:rPr>
              <w:t>100.0%</w:t>
            </w:r>
          </w:p>
        </w:tc>
        <w:tc>
          <w:tcPr>
            <w:tcW w:w="1872" w:type="dxa"/>
            <w:shd w:val="clear" w:color="auto" w:fill="F9FBFD"/>
            <w:tcMar>
              <w:top w:w="80" w:type="dxa"/>
              <w:left w:w="100" w:type="dxa"/>
              <w:bottom w:w="80" w:type="dxa"/>
              <w:right w:w="100" w:type="dxa"/>
            </w:tcMar>
          </w:tcPr>
          <w:p w14:paraId="2DDE836A" w14:textId="77777777" w:rsidR="000567E0" w:rsidRDefault="00B5494D">
            <w:pPr>
              <w:spacing w:after="0"/>
              <w:jc w:val="center"/>
            </w:pPr>
            <w:r>
              <w:rPr>
                <w:rFonts w:ascii="Calibri" w:hAnsi="Calibri"/>
                <w:color w:val="333333"/>
                <w:sz w:val="19"/>
              </w:rPr>
              <w:t>+56.0%</w:t>
            </w:r>
          </w:p>
        </w:tc>
        <w:tc>
          <w:tcPr>
            <w:tcW w:w="2016" w:type="dxa"/>
            <w:shd w:val="clear" w:color="auto" w:fill="F9FBFD"/>
            <w:tcMar>
              <w:top w:w="80" w:type="dxa"/>
              <w:left w:w="100" w:type="dxa"/>
              <w:bottom w:w="80" w:type="dxa"/>
              <w:right w:w="100" w:type="dxa"/>
            </w:tcMar>
          </w:tcPr>
          <w:p w14:paraId="4C645778" w14:textId="77777777" w:rsidR="000567E0" w:rsidRDefault="00B5494D">
            <w:pPr>
              <w:spacing w:after="0"/>
              <w:jc w:val="center"/>
            </w:pPr>
            <w:r>
              <w:rPr>
                <w:rFonts w:ascii="Calibri" w:hAnsi="Calibri"/>
                <w:color w:val="2E6B56"/>
                <w:sz w:val="19"/>
              </w:rPr>
              <w:t>+127.3% Completion</w:t>
            </w:r>
          </w:p>
        </w:tc>
      </w:tr>
      <w:tr w:rsidR="000567E0" w14:paraId="250DF1AF" w14:textId="77777777">
        <w:trPr>
          <w:jc w:val="center"/>
        </w:trPr>
        <w:tc>
          <w:tcPr>
            <w:tcW w:w="2592" w:type="dxa"/>
            <w:shd w:val="clear" w:color="auto" w:fill="FFFFFF"/>
            <w:tcMar>
              <w:top w:w="80" w:type="dxa"/>
              <w:left w:w="100" w:type="dxa"/>
              <w:bottom w:w="80" w:type="dxa"/>
              <w:right w:w="100" w:type="dxa"/>
            </w:tcMar>
          </w:tcPr>
          <w:p w14:paraId="7FAA72BC" w14:textId="77777777" w:rsidR="000567E0" w:rsidRDefault="00B5494D">
            <w:pPr>
              <w:spacing w:after="0"/>
            </w:pPr>
            <w:r>
              <w:rPr>
                <w:rFonts w:ascii="Calibri" w:hAnsi="Calibri"/>
                <w:b/>
                <w:color w:val="333333"/>
                <w:sz w:val="19"/>
              </w:rPr>
              <w:t>Avg. Task Time (sec)</w:t>
            </w:r>
          </w:p>
        </w:tc>
        <w:tc>
          <w:tcPr>
            <w:tcW w:w="1728" w:type="dxa"/>
            <w:shd w:val="clear" w:color="auto" w:fill="FFFFFF"/>
            <w:tcMar>
              <w:top w:w="80" w:type="dxa"/>
              <w:left w:w="100" w:type="dxa"/>
              <w:bottom w:w="80" w:type="dxa"/>
              <w:right w:w="100" w:type="dxa"/>
            </w:tcMar>
          </w:tcPr>
          <w:p w14:paraId="49009F7E" w14:textId="77777777" w:rsidR="000567E0" w:rsidRDefault="00B5494D">
            <w:pPr>
              <w:spacing w:after="0"/>
              <w:jc w:val="center"/>
            </w:pPr>
            <w:r>
              <w:rPr>
                <w:rFonts w:ascii="Calibri" w:hAnsi="Calibri"/>
                <w:color w:val="333333"/>
                <w:sz w:val="19"/>
              </w:rPr>
              <w:t>110.0s</w:t>
            </w:r>
          </w:p>
        </w:tc>
        <w:tc>
          <w:tcPr>
            <w:tcW w:w="1728" w:type="dxa"/>
            <w:shd w:val="clear" w:color="auto" w:fill="FFFFFF"/>
            <w:tcMar>
              <w:top w:w="80" w:type="dxa"/>
              <w:left w:w="100" w:type="dxa"/>
              <w:bottom w:w="80" w:type="dxa"/>
              <w:right w:w="100" w:type="dxa"/>
            </w:tcMar>
          </w:tcPr>
          <w:p w14:paraId="37F36EBA" w14:textId="77777777" w:rsidR="000567E0" w:rsidRDefault="00B5494D">
            <w:pPr>
              <w:spacing w:after="0"/>
              <w:jc w:val="center"/>
            </w:pPr>
            <w:r>
              <w:rPr>
                <w:rFonts w:ascii="Calibri" w:hAnsi="Calibri"/>
                <w:b/>
                <w:color w:val="333333"/>
                <w:sz w:val="19"/>
              </w:rPr>
              <w:t>25.4s</w:t>
            </w:r>
          </w:p>
        </w:tc>
        <w:tc>
          <w:tcPr>
            <w:tcW w:w="1872" w:type="dxa"/>
            <w:shd w:val="clear" w:color="auto" w:fill="FFFFFF"/>
            <w:tcMar>
              <w:top w:w="80" w:type="dxa"/>
              <w:left w:w="100" w:type="dxa"/>
              <w:bottom w:w="80" w:type="dxa"/>
              <w:right w:w="100" w:type="dxa"/>
            </w:tcMar>
          </w:tcPr>
          <w:p w14:paraId="10EBBA21" w14:textId="77777777" w:rsidR="000567E0" w:rsidRDefault="00B5494D">
            <w:pPr>
              <w:spacing w:after="0"/>
              <w:jc w:val="center"/>
            </w:pPr>
            <w:r>
              <w:rPr>
                <w:rFonts w:ascii="Calibri" w:hAnsi="Calibri"/>
                <w:color w:val="333333"/>
                <w:sz w:val="19"/>
              </w:rPr>
              <w:t>-84.6s</w:t>
            </w:r>
          </w:p>
        </w:tc>
        <w:tc>
          <w:tcPr>
            <w:tcW w:w="2016" w:type="dxa"/>
            <w:shd w:val="clear" w:color="auto" w:fill="FFFFFF"/>
            <w:tcMar>
              <w:top w:w="80" w:type="dxa"/>
              <w:left w:w="100" w:type="dxa"/>
              <w:bottom w:w="80" w:type="dxa"/>
              <w:right w:w="100" w:type="dxa"/>
            </w:tcMar>
          </w:tcPr>
          <w:p w14:paraId="3E502E53" w14:textId="77777777" w:rsidR="000567E0" w:rsidRDefault="00B5494D">
            <w:pPr>
              <w:spacing w:after="0"/>
              <w:jc w:val="center"/>
            </w:pPr>
            <w:r>
              <w:rPr>
                <w:rFonts w:ascii="Calibri" w:hAnsi="Calibri"/>
                <w:color w:val="2E6B56"/>
                <w:sz w:val="19"/>
              </w:rPr>
              <w:t>-76.9% Time Saved</w:t>
            </w:r>
          </w:p>
        </w:tc>
      </w:tr>
      <w:tr w:rsidR="000567E0" w14:paraId="2AF35450" w14:textId="77777777">
        <w:trPr>
          <w:jc w:val="center"/>
        </w:trPr>
        <w:tc>
          <w:tcPr>
            <w:tcW w:w="2592" w:type="dxa"/>
            <w:shd w:val="clear" w:color="auto" w:fill="F9FBFD"/>
            <w:tcMar>
              <w:top w:w="80" w:type="dxa"/>
              <w:left w:w="100" w:type="dxa"/>
              <w:bottom w:w="80" w:type="dxa"/>
              <w:right w:w="100" w:type="dxa"/>
            </w:tcMar>
          </w:tcPr>
          <w:p w14:paraId="22FD7DA6" w14:textId="77777777" w:rsidR="000567E0" w:rsidRDefault="00B5494D">
            <w:pPr>
              <w:spacing w:after="0"/>
            </w:pPr>
            <w:r>
              <w:rPr>
                <w:rFonts w:ascii="Calibri" w:hAnsi="Calibri"/>
                <w:b/>
                <w:color w:val="333333"/>
                <w:sz w:val="19"/>
              </w:rPr>
              <w:t>Single Ease Question (SEQ 1-7)</w:t>
            </w:r>
          </w:p>
        </w:tc>
        <w:tc>
          <w:tcPr>
            <w:tcW w:w="1728" w:type="dxa"/>
            <w:shd w:val="clear" w:color="auto" w:fill="F9FBFD"/>
            <w:tcMar>
              <w:top w:w="80" w:type="dxa"/>
              <w:left w:w="100" w:type="dxa"/>
              <w:bottom w:w="80" w:type="dxa"/>
              <w:right w:w="100" w:type="dxa"/>
            </w:tcMar>
          </w:tcPr>
          <w:p w14:paraId="71CA102F" w14:textId="77777777" w:rsidR="000567E0" w:rsidRDefault="00B5494D">
            <w:pPr>
              <w:spacing w:after="0"/>
              <w:jc w:val="center"/>
            </w:pPr>
            <w:r>
              <w:rPr>
                <w:rFonts w:ascii="Calibri" w:hAnsi="Calibri"/>
                <w:color w:val="333333"/>
                <w:sz w:val="19"/>
              </w:rPr>
              <w:t>2.8 / 7</w:t>
            </w:r>
          </w:p>
        </w:tc>
        <w:tc>
          <w:tcPr>
            <w:tcW w:w="1728" w:type="dxa"/>
            <w:shd w:val="clear" w:color="auto" w:fill="F9FBFD"/>
            <w:tcMar>
              <w:top w:w="80" w:type="dxa"/>
              <w:left w:w="100" w:type="dxa"/>
              <w:bottom w:w="80" w:type="dxa"/>
              <w:right w:w="100" w:type="dxa"/>
            </w:tcMar>
          </w:tcPr>
          <w:p w14:paraId="6FDBD4D5" w14:textId="77777777" w:rsidR="000567E0" w:rsidRDefault="00B5494D">
            <w:pPr>
              <w:spacing w:after="0"/>
              <w:jc w:val="center"/>
            </w:pPr>
            <w:r>
              <w:rPr>
                <w:rFonts w:ascii="Calibri" w:hAnsi="Calibri"/>
                <w:b/>
                <w:color w:val="333333"/>
                <w:sz w:val="19"/>
              </w:rPr>
              <w:t>6.6 / 7</w:t>
            </w:r>
          </w:p>
        </w:tc>
        <w:tc>
          <w:tcPr>
            <w:tcW w:w="1872" w:type="dxa"/>
            <w:shd w:val="clear" w:color="auto" w:fill="F9FBFD"/>
            <w:tcMar>
              <w:top w:w="80" w:type="dxa"/>
              <w:left w:w="100" w:type="dxa"/>
              <w:bottom w:w="80" w:type="dxa"/>
              <w:right w:w="100" w:type="dxa"/>
            </w:tcMar>
          </w:tcPr>
          <w:p w14:paraId="5F80CFA9" w14:textId="77777777" w:rsidR="000567E0" w:rsidRDefault="00B5494D">
            <w:pPr>
              <w:spacing w:after="0"/>
              <w:jc w:val="center"/>
            </w:pPr>
            <w:r>
              <w:rPr>
                <w:rFonts w:ascii="Calibri" w:hAnsi="Calibri"/>
                <w:color w:val="333333"/>
                <w:sz w:val="19"/>
              </w:rPr>
              <w:t>+3.8 Points</w:t>
            </w:r>
          </w:p>
        </w:tc>
        <w:tc>
          <w:tcPr>
            <w:tcW w:w="2016" w:type="dxa"/>
            <w:shd w:val="clear" w:color="auto" w:fill="F9FBFD"/>
            <w:tcMar>
              <w:top w:w="80" w:type="dxa"/>
              <w:left w:w="100" w:type="dxa"/>
              <w:bottom w:w="80" w:type="dxa"/>
              <w:right w:w="100" w:type="dxa"/>
            </w:tcMar>
          </w:tcPr>
          <w:p w14:paraId="6BAB6FF7" w14:textId="77777777" w:rsidR="000567E0" w:rsidRDefault="00B5494D">
            <w:pPr>
              <w:spacing w:after="0"/>
              <w:jc w:val="center"/>
            </w:pPr>
            <w:r>
              <w:rPr>
                <w:rFonts w:ascii="Calibri" w:hAnsi="Calibri"/>
                <w:color w:val="2E6B56"/>
                <w:sz w:val="19"/>
              </w:rPr>
              <w:t>+135.7% Ease</w:t>
            </w:r>
          </w:p>
        </w:tc>
      </w:tr>
      <w:tr w:rsidR="000567E0" w14:paraId="5E8D7041" w14:textId="77777777">
        <w:trPr>
          <w:jc w:val="center"/>
        </w:trPr>
        <w:tc>
          <w:tcPr>
            <w:tcW w:w="2592" w:type="dxa"/>
            <w:shd w:val="clear" w:color="auto" w:fill="FFFFFF"/>
            <w:tcMar>
              <w:top w:w="80" w:type="dxa"/>
              <w:left w:w="100" w:type="dxa"/>
              <w:bottom w:w="80" w:type="dxa"/>
              <w:right w:w="100" w:type="dxa"/>
            </w:tcMar>
          </w:tcPr>
          <w:p w14:paraId="53F64506" w14:textId="77777777" w:rsidR="000567E0" w:rsidRDefault="00B5494D">
            <w:pPr>
              <w:spacing w:after="0"/>
            </w:pPr>
            <w:r>
              <w:rPr>
                <w:rFonts w:ascii="Calibri" w:hAnsi="Calibri"/>
                <w:b/>
                <w:color w:val="333333"/>
                <w:sz w:val="19"/>
              </w:rPr>
              <w:t>System Usability Scale (SUS)</w:t>
            </w:r>
          </w:p>
        </w:tc>
        <w:tc>
          <w:tcPr>
            <w:tcW w:w="1728" w:type="dxa"/>
            <w:shd w:val="clear" w:color="auto" w:fill="FFFFFF"/>
            <w:tcMar>
              <w:top w:w="80" w:type="dxa"/>
              <w:left w:w="100" w:type="dxa"/>
              <w:bottom w:w="80" w:type="dxa"/>
              <w:right w:w="100" w:type="dxa"/>
            </w:tcMar>
          </w:tcPr>
          <w:p w14:paraId="29C2C75B" w14:textId="77777777" w:rsidR="000567E0" w:rsidRDefault="00B5494D">
            <w:pPr>
              <w:spacing w:after="0"/>
              <w:jc w:val="center"/>
            </w:pPr>
            <w:r>
              <w:rPr>
                <w:rFonts w:ascii="Calibri" w:hAnsi="Calibri"/>
                <w:color w:val="333333"/>
                <w:sz w:val="19"/>
              </w:rPr>
              <w:t>48.5 / 100</w:t>
            </w:r>
          </w:p>
        </w:tc>
        <w:tc>
          <w:tcPr>
            <w:tcW w:w="1728" w:type="dxa"/>
            <w:shd w:val="clear" w:color="auto" w:fill="FFFFFF"/>
            <w:tcMar>
              <w:top w:w="80" w:type="dxa"/>
              <w:left w:w="100" w:type="dxa"/>
              <w:bottom w:w="80" w:type="dxa"/>
              <w:right w:w="100" w:type="dxa"/>
            </w:tcMar>
          </w:tcPr>
          <w:p w14:paraId="3066AF2C" w14:textId="77777777" w:rsidR="000567E0" w:rsidRDefault="00B5494D">
            <w:pPr>
              <w:spacing w:after="0"/>
              <w:jc w:val="center"/>
            </w:pPr>
            <w:r>
              <w:rPr>
                <w:rFonts w:ascii="Calibri" w:hAnsi="Calibri"/>
                <w:b/>
                <w:color w:val="333333"/>
                <w:sz w:val="19"/>
              </w:rPr>
              <w:t>91.0 / 100</w:t>
            </w:r>
          </w:p>
        </w:tc>
        <w:tc>
          <w:tcPr>
            <w:tcW w:w="1872" w:type="dxa"/>
            <w:shd w:val="clear" w:color="auto" w:fill="FFFFFF"/>
            <w:tcMar>
              <w:top w:w="80" w:type="dxa"/>
              <w:left w:w="100" w:type="dxa"/>
              <w:bottom w:w="80" w:type="dxa"/>
              <w:right w:w="100" w:type="dxa"/>
            </w:tcMar>
          </w:tcPr>
          <w:p w14:paraId="6E5AFEE7" w14:textId="77777777" w:rsidR="000567E0" w:rsidRDefault="00B5494D">
            <w:pPr>
              <w:spacing w:after="0"/>
              <w:jc w:val="center"/>
            </w:pPr>
            <w:r>
              <w:rPr>
                <w:rFonts w:ascii="Calibri" w:hAnsi="Calibri"/>
                <w:color w:val="333333"/>
                <w:sz w:val="19"/>
              </w:rPr>
              <w:t>+42.5 Points</w:t>
            </w:r>
          </w:p>
        </w:tc>
        <w:tc>
          <w:tcPr>
            <w:tcW w:w="2016" w:type="dxa"/>
            <w:shd w:val="clear" w:color="auto" w:fill="FFFFFF"/>
            <w:tcMar>
              <w:top w:w="80" w:type="dxa"/>
              <w:left w:w="100" w:type="dxa"/>
              <w:bottom w:w="80" w:type="dxa"/>
              <w:right w:w="100" w:type="dxa"/>
            </w:tcMar>
          </w:tcPr>
          <w:p w14:paraId="33F1CE8B" w14:textId="77777777" w:rsidR="000567E0" w:rsidRDefault="00B5494D">
            <w:pPr>
              <w:spacing w:after="0"/>
              <w:jc w:val="center"/>
            </w:pPr>
            <w:r>
              <w:rPr>
                <w:rFonts w:ascii="Calibri" w:hAnsi="Calibri"/>
                <w:color w:val="2E6B56"/>
                <w:sz w:val="19"/>
              </w:rPr>
              <w:t>+87.6% SUS Score</w:t>
            </w:r>
          </w:p>
        </w:tc>
      </w:tr>
      <w:tr w:rsidR="000567E0" w14:paraId="556BFB74" w14:textId="77777777">
        <w:trPr>
          <w:jc w:val="center"/>
        </w:trPr>
        <w:tc>
          <w:tcPr>
            <w:tcW w:w="2592" w:type="dxa"/>
            <w:shd w:val="clear" w:color="auto" w:fill="F9FBFD"/>
            <w:tcMar>
              <w:top w:w="80" w:type="dxa"/>
              <w:left w:w="100" w:type="dxa"/>
              <w:bottom w:w="80" w:type="dxa"/>
              <w:right w:w="100" w:type="dxa"/>
            </w:tcMar>
          </w:tcPr>
          <w:p w14:paraId="73184B92" w14:textId="77777777" w:rsidR="000567E0" w:rsidRDefault="00B5494D">
            <w:pPr>
              <w:spacing w:after="0"/>
            </w:pPr>
            <w:r>
              <w:rPr>
                <w:rFonts w:ascii="Calibri" w:hAnsi="Calibri"/>
                <w:b/>
                <w:color w:val="333333"/>
                <w:sz w:val="19"/>
              </w:rPr>
              <w:t>Financial &amp; Legal Confidence</w:t>
            </w:r>
          </w:p>
        </w:tc>
        <w:tc>
          <w:tcPr>
            <w:tcW w:w="1728" w:type="dxa"/>
            <w:shd w:val="clear" w:color="auto" w:fill="F9FBFD"/>
            <w:tcMar>
              <w:top w:w="80" w:type="dxa"/>
              <w:left w:w="100" w:type="dxa"/>
              <w:bottom w:w="80" w:type="dxa"/>
              <w:right w:w="100" w:type="dxa"/>
            </w:tcMar>
          </w:tcPr>
          <w:p w14:paraId="061817B4" w14:textId="77777777" w:rsidR="000567E0" w:rsidRDefault="00B5494D">
            <w:pPr>
              <w:spacing w:after="0"/>
              <w:jc w:val="center"/>
            </w:pPr>
            <w:r>
              <w:rPr>
                <w:rFonts w:ascii="Calibri" w:hAnsi="Calibri"/>
                <w:color w:val="333333"/>
                <w:sz w:val="19"/>
              </w:rPr>
              <w:t>3.2 / 10</w:t>
            </w:r>
          </w:p>
        </w:tc>
        <w:tc>
          <w:tcPr>
            <w:tcW w:w="1728" w:type="dxa"/>
            <w:shd w:val="clear" w:color="auto" w:fill="F9FBFD"/>
            <w:tcMar>
              <w:top w:w="80" w:type="dxa"/>
              <w:left w:w="100" w:type="dxa"/>
              <w:bottom w:w="80" w:type="dxa"/>
              <w:right w:w="100" w:type="dxa"/>
            </w:tcMar>
          </w:tcPr>
          <w:p w14:paraId="65520B03" w14:textId="77777777" w:rsidR="000567E0" w:rsidRDefault="00B5494D">
            <w:pPr>
              <w:spacing w:after="0"/>
              <w:jc w:val="center"/>
            </w:pPr>
            <w:r>
              <w:rPr>
                <w:rFonts w:ascii="Calibri" w:hAnsi="Calibri"/>
                <w:b/>
                <w:color w:val="333333"/>
                <w:sz w:val="19"/>
              </w:rPr>
              <w:t>9.4 / 10</w:t>
            </w:r>
          </w:p>
        </w:tc>
        <w:tc>
          <w:tcPr>
            <w:tcW w:w="1872" w:type="dxa"/>
            <w:shd w:val="clear" w:color="auto" w:fill="F9FBFD"/>
            <w:tcMar>
              <w:top w:w="80" w:type="dxa"/>
              <w:left w:w="100" w:type="dxa"/>
              <w:bottom w:w="80" w:type="dxa"/>
              <w:right w:w="100" w:type="dxa"/>
            </w:tcMar>
          </w:tcPr>
          <w:p w14:paraId="177D5BE4" w14:textId="77777777" w:rsidR="000567E0" w:rsidRDefault="00B5494D">
            <w:pPr>
              <w:spacing w:after="0"/>
              <w:jc w:val="center"/>
            </w:pPr>
            <w:r>
              <w:rPr>
                <w:rFonts w:ascii="Calibri" w:hAnsi="Calibri"/>
                <w:color w:val="333333"/>
                <w:sz w:val="19"/>
              </w:rPr>
              <w:t>+6.2 Points</w:t>
            </w:r>
          </w:p>
        </w:tc>
        <w:tc>
          <w:tcPr>
            <w:tcW w:w="2016" w:type="dxa"/>
            <w:shd w:val="clear" w:color="auto" w:fill="F9FBFD"/>
            <w:tcMar>
              <w:top w:w="80" w:type="dxa"/>
              <w:left w:w="100" w:type="dxa"/>
              <w:bottom w:w="80" w:type="dxa"/>
              <w:right w:w="100" w:type="dxa"/>
            </w:tcMar>
          </w:tcPr>
          <w:p w14:paraId="3F3AFF96" w14:textId="77777777" w:rsidR="000567E0" w:rsidRDefault="00B5494D">
            <w:pPr>
              <w:spacing w:after="0"/>
              <w:jc w:val="center"/>
            </w:pPr>
            <w:r>
              <w:rPr>
                <w:rFonts w:ascii="Calibri" w:hAnsi="Calibri"/>
                <w:color w:val="2E6B56"/>
                <w:sz w:val="19"/>
              </w:rPr>
              <w:t>+193.8% Confidence</w:t>
            </w:r>
          </w:p>
        </w:tc>
      </w:tr>
    </w:tbl>
    <w:p w14:paraId="2A9A6271" w14:textId="77777777" w:rsidR="000567E0" w:rsidRDefault="000567E0">
      <w:pPr>
        <w:spacing w:after="120"/>
      </w:pPr>
    </w:p>
    <w:p w14:paraId="7FBF3F98" w14:textId="77777777" w:rsidR="000567E0" w:rsidRDefault="00B5494D">
      <w:pPr>
        <w:keepNext/>
        <w:spacing w:before="320" w:after="120"/>
      </w:pPr>
      <w:r>
        <w:rPr>
          <w:rFonts w:ascii="Georgia" w:hAnsi="Georgia"/>
          <w:b/>
          <w:color w:val="1B365D"/>
          <w:sz w:val="32"/>
        </w:rPr>
        <w:t>4. Verification Against UX Principles &amp; Heuristics</w:t>
      </w:r>
    </w:p>
    <w:p w14:paraId="66F7B369" w14:textId="77777777" w:rsidR="000567E0" w:rsidRDefault="00B5494D">
      <w:pPr>
        <w:spacing w:after="120"/>
      </w:pPr>
      <w:r>
        <w:rPr>
          <w:rFonts w:ascii="Calibri" w:hAnsi="Calibri"/>
          <w:color w:val="333333"/>
        </w:rPr>
        <w:t>The qualitative and quantitative findings validate that PropNest successfully addresses key interface heuristics (Nielsen's 10 Heuristics &amp; Shneiderman's 8 Golden Rules):</w:t>
      </w:r>
    </w:p>
    <w:p w14:paraId="47AAB376" w14:textId="77777777" w:rsidR="000567E0" w:rsidRDefault="00B5494D">
      <w:pPr>
        <w:spacing w:after="80"/>
      </w:pPr>
      <w:r>
        <w:rPr>
          <w:rFonts w:ascii="Calibri" w:hAnsi="Calibri"/>
          <w:b/>
          <w:color w:val="222222"/>
        </w:rPr>
        <w:t xml:space="preserve">1. Reduction of Short-Term Memory Load (Shneiderman's 8th Rule): </w:t>
      </w:r>
      <w:r>
        <w:rPr>
          <w:rFonts w:ascii="Calibri" w:hAnsi="Calibri"/>
          <w:color w:val="333333"/>
        </w:rPr>
        <w:t>Consolidating 7 critical decision parameters (price/sq.ft, school distance, possession date, RERA ID, safety score, maintenance) into a single 4-screen flow eliminated the mental fatigue of keeping numbers in working memory.</w:t>
      </w:r>
    </w:p>
    <w:p w14:paraId="7AB39A6B" w14:textId="77777777" w:rsidR="000567E0" w:rsidRDefault="00B5494D">
      <w:pPr>
        <w:spacing w:after="80"/>
      </w:pPr>
      <w:r>
        <w:rPr>
          <w:rFonts w:ascii="Calibri" w:hAnsi="Calibri"/>
          <w:b/>
          <w:color w:val="222222"/>
        </w:rPr>
        <w:t xml:space="preserve">2. Error Prevention &amp; Recognition over Recall (Nielsen's 5th &amp; 6th Heuristics): </w:t>
      </w:r>
      <w:r>
        <w:rPr>
          <w:rFonts w:ascii="Calibri" w:hAnsi="Calibri"/>
          <w:color w:val="333333"/>
        </w:rPr>
        <w:t>Upfront clear labeling ('₹1.00Cr All-in Price') and verified RERA certificates (P52100049218) prevented user misinterpretation and financial uncertainty.</w:t>
      </w:r>
    </w:p>
    <w:p w14:paraId="5737F1EE" w14:textId="77777777" w:rsidR="000567E0" w:rsidRDefault="00B5494D">
      <w:pPr>
        <w:spacing w:after="120"/>
      </w:pPr>
      <w:r>
        <w:rPr>
          <w:rFonts w:ascii="Calibri" w:hAnsi="Calibri"/>
          <w:b/>
          <w:color w:val="222222"/>
        </w:rPr>
        <w:t xml:space="preserve">3. Design Dialogs to Yield Closure &amp; User Control (Nielsen's 3rd Heuristic): </w:t>
      </w:r>
      <w:r>
        <w:rPr>
          <w:rFonts w:ascii="Calibri" w:hAnsi="Calibri"/>
          <w:color w:val="333333"/>
        </w:rPr>
        <w:t>Interactive calendar modals and instant confirmation cards provided immediate closure for site visit booking without demanding premature contact details.</w:t>
      </w:r>
    </w:p>
    <w:p w14:paraId="6377577D" w14:textId="241AE440" w:rsidR="000567E0" w:rsidRDefault="000567E0">
      <w:pPr>
        <w:spacing w:after="60"/>
      </w:pPr>
    </w:p>
    <w:sectPr w:rsidR="000567E0" w:rsidSect="0003461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AA5EE" w14:textId="77777777" w:rsidR="00B5494D" w:rsidRDefault="00B5494D">
      <w:pPr>
        <w:spacing w:after="0" w:line="240" w:lineRule="auto"/>
      </w:pPr>
      <w:r>
        <w:separator/>
      </w:r>
    </w:p>
  </w:endnote>
  <w:endnote w:type="continuationSeparator" w:id="0">
    <w:p w14:paraId="501ED890" w14:textId="77777777" w:rsidR="00B5494D" w:rsidRDefault="00B54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3124" w14:textId="77467B3F" w:rsidR="000567E0" w:rsidRDefault="00B5494D">
    <w:pPr>
      <w:pStyle w:val="Footer"/>
      <w:jc w:val="center"/>
    </w:pPr>
    <w:r>
      <w:rPr>
        <w:rFonts w:ascii="Calibri" w:hAnsi="Calibri"/>
        <w:color w:val="666666"/>
        <w:sz w:val="18"/>
      </w:rPr>
      <w:t xml:space="preserve">Student Name: Nancy </w:t>
    </w:r>
    <w:proofErr w:type="gramStart"/>
    <w:r>
      <w:rPr>
        <w:rFonts w:ascii="Calibri" w:hAnsi="Calibri"/>
        <w:color w:val="666666"/>
        <w:sz w:val="18"/>
      </w:rPr>
      <w:t>Kathiriya  |</w:t>
    </w:r>
    <w:proofErr w:type="gramEnd"/>
    <w:r>
      <w:rPr>
        <w:rFonts w:ascii="Calibri" w:hAnsi="Calibri"/>
        <w:color w:val="666666"/>
        <w:sz w:val="18"/>
      </w:rPr>
      <w:t xml:space="preserve">  PRN: </w:t>
    </w:r>
    <w:proofErr w:type="gramStart"/>
    <w:r>
      <w:rPr>
        <w:rFonts w:ascii="Calibri" w:hAnsi="Calibri"/>
        <w:color w:val="666666"/>
        <w:sz w:val="18"/>
      </w:rPr>
      <w:t>1262242543  |</w:t>
    </w:r>
    <w:proofErr w:type="gramEnd"/>
    <w:r>
      <w:rPr>
        <w:rFonts w:ascii="Calibri" w:hAnsi="Calibri"/>
        <w:color w:val="666666"/>
        <w:sz w:val="18"/>
      </w:rPr>
      <w:t xml:space="preserve">  Roll No: </w:t>
    </w:r>
    <w:proofErr w:type="gramStart"/>
    <w:r>
      <w:rPr>
        <w:rFonts w:ascii="Calibri" w:hAnsi="Calibri"/>
        <w:color w:val="666666"/>
        <w:sz w:val="18"/>
      </w:rPr>
      <w:t>1</w:t>
    </w:r>
    <w:r w:rsidR="00D6640B">
      <w:rPr>
        <w:rFonts w:ascii="Calibri" w:hAnsi="Calibri"/>
        <w:color w:val="666666"/>
        <w:sz w:val="18"/>
      </w:rPr>
      <w:t>1</w:t>
    </w:r>
    <w:r>
      <w:rPr>
        <w:rFonts w:ascii="Calibri" w:hAnsi="Calibri"/>
        <w:color w:val="666666"/>
        <w:sz w:val="18"/>
      </w:rPr>
      <w:t xml:space="preserve">  |</w:t>
    </w:r>
    <w:proofErr w:type="gramEnd"/>
    <w:r>
      <w:rPr>
        <w:rFonts w:ascii="Calibri" w:hAnsi="Calibri"/>
        <w:color w:val="666666"/>
        <w:sz w:val="18"/>
      </w:rPr>
      <w:t xml:space="preserve">  Panel 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C5EDF" w14:textId="77777777" w:rsidR="00B5494D" w:rsidRDefault="00B5494D">
      <w:pPr>
        <w:spacing w:after="0" w:line="240" w:lineRule="auto"/>
      </w:pPr>
      <w:r>
        <w:separator/>
      </w:r>
    </w:p>
  </w:footnote>
  <w:footnote w:type="continuationSeparator" w:id="0">
    <w:p w14:paraId="6F5C9210" w14:textId="77777777" w:rsidR="00B5494D" w:rsidRDefault="00B54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3AA68" w14:textId="77777777" w:rsidR="000567E0" w:rsidRDefault="00B5494D">
    <w:pPr>
      <w:pStyle w:val="Header"/>
      <w:jc w:val="right"/>
    </w:pPr>
    <w:r>
      <w:rPr>
        <w:rFonts w:ascii="Calibri" w:hAnsi="Calibri"/>
        <w:color w:val="888888"/>
        <w:sz w:val="17"/>
      </w:rPr>
      <w:t xml:space="preserve">CCA3 Mixed-Methods Usability Study Report | </w:t>
    </w:r>
    <w:proofErr w:type="spellStart"/>
    <w:r>
      <w:rPr>
        <w:rFonts w:ascii="Calibri" w:hAnsi="Calibri"/>
        <w:color w:val="888888"/>
        <w:sz w:val="17"/>
      </w:rPr>
      <w:t>PropNest</w:t>
    </w:r>
    <w:proofErr w:type="spellEnd"/>
    <w:r>
      <w:rPr>
        <w:rFonts w:ascii="Calibri" w:hAnsi="Calibri"/>
        <w:color w:val="888888"/>
        <w:sz w:val="17"/>
      </w:rPr>
      <w:t xml:space="preserve"> UX 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7635679">
    <w:abstractNumId w:val="8"/>
  </w:num>
  <w:num w:numId="2" w16cid:durableId="867909775">
    <w:abstractNumId w:val="6"/>
  </w:num>
  <w:num w:numId="3" w16cid:durableId="2068986438">
    <w:abstractNumId w:val="5"/>
  </w:num>
  <w:num w:numId="4" w16cid:durableId="1269894597">
    <w:abstractNumId w:val="4"/>
  </w:num>
  <w:num w:numId="5" w16cid:durableId="1281913340">
    <w:abstractNumId w:val="7"/>
  </w:num>
  <w:num w:numId="6" w16cid:durableId="1811053359">
    <w:abstractNumId w:val="3"/>
  </w:num>
  <w:num w:numId="7" w16cid:durableId="288245929">
    <w:abstractNumId w:val="2"/>
  </w:num>
  <w:num w:numId="8" w16cid:durableId="407578865">
    <w:abstractNumId w:val="1"/>
  </w:num>
  <w:num w:numId="9" w16cid:durableId="1320620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7E0"/>
    <w:rsid w:val="0006063C"/>
    <w:rsid w:val="0015074B"/>
    <w:rsid w:val="0029639D"/>
    <w:rsid w:val="00326F90"/>
    <w:rsid w:val="003564A6"/>
    <w:rsid w:val="00AA1D8D"/>
    <w:rsid w:val="00B47730"/>
    <w:rsid w:val="00B5494D"/>
    <w:rsid w:val="00CB0664"/>
    <w:rsid w:val="00D6640B"/>
    <w:rsid w:val="00E35E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211C2"/>
  <w14:defaultImageDpi w14:val="300"/>
  <w15:docId w15:val="{EF6B30FA-28A7-495A-BC11-F204CBEA3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Nancy Kathiriya</cp:lastModifiedBy>
  <cp:revision>2</cp:revision>
  <dcterms:created xsi:type="dcterms:W3CDTF">2026-10-23T18:30:00Z</dcterms:created>
  <dcterms:modified xsi:type="dcterms:W3CDTF">2026-10-23T18:30:00Z</dcterms:modified>
  <cp:category/>
</cp:coreProperties>
</file>