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46FF4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192589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52AF0A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39692A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E80C1A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9B5AA5" w14:textId="25843B6A" w:rsidR="00DB3049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  <w:r w:rsidRPr="00157CE5">
        <w:rPr>
          <w:rFonts w:ascii="Times New Roman" w:hAnsi="Times New Roman" w:cs="Times New Roman"/>
          <w:sz w:val="40"/>
          <w:szCs w:val="40"/>
        </w:rPr>
        <w:t>Comparative Life Cycle Assessment of a Reusable Water Bottle vs. Single-use Plastic Bottles</w:t>
      </w:r>
    </w:p>
    <w:p w14:paraId="23D3CE59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F1B07E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279387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3FD92A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4BDB0D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16D457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82F64C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CD180E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78C3BE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6354A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656239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0BC2FF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05CD11" w14:textId="77777777" w:rsidR="00157CE5" w:rsidRDefault="00157CE5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541FF5" w14:textId="0E558778" w:rsidR="00297DA3" w:rsidRDefault="00297DA3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8986288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99727F" w14:textId="2DC28728" w:rsidR="00EA1C3D" w:rsidRDefault="00EA1C3D">
          <w:pPr>
            <w:pStyle w:val="TOCHeading"/>
          </w:pPr>
          <w:r>
            <w:t>Table of Contents</w:t>
          </w:r>
        </w:p>
        <w:p w14:paraId="5B429EBE" w14:textId="6BA9A98D" w:rsidR="00EA1C3D" w:rsidRDefault="00EA1C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48075" w:history="1">
            <w:r w:rsidRPr="008134F9">
              <w:rPr>
                <w:rStyle w:val="Hyperlink"/>
                <w:noProof/>
              </w:rPr>
              <w:t>Step 1: Goal and Scope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0B3EB" w14:textId="64EE7D2D" w:rsidR="00EA1C3D" w:rsidRDefault="00EA1C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648076" w:history="1">
            <w:r w:rsidRPr="008134F9">
              <w:rPr>
                <w:rStyle w:val="Hyperlink"/>
                <w:noProof/>
              </w:rPr>
              <w:t>Step 2: Life Cycle Inventory (LCI)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107E" w14:textId="6FC3EF2A" w:rsidR="00EA1C3D" w:rsidRDefault="00EA1C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648077" w:history="1">
            <w:r w:rsidRPr="008134F9">
              <w:rPr>
                <w:rStyle w:val="Hyperlink"/>
                <w:noProof/>
              </w:rPr>
              <w:t>Life Cycle Inventory- Data Sources and Calculation: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8E9B" w14:textId="0710CC1B" w:rsidR="00EA1C3D" w:rsidRDefault="00EA1C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648078" w:history="1">
            <w:r w:rsidRPr="008134F9">
              <w:rPr>
                <w:rStyle w:val="Hyperlink"/>
                <w:noProof/>
              </w:rPr>
              <w:t>CO₂ Emissions Calculations: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D28A" w14:textId="11118B30" w:rsidR="00EA1C3D" w:rsidRDefault="00EA1C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648079" w:history="1">
            <w:r w:rsidRPr="008134F9">
              <w:rPr>
                <w:rStyle w:val="Hyperlink"/>
                <w:noProof/>
              </w:rPr>
              <w:t>System Boundary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9FEC" w14:textId="77FC9344" w:rsidR="00EA1C3D" w:rsidRDefault="00EA1C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648080" w:history="1">
            <w:r w:rsidRPr="008134F9">
              <w:rPr>
                <w:rStyle w:val="Hyperlink"/>
                <w:noProof/>
              </w:rPr>
              <w:t>Step 3: Life Cycle Impact Assessment (LCIA)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E585" w14:textId="3F0E0B8B" w:rsidR="00EA1C3D" w:rsidRDefault="00EA1C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648081" w:history="1">
            <w:r w:rsidRPr="008134F9">
              <w:rPr>
                <w:rStyle w:val="Hyperlink"/>
                <w:noProof/>
              </w:rPr>
              <w:t>3.1 Define Impact Categories and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EF6A" w14:textId="09C5BFA3" w:rsidR="00EA1C3D" w:rsidRDefault="00EA1C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648082" w:history="1">
            <w:r w:rsidRPr="008134F9">
              <w:rPr>
                <w:rStyle w:val="Hyperlink"/>
                <w:noProof/>
              </w:rPr>
              <w:t>3.2 Apply Impact Factors to your Inventory: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9604" w14:textId="23F7E281" w:rsidR="00EA1C3D" w:rsidRDefault="00EA1C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648083" w:history="1">
            <w:r w:rsidRPr="008134F9">
              <w:rPr>
                <w:rStyle w:val="Hyperlink"/>
                <w:noProof/>
              </w:rPr>
              <w:t>3.3 Calculate Total Impacts: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EF7F" w14:textId="159ADE72" w:rsidR="00EA1C3D" w:rsidRDefault="00EA1C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648084" w:history="1">
            <w:r w:rsidRPr="008134F9">
              <w:rPr>
                <w:rStyle w:val="Hyperlink"/>
                <w:noProof/>
              </w:rPr>
              <w:t>Step 4 Interpretation: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9F06" w14:textId="50AA616E" w:rsidR="00EA1C3D" w:rsidRDefault="00EA1C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648085" w:history="1">
            <w:r w:rsidRPr="008134F9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22C4" w14:textId="17DD7263" w:rsidR="00EA1C3D" w:rsidRDefault="00EA1C3D">
          <w:r>
            <w:rPr>
              <w:b/>
              <w:bCs/>
              <w:noProof/>
            </w:rPr>
            <w:fldChar w:fldCharType="end"/>
          </w:r>
        </w:p>
      </w:sdtContent>
    </w:sdt>
    <w:p w14:paraId="023AB73A" w14:textId="67B8A3AB" w:rsidR="00297DA3" w:rsidRPr="00735EBD" w:rsidRDefault="00297DA3">
      <w:pPr>
        <w:rPr>
          <w:rFonts w:ascii="Times New Roman" w:hAnsi="Times New Roman" w:cs="Times New Roman"/>
          <w:sz w:val="36"/>
          <w:szCs w:val="36"/>
        </w:rPr>
      </w:pPr>
      <w:r w:rsidRPr="00735EBD">
        <w:rPr>
          <w:rFonts w:ascii="Times New Roman" w:hAnsi="Times New Roman" w:cs="Times New Roman"/>
          <w:sz w:val="36"/>
          <w:szCs w:val="36"/>
        </w:rPr>
        <w:br w:type="page"/>
      </w:r>
    </w:p>
    <w:p w14:paraId="4CB31C67" w14:textId="77777777" w:rsidR="00297DA3" w:rsidRDefault="00297DA3" w:rsidP="00157C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DA51E0" w14:textId="00A3AFBE" w:rsidR="00157CE5" w:rsidRPr="00A06A6F" w:rsidRDefault="00C20C9F" w:rsidP="00EA1C3D">
      <w:pPr>
        <w:pStyle w:val="Heading1"/>
      </w:pPr>
      <w:bookmarkStart w:id="0" w:name="_Toc200648075"/>
      <w:r w:rsidRPr="00A06A6F">
        <w:t xml:space="preserve">Step 1: </w:t>
      </w:r>
      <w:r w:rsidR="00157CE5" w:rsidRPr="00A06A6F">
        <w:t>Goal and Scope Definition</w:t>
      </w:r>
      <w:bookmarkEnd w:id="0"/>
    </w:p>
    <w:p w14:paraId="051152E6" w14:textId="6DE351ED" w:rsidR="00157CE5" w:rsidRPr="00157CE5" w:rsidRDefault="00157CE5" w:rsidP="00157CE5">
      <w:p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 xml:space="preserve">This study aims to compare the environmental impact of using a reusable stainless steel water bottle versus using single-use plastic (PET) bottles over </w:t>
      </w:r>
      <w:r>
        <w:rPr>
          <w:rFonts w:ascii="Times New Roman" w:hAnsi="Times New Roman" w:cs="Times New Roman"/>
          <w:sz w:val="28"/>
          <w:szCs w:val="28"/>
        </w:rPr>
        <w:t>one year</w:t>
      </w:r>
      <w:r w:rsidRPr="00157CE5">
        <w:rPr>
          <w:rFonts w:ascii="Times New Roman" w:hAnsi="Times New Roman" w:cs="Times New Roman"/>
          <w:sz w:val="28"/>
          <w:szCs w:val="28"/>
        </w:rPr>
        <w:t xml:space="preserve">. The goal is to provide a clear, evidence-based comparison to help consumers make more sustainable choices in daily life. While designed for general public awareness, the study also follows basic Life Cycle Assessment (LCA) methodology, </w:t>
      </w:r>
      <w:r>
        <w:rPr>
          <w:rFonts w:ascii="Times New Roman" w:hAnsi="Times New Roman" w:cs="Times New Roman"/>
          <w:sz w:val="28"/>
          <w:szCs w:val="28"/>
        </w:rPr>
        <w:t xml:space="preserve">which is </w:t>
      </w:r>
      <w:r w:rsidRPr="00157CE5">
        <w:rPr>
          <w:rFonts w:ascii="Times New Roman" w:hAnsi="Times New Roman" w:cs="Times New Roman"/>
          <w:sz w:val="28"/>
          <w:szCs w:val="28"/>
        </w:rPr>
        <w:t>suitable for academic review.</w:t>
      </w:r>
    </w:p>
    <w:p w14:paraId="04A5E560" w14:textId="693B2697" w:rsidR="00157CE5" w:rsidRPr="00157CE5" w:rsidRDefault="00157CE5" w:rsidP="00157CE5">
      <w:p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The functional unit for this comparison is the delivery of 365 liters of drinking</w:t>
      </w:r>
      <w:r w:rsidRPr="00157C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7CE5">
        <w:rPr>
          <w:rFonts w:ascii="Times New Roman" w:hAnsi="Times New Roman" w:cs="Times New Roman"/>
          <w:sz w:val="28"/>
          <w:szCs w:val="28"/>
        </w:rPr>
        <w:t>water to a single user over one year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57CE5">
        <w:rPr>
          <w:rFonts w:ascii="Times New Roman" w:hAnsi="Times New Roman" w:cs="Times New Roman"/>
          <w:sz w:val="28"/>
          <w:szCs w:val="28"/>
        </w:rPr>
        <w:t xml:space="preserve"> equivalent to consuming 1 liter per day. This enables a fair comparison between using one reusable bottle (used and washed daily) and using 365 single-use bottles.</w:t>
      </w:r>
    </w:p>
    <w:p w14:paraId="6B5D409B" w14:textId="77777777" w:rsidR="00157CE5" w:rsidRPr="00157CE5" w:rsidRDefault="00157CE5" w:rsidP="00157CE5">
      <w:p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The system boundaries cover the full life cycle — cradle-to-grave — including:</w:t>
      </w:r>
    </w:p>
    <w:p w14:paraId="73846501" w14:textId="77777777" w:rsidR="00157CE5" w:rsidRPr="00157CE5" w:rsidRDefault="00157CE5" w:rsidP="00157C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Raw material extraction</w:t>
      </w:r>
    </w:p>
    <w:p w14:paraId="3923CA61" w14:textId="77777777" w:rsidR="00157CE5" w:rsidRPr="00157CE5" w:rsidRDefault="00157CE5" w:rsidP="00157C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Manufacturing</w:t>
      </w:r>
    </w:p>
    <w:p w14:paraId="2D17BE2F" w14:textId="77777777" w:rsidR="00157CE5" w:rsidRPr="00157CE5" w:rsidRDefault="00157CE5" w:rsidP="00157C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Transportation</w:t>
      </w:r>
    </w:p>
    <w:p w14:paraId="02E7EDD7" w14:textId="77777777" w:rsidR="00157CE5" w:rsidRPr="00157CE5" w:rsidRDefault="00157CE5" w:rsidP="00157C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Usage (including daily washing for reusable bottle)</w:t>
      </w:r>
    </w:p>
    <w:p w14:paraId="169BFFA4" w14:textId="77777777" w:rsidR="00157CE5" w:rsidRPr="00157CE5" w:rsidRDefault="00157CE5" w:rsidP="00157CE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End-of-life (landfilling, recycling, or incineration)</w:t>
      </w:r>
    </w:p>
    <w:p w14:paraId="79AAE256" w14:textId="77777777" w:rsidR="00157CE5" w:rsidRPr="00157CE5" w:rsidRDefault="00157CE5" w:rsidP="00157CE5">
      <w:p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The following impact categories are assessed:</w:t>
      </w:r>
    </w:p>
    <w:p w14:paraId="2BB9F115" w14:textId="77777777" w:rsidR="00157CE5" w:rsidRPr="00157CE5" w:rsidRDefault="00157CE5" w:rsidP="00157C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Global Warming Potential (GWP) – kg CO₂-equivalent</w:t>
      </w:r>
    </w:p>
    <w:p w14:paraId="17628594" w14:textId="77777777" w:rsidR="00157CE5" w:rsidRPr="00157CE5" w:rsidRDefault="00157CE5" w:rsidP="00157C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Energy use – MJ (megajoules)</w:t>
      </w:r>
    </w:p>
    <w:p w14:paraId="39AB352A" w14:textId="77777777" w:rsidR="00157CE5" w:rsidRPr="00157CE5" w:rsidRDefault="00157CE5" w:rsidP="00157CE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CE5">
        <w:rPr>
          <w:rFonts w:ascii="Times New Roman" w:hAnsi="Times New Roman" w:cs="Times New Roman"/>
          <w:sz w:val="28"/>
          <w:szCs w:val="28"/>
        </w:rPr>
        <w:t>Water use – liters</w:t>
      </w:r>
    </w:p>
    <w:p w14:paraId="21500301" w14:textId="77777777" w:rsidR="00AB100E" w:rsidRDefault="00AB100E" w:rsidP="00157C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9406CD" w14:textId="6C98144F" w:rsidR="00157CE5" w:rsidRPr="00A06A6F" w:rsidRDefault="00AB100E" w:rsidP="00EA1C3D">
      <w:pPr>
        <w:pStyle w:val="Heading1"/>
      </w:pPr>
      <w:bookmarkStart w:id="1" w:name="_Toc200648076"/>
      <w:r w:rsidRPr="00A06A6F">
        <w:t>Step 2: Life Cycle Inventory (LCI)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100E" w14:paraId="35539C9E" w14:textId="77777777">
        <w:tc>
          <w:tcPr>
            <w:tcW w:w="3005" w:type="dxa"/>
          </w:tcPr>
          <w:p w14:paraId="28865098" w14:textId="302B181E" w:rsidR="00AB100E" w:rsidRPr="00896BD7" w:rsidRDefault="00AB100E" w:rsidP="00AB10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6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3005" w:type="dxa"/>
          </w:tcPr>
          <w:p w14:paraId="43CE8ED1" w14:textId="14941B57" w:rsidR="00AB100E" w:rsidRPr="00896BD7" w:rsidRDefault="00AB100E" w:rsidP="00AB10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6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Reusable Bottle</w:t>
            </w:r>
          </w:p>
        </w:tc>
        <w:tc>
          <w:tcPr>
            <w:tcW w:w="3006" w:type="dxa"/>
          </w:tcPr>
          <w:p w14:paraId="6649B939" w14:textId="3F27D9A1" w:rsidR="00AB100E" w:rsidRPr="00896BD7" w:rsidRDefault="00AB100E" w:rsidP="00AB10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6B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Single-Use PET Bottle</w:t>
            </w:r>
          </w:p>
        </w:tc>
      </w:tr>
      <w:tr w:rsidR="00AB100E" w14:paraId="739E7C1F" w14:textId="77777777">
        <w:tc>
          <w:tcPr>
            <w:tcW w:w="3005" w:type="dxa"/>
          </w:tcPr>
          <w:p w14:paraId="63AC3C3A" w14:textId="465CF0E6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Units</w:t>
            </w:r>
          </w:p>
        </w:tc>
        <w:tc>
          <w:tcPr>
            <w:tcW w:w="3005" w:type="dxa"/>
          </w:tcPr>
          <w:p w14:paraId="618F6D50" w14:textId="2593B661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1 bottle reused 365 times</w:t>
            </w:r>
          </w:p>
        </w:tc>
        <w:tc>
          <w:tcPr>
            <w:tcW w:w="3006" w:type="dxa"/>
          </w:tcPr>
          <w:p w14:paraId="566173A6" w14:textId="23718129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365 bottles</w:t>
            </w:r>
          </w:p>
        </w:tc>
      </w:tr>
      <w:tr w:rsidR="00AB100E" w14:paraId="2BFFAD13" w14:textId="77777777">
        <w:tc>
          <w:tcPr>
            <w:tcW w:w="3005" w:type="dxa"/>
          </w:tcPr>
          <w:p w14:paraId="220CA2C8" w14:textId="47BEA2F5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Materials (kg)</w:t>
            </w:r>
          </w:p>
        </w:tc>
        <w:tc>
          <w:tcPr>
            <w:tcW w:w="3005" w:type="dxa"/>
          </w:tcPr>
          <w:p w14:paraId="59CD8D53" w14:textId="25549C0B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0.5 kg stainless steel</w:t>
            </w:r>
          </w:p>
        </w:tc>
        <w:tc>
          <w:tcPr>
            <w:tcW w:w="3006" w:type="dxa"/>
          </w:tcPr>
          <w:p w14:paraId="3DB38B9C" w14:textId="3E38E9F0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7.3 kg PET (365*0.02 kg)</w:t>
            </w:r>
          </w:p>
        </w:tc>
      </w:tr>
      <w:tr w:rsidR="00AB100E" w14:paraId="5D52D064" w14:textId="77777777">
        <w:tc>
          <w:tcPr>
            <w:tcW w:w="3005" w:type="dxa"/>
          </w:tcPr>
          <w:p w14:paraId="0A9F7DBC" w14:textId="7ACFE543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Bottle Manufacturing Energy (MJ)</w:t>
            </w:r>
          </w:p>
        </w:tc>
        <w:tc>
          <w:tcPr>
            <w:tcW w:w="3005" w:type="dxa"/>
          </w:tcPr>
          <w:p w14:paraId="23A741E2" w14:textId="4C6DB47F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50 MJ</w:t>
            </w:r>
          </w:p>
        </w:tc>
        <w:tc>
          <w:tcPr>
            <w:tcW w:w="3006" w:type="dxa"/>
          </w:tcPr>
          <w:p w14:paraId="6297317F" w14:textId="2EF3A085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15.3 MJ (365*0.042 MJ)</w:t>
            </w:r>
          </w:p>
        </w:tc>
      </w:tr>
      <w:tr w:rsidR="00AB100E" w14:paraId="6DB2F55E" w14:textId="77777777">
        <w:tc>
          <w:tcPr>
            <w:tcW w:w="3005" w:type="dxa"/>
          </w:tcPr>
          <w:p w14:paraId="4D1184D0" w14:textId="5D667213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Transportation Energy</w:t>
            </w:r>
          </w:p>
        </w:tc>
        <w:tc>
          <w:tcPr>
            <w:tcW w:w="3005" w:type="dxa"/>
          </w:tcPr>
          <w:p w14:paraId="3420FC66" w14:textId="385774E1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3 MJ</w:t>
            </w:r>
          </w:p>
        </w:tc>
        <w:tc>
          <w:tcPr>
            <w:tcW w:w="3006" w:type="dxa"/>
          </w:tcPr>
          <w:p w14:paraId="707FB0EA" w14:textId="40AFD884" w:rsidR="00AB100E" w:rsidRPr="00A06A6F" w:rsidRDefault="00AB100E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 xml:space="preserve">36.5 MJ </w:t>
            </w:r>
            <w:r w:rsidR="00896BD7" w:rsidRPr="00A06A6F">
              <w:rPr>
                <w:rFonts w:ascii="Times New Roman" w:hAnsi="Times New Roman" w:cs="Times New Roman"/>
                <w:sz w:val="28"/>
                <w:szCs w:val="28"/>
              </w:rPr>
              <w:t>(0.1 MJ/bottle)</w:t>
            </w:r>
          </w:p>
        </w:tc>
      </w:tr>
      <w:tr w:rsidR="00AB100E" w14:paraId="6102D393" w14:textId="77777777">
        <w:tc>
          <w:tcPr>
            <w:tcW w:w="3005" w:type="dxa"/>
          </w:tcPr>
          <w:p w14:paraId="057C1ACD" w14:textId="73C347BF" w:rsidR="00AB100E" w:rsidRPr="00A06A6F" w:rsidRDefault="00896BD7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Washing (water, soap)</w:t>
            </w:r>
          </w:p>
        </w:tc>
        <w:tc>
          <w:tcPr>
            <w:tcW w:w="3005" w:type="dxa"/>
          </w:tcPr>
          <w:p w14:paraId="051CE37F" w14:textId="44C1925B" w:rsidR="00AB100E" w:rsidRPr="00A06A6F" w:rsidRDefault="00896BD7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0.3 L+ 0.1 MJ/day = 109.5 L, 36.5MJ/year</w:t>
            </w:r>
          </w:p>
        </w:tc>
        <w:tc>
          <w:tcPr>
            <w:tcW w:w="3006" w:type="dxa"/>
          </w:tcPr>
          <w:p w14:paraId="40503B61" w14:textId="1498848C" w:rsidR="00896BD7" w:rsidRPr="00A06A6F" w:rsidRDefault="00896BD7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96BD7" w14:paraId="1B321E4B" w14:textId="77777777">
        <w:tc>
          <w:tcPr>
            <w:tcW w:w="3005" w:type="dxa"/>
          </w:tcPr>
          <w:p w14:paraId="62E6AB93" w14:textId="07804DB5" w:rsidR="00896BD7" w:rsidRPr="00A06A6F" w:rsidRDefault="00896BD7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End-of-life</w:t>
            </w:r>
          </w:p>
        </w:tc>
        <w:tc>
          <w:tcPr>
            <w:tcW w:w="3005" w:type="dxa"/>
          </w:tcPr>
          <w:p w14:paraId="465107F5" w14:textId="7A0A2EAB" w:rsidR="00896BD7" w:rsidRPr="00A06A6F" w:rsidRDefault="00896BD7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70% recycled</w:t>
            </w:r>
          </w:p>
        </w:tc>
        <w:tc>
          <w:tcPr>
            <w:tcW w:w="3006" w:type="dxa"/>
          </w:tcPr>
          <w:p w14:paraId="2DAB2EE0" w14:textId="00B4C35E" w:rsidR="00896BD7" w:rsidRPr="00A06A6F" w:rsidRDefault="00896BD7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30% recycled</w:t>
            </w:r>
          </w:p>
        </w:tc>
      </w:tr>
      <w:tr w:rsidR="00896BD7" w14:paraId="77F923E3" w14:textId="77777777">
        <w:tc>
          <w:tcPr>
            <w:tcW w:w="3005" w:type="dxa"/>
          </w:tcPr>
          <w:p w14:paraId="67431EF2" w14:textId="12EBDE1B" w:rsidR="00896BD7" w:rsidRPr="00A06A6F" w:rsidRDefault="00896BD7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CO2 from</w:t>
            </w:r>
            <w:r w:rsidR="003469E3">
              <w:rPr>
                <w:rFonts w:ascii="Times New Roman" w:hAnsi="Times New Roman" w:cs="Times New Roman"/>
                <w:sz w:val="28"/>
                <w:szCs w:val="28"/>
              </w:rPr>
              <w:t xml:space="preserve"> Manufacturing </w:t>
            </w: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(kg CO2)</w:t>
            </w:r>
          </w:p>
        </w:tc>
        <w:tc>
          <w:tcPr>
            <w:tcW w:w="3005" w:type="dxa"/>
          </w:tcPr>
          <w:p w14:paraId="15071CC8" w14:textId="089C90EB" w:rsidR="00896BD7" w:rsidRPr="00A06A6F" w:rsidRDefault="00896BD7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7kg</w:t>
            </w:r>
          </w:p>
        </w:tc>
        <w:tc>
          <w:tcPr>
            <w:tcW w:w="3006" w:type="dxa"/>
          </w:tcPr>
          <w:p w14:paraId="4CE7E997" w14:textId="6DCFC7A1" w:rsidR="00896BD7" w:rsidRPr="00A06A6F" w:rsidRDefault="003469E3" w:rsidP="00157C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182.5</w:t>
            </w:r>
            <w:r w:rsidR="00896BD7" w:rsidRPr="00A06A6F">
              <w:rPr>
                <w:rFonts w:ascii="Times New Roman" w:hAnsi="Times New Roman" w:cs="Times New Roman"/>
                <w:sz w:val="28"/>
                <w:szCs w:val="28"/>
              </w:rPr>
              <w:t>kg</w:t>
            </w:r>
          </w:p>
        </w:tc>
      </w:tr>
      <w:tr w:rsidR="00896BD7" w14:paraId="7149C6C7" w14:textId="77777777">
        <w:tc>
          <w:tcPr>
            <w:tcW w:w="3005" w:type="dxa"/>
          </w:tcPr>
          <w:p w14:paraId="50F268F4" w14:textId="173F65D2" w:rsidR="00896BD7" w:rsidRPr="00A06A6F" w:rsidRDefault="00896BD7" w:rsidP="00896B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CO2 from transport (kg CO2)</w:t>
            </w:r>
          </w:p>
        </w:tc>
        <w:tc>
          <w:tcPr>
            <w:tcW w:w="3005" w:type="dxa"/>
          </w:tcPr>
          <w:p w14:paraId="7EB12763" w14:textId="02D7E865" w:rsidR="00896BD7" w:rsidRPr="00A06A6F" w:rsidRDefault="00476119" w:rsidP="00896B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  <w:r w:rsidR="00896BD7" w:rsidRPr="00A06A6F">
              <w:rPr>
                <w:rFonts w:ascii="Times New Roman" w:hAnsi="Times New Roman" w:cs="Times New Roman"/>
                <w:sz w:val="28"/>
                <w:szCs w:val="28"/>
              </w:rPr>
              <w:t>kg</w:t>
            </w:r>
          </w:p>
        </w:tc>
        <w:tc>
          <w:tcPr>
            <w:tcW w:w="3006" w:type="dxa"/>
          </w:tcPr>
          <w:p w14:paraId="6D40FD7E" w14:textId="0F1240CF" w:rsidR="00896BD7" w:rsidRPr="00A06A6F" w:rsidRDefault="00476119" w:rsidP="00896B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0.091</w:t>
            </w:r>
            <w:r w:rsidR="00896BD7" w:rsidRPr="00A06A6F">
              <w:rPr>
                <w:rFonts w:ascii="Times New Roman" w:hAnsi="Times New Roman" w:cs="Times New Roman"/>
                <w:sz w:val="28"/>
                <w:szCs w:val="28"/>
              </w:rPr>
              <w:t>kg</w:t>
            </w:r>
          </w:p>
        </w:tc>
      </w:tr>
      <w:tr w:rsidR="00896BD7" w14:paraId="459B8F33" w14:textId="77777777">
        <w:tc>
          <w:tcPr>
            <w:tcW w:w="3005" w:type="dxa"/>
          </w:tcPr>
          <w:p w14:paraId="61054129" w14:textId="209D757C" w:rsidR="00896BD7" w:rsidRPr="00A06A6F" w:rsidRDefault="00896BD7" w:rsidP="00896B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CO2 from Washing (kg CO2)</w:t>
            </w:r>
          </w:p>
        </w:tc>
        <w:tc>
          <w:tcPr>
            <w:tcW w:w="3005" w:type="dxa"/>
          </w:tcPr>
          <w:p w14:paraId="21A19930" w14:textId="1DCB3738" w:rsidR="00896BD7" w:rsidRPr="00A06A6F" w:rsidRDefault="003469E3" w:rsidP="00896B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  <w:r w:rsidR="00896BD7" w:rsidRPr="00A06A6F">
              <w:rPr>
                <w:rFonts w:ascii="Times New Roman" w:hAnsi="Times New Roman" w:cs="Times New Roman"/>
                <w:sz w:val="28"/>
                <w:szCs w:val="28"/>
              </w:rPr>
              <w:t>kg</w:t>
            </w:r>
          </w:p>
        </w:tc>
        <w:tc>
          <w:tcPr>
            <w:tcW w:w="3006" w:type="dxa"/>
          </w:tcPr>
          <w:p w14:paraId="4F7E915D" w14:textId="60E22A1A" w:rsidR="00896BD7" w:rsidRPr="00A06A6F" w:rsidRDefault="00896BD7" w:rsidP="00896B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6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B2F23D8" w14:textId="6D3A7A39" w:rsidR="00896BD7" w:rsidRDefault="00896BD7" w:rsidP="00157C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DA5DAD" w14:textId="789F8D07" w:rsidR="00896BD7" w:rsidRDefault="00275ED1" w:rsidP="00EA1C3D">
      <w:pPr>
        <w:pStyle w:val="Heading2"/>
      </w:pPr>
      <w:bookmarkStart w:id="2" w:name="_Toc200648077"/>
      <w:r>
        <w:t>Life Cycle Inventory- Data</w:t>
      </w:r>
      <w:r w:rsidR="00A06A6F">
        <w:t xml:space="preserve"> Sources</w:t>
      </w:r>
      <w:r>
        <w:t xml:space="preserve"> and Calculation</w:t>
      </w:r>
      <w:r w:rsidR="00A06A6F">
        <w:t>:</w:t>
      </w:r>
      <w:bookmarkEnd w:id="2"/>
    </w:p>
    <w:p w14:paraId="4E9EFFE7" w14:textId="77777777" w:rsidR="00275ED1" w:rsidRPr="00275ED1" w:rsidRDefault="00275ED1" w:rsidP="00275ED1">
      <w:pPr>
        <w:pStyle w:val="NormalWeb"/>
        <w:rPr>
          <w:sz w:val="28"/>
          <w:szCs w:val="28"/>
        </w:rPr>
      </w:pPr>
      <w:r w:rsidRPr="00275ED1">
        <w:rPr>
          <w:rStyle w:val="relative"/>
          <w:rFonts w:eastAsiaTheme="majorEastAsia"/>
          <w:sz w:val="28"/>
          <w:szCs w:val="28"/>
        </w:rPr>
        <w:t>The life cycle inventory for this study uses region-specific and literature-based values:</w:t>
      </w:r>
    </w:p>
    <w:p w14:paraId="44CC2F4A" w14:textId="0E14E3B4" w:rsidR="00275ED1" w:rsidRPr="00275ED1" w:rsidRDefault="00275ED1" w:rsidP="00275ED1">
      <w:pPr>
        <w:pStyle w:val="NormalWeb"/>
        <w:jc w:val="both"/>
        <w:rPr>
          <w:sz w:val="28"/>
          <w:szCs w:val="28"/>
        </w:rPr>
      </w:pPr>
      <w:r w:rsidRPr="00275ED1">
        <w:rPr>
          <w:rStyle w:val="Strong"/>
          <w:rFonts w:eastAsiaTheme="majorEastAsia"/>
          <w:sz w:val="28"/>
          <w:szCs w:val="28"/>
          <w:u w:val="single"/>
        </w:rPr>
        <w:t>Electricity</w:t>
      </w:r>
      <w:r w:rsidRPr="00275ED1">
        <w:rPr>
          <w:rStyle w:val="relative"/>
          <w:rFonts w:eastAsiaTheme="majorEastAsia"/>
          <w:sz w:val="28"/>
          <w:szCs w:val="28"/>
        </w:rPr>
        <w:t xml:space="preserve">: We use the average German emissions intensity of </w:t>
      </w:r>
      <w:r w:rsidRPr="00275ED1">
        <w:rPr>
          <w:rStyle w:val="Strong"/>
          <w:rFonts w:eastAsiaTheme="majorEastAsia"/>
          <w:b w:val="0"/>
          <w:bCs w:val="0"/>
          <w:sz w:val="28"/>
          <w:szCs w:val="28"/>
        </w:rPr>
        <w:t>0.321 kg</w:t>
      </w:r>
      <w:r w:rsidRPr="00275ED1">
        <w:rPr>
          <w:rStyle w:val="Strong"/>
          <w:rFonts w:eastAsiaTheme="majorEastAsia"/>
          <w:sz w:val="28"/>
          <w:szCs w:val="28"/>
        </w:rPr>
        <w:t xml:space="preserve"> </w:t>
      </w:r>
      <w:r w:rsidRPr="00275ED1">
        <w:rPr>
          <w:rStyle w:val="Strong"/>
          <w:rFonts w:eastAsiaTheme="majorEastAsia"/>
          <w:b w:val="0"/>
          <w:bCs w:val="0"/>
          <w:sz w:val="28"/>
          <w:szCs w:val="28"/>
        </w:rPr>
        <w:t>CO₂/kWh</w:t>
      </w:r>
      <w:r w:rsidRPr="00275ED1">
        <w:rPr>
          <w:sz w:val="28"/>
          <w:szCs w:val="28"/>
        </w:rPr>
        <w:t xml:space="preserve">, </w:t>
      </w:r>
      <w:r w:rsidRPr="00275ED1">
        <w:rPr>
          <w:rStyle w:val="relative"/>
          <w:rFonts w:eastAsiaTheme="majorEastAsia"/>
          <w:sz w:val="28"/>
          <w:szCs w:val="28"/>
        </w:rPr>
        <w:t xml:space="preserve">adjusted to </w:t>
      </w:r>
      <w:r w:rsidRPr="00275ED1">
        <w:rPr>
          <w:rStyle w:val="Strong"/>
          <w:rFonts w:eastAsiaTheme="majorEastAsia"/>
          <w:b w:val="0"/>
          <w:bCs w:val="0"/>
          <w:sz w:val="28"/>
          <w:szCs w:val="28"/>
        </w:rPr>
        <w:t>0.105 kg CO₂/kWh</w:t>
      </w:r>
      <w:r w:rsidRPr="00275ED1">
        <w:rPr>
          <w:rStyle w:val="relative"/>
          <w:rFonts w:eastAsiaTheme="majorEastAsia"/>
          <w:sz w:val="28"/>
          <w:szCs w:val="28"/>
        </w:rPr>
        <w:t xml:space="preserve"> to reflect the Bavarian electricity mix</w:t>
      </w:r>
      <w:r w:rsidRPr="00275ED1">
        <w:rPr>
          <w:sz w:val="28"/>
          <w:szCs w:val="28"/>
        </w:rPr>
        <w:t>.</w:t>
      </w:r>
    </w:p>
    <w:p w14:paraId="683EF2B6" w14:textId="1C07E7E1" w:rsidR="00275ED1" w:rsidRPr="00275ED1" w:rsidRDefault="00275ED1" w:rsidP="00275ED1">
      <w:pPr>
        <w:pStyle w:val="NormalWeb"/>
        <w:jc w:val="both"/>
        <w:rPr>
          <w:sz w:val="28"/>
          <w:szCs w:val="28"/>
        </w:rPr>
      </w:pPr>
      <w:r w:rsidRPr="00275ED1">
        <w:rPr>
          <w:rStyle w:val="Strong"/>
          <w:rFonts w:eastAsiaTheme="majorEastAsia"/>
          <w:sz w:val="28"/>
          <w:szCs w:val="28"/>
          <w:u w:val="single"/>
        </w:rPr>
        <w:t>Road Freight</w:t>
      </w:r>
      <w:r w:rsidRPr="00275ED1">
        <w:rPr>
          <w:rStyle w:val="relative"/>
          <w:rFonts w:eastAsiaTheme="majorEastAsia"/>
          <w:sz w:val="28"/>
          <w:szCs w:val="28"/>
        </w:rPr>
        <w:t xml:space="preserve">: An emission factor of </w:t>
      </w:r>
      <w:r w:rsidRPr="00275ED1">
        <w:rPr>
          <w:rStyle w:val="Strong"/>
          <w:rFonts w:eastAsiaTheme="majorEastAsia"/>
          <w:b w:val="0"/>
          <w:bCs w:val="0"/>
          <w:sz w:val="28"/>
          <w:szCs w:val="28"/>
        </w:rPr>
        <w:t>0.126 kg CO₂ per tonne</w:t>
      </w:r>
      <w:r w:rsidRPr="00275ED1">
        <w:rPr>
          <w:rStyle w:val="Strong"/>
          <w:rFonts w:eastAsiaTheme="majorEastAsia"/>
          <w:b w:val="0"/>
          <w:bCs w:val="0"/>
          <w:sz w:val="28"/>
          <w:szCs w:val="28"/>
        </w:rPr>
        <w:noBreakHyphen/>
        <w:t>km</w:t>
      </w:r>
      <w:r w:rsidRPr="00275ED1">
        <w:rPr>
          <w:rStyle w:val="relative"/>
          <w:rFonts w:eastAsiaTheme="majorEastAsia"/>
          <w:sz w:val="28"/>
          <w:szCs w:val="28"/>
        </w:rPr>
        <w:t xml:space="preserve"> is applied, based on German data for heavy goods transport</w:t>
      </w:r>
      <w:r w:rsidR="002C2685">
        <w:rPr>
          <w:rStyle w:val="relative"/>
          <w:rFonts w:eastAsiaTheme="majorEastAsia"/>
          <w:sz w:val="28"/>
          <w:szCs w:val="28"/>
        </w:rPr>
        <w:t>.</w:t>
      </w:r>
    </w:p>
    <w:p w14:paraId="51F21F3C" w14:textId="62B37C0D" w:rsidR="00275ED1" w:rsidRPr="00275ED1" w:rsidRDefault="00275ED1" w:rsidP="00275ED1">
      <w:pPr>
        <w:pStyle w:val="NormalWeb"/>
        <w:rPr>
          <w:sz w:val="28"/>
          <w:szCs w:val="28"/>
          <w:u w:val="single"/>
        </w:rPr>
      </w:pPr>
      <w:r w:rsidRPr="00275ED1">
        <w:rPr>
          <w:rStyle w:val="Strong"/>
          <w:rFonts w:eastAsiaTheme="majorEastAsia"/>
          <w:sz w:val="28"/>
          <w:szCs w:val="28"/>
          <w:u w:val="single"/>
        </w:rPr>
        <w:t>Manufacturing impacts</w:t>
      </w:r>
      <w:r w:rsidRPr="00275ED1">
        <w:rPr>
          <w:sz w:val="28"/>
          <w:szCs w:val="28"/>
          <w:u w:val="single"/>
        </w:rPr>
        <w:t xml:space="preserve"> use standard LCI values from </w:t>
      </w:r>
      <w:r w:rsidRPr="00275ED1">
        <w:rPr>
          <w:rStyle w:val="Strong"/>
          <w:rFonts w:eastAsiaTheme="majorEastAsia"/>
          <w:sz w:val="28"/>
          <w:szCs w:val="28"/>
          <w:u w:val="single"/>
        </w:rPr>
        <w:t>Ecoinvent</w:t>
      </w:r>
      <w:r w:rsidRPr="00275ED1">
        <w:rPr>
          <w:sz w:val="28"/>
          <w:szCs w:val="28"/>
          <w:u w:val="single"/>
        </w:rPr>
        <w:t xml:space="preserve"> and </w:t>
      </w:r>
      <w:r w:rsidRPr="00275ED1">
        <w:rPr>
          <w:rStyle w:val="Strong"/>
          <w:rFonts w:eastAsiaTheme="majorEastAsia"/>
          <w:sz w:val="28"/>
          <w:szCs w:val="28"/>
          <w:u w:val="single"/>
        </w:rPr>
        <w:t>PlasticsEurope</w:t>
      </w:r>
      <w:r w:rsidRPr="00275ED1">
        <w:rPr>
          <w:sz w:val="28"/>
          <w:szCs w:val="28"/>
          <w:u w:val="single"/>
        </w:rPr>
        <w:t>:</w:t>
      </w:r>
    </w:p>
    <w:p w14:paraId="50A528F2" w14:textId="77777777" w:rsidR="00275ED1" w:rsidRPr="00275ED1" w:rsidRDefault="00275ED1" w:rsidP="00275ED1">
      <w:pPr>
        <w:pStyle w:val="NormalWeb"/>
        <w:rPr>
          <w:sz w:val="28"/>
          <w:szCs w:val="28"/>
        </w:rPr>
      </w:pPr>
      <w:r w:rsidRPr="00275ED1">
        <w:rPr>
          <w:sz w:val="28"/>
          <w:szCs w:val="28"/>
        </w:rPr>
        <w:t>Stainless steel bottle production: ~14 kg CO₂/kg → 0.5 kg = 7 kg CO₂</w:t>
      </w:r>
    </w:p>
    <w:p w14:paraId="6B20B82F" w14:textId="77777777" w:rsidR="00275ED1" w:rsidRPr="00275ED1" w:rsidRDefault="00275ED1" w:rsidP="00275ED1">
      <w:pPr>
        <w:pStyle w:val="NormalWeb"/>
        <w:rPr>
          <w:sz w:val="28"/>
          <w:szCs w:val="28"/>
        </w:rPr>
      </w:pPr>
      <w:r w:rsidRPr="00275ED1">
        <w:rPr>
          <w:sz w:val="28"/>
          <w:szCs w:val="28"/>
        </w:rPr>
        <w:t>PET bottles: ~0.5 kg CO₂ per 0.02 kg bottle → 365 × 0.5 = 182 kg CO₂</w:t>
      </w:r>
    </w:p>
    <w:p w14:paraId="6146CEF8" w14:textId="77777777" w:rsidR="00275ED1" w:rsidRPr="00275ED1" w:rsidRDefault="00275ED1" w:rsidP="00275ED1">
      <w:pPr>
        <w:pStyle w:val="NormalWeb"/>
        <w:rPr>
          <w:sz w:val="28"/>
          <w:szCs w:val="28"/>
        </w:rPr>
      </w:pPr>
      <w:r w:rsidRPr="00275ED1">
        <w:rPr>
          <w:rStyle w:val="Strong"/>
          <w:rFonts w:eastAsiaTheme="majorEastAsia"/>
          <w:sz w:val="28"/>
          <w:szCs w:val="28"/>
          <w:u w:val="single"/>
        </w:rPr>
        <w:t>Washing impacts</w:t>
      </w:r>
      <w:r w:rsidRPr="00275ED1">
        <w:rPr>
          <w:sz w:val="28"/>
          <w:szCs w:val="28"/>
        </w:rPr>
        <w:t xml:space="preserve"> (water, soap, heating): 0.3 L + 0.1 MJ per wash, multiplied by 365 uses, based on typical dishwashing LCA data.</w:t>
      </w:r>
    </w:p>
    <w:p w14:paraId="3AA9DF3B" w14:textId="6EAE00B9" w:rsidR="005A52F3" w:rsidRPr="00275ED1" w:rsidRDefault="00275ED1" w:rsidP="00275ED1">
      <w:pPr>
        <w:pStyle w:val="NormalWeb"/>
        <w:rPr>
          <w:sz w:val="28"/>
          <w:szCs w:val="28"/>
        </w:rPr>
      </w:pPr>
      <w:r w:rsidRPr="00275ED1">
        <w:rPr>
          <w:rStyle w:val="Strong"/>
          <w:rFonts w:eastAsiaTheme="majorEastAsia"/>
          <w:sz w:val="28"/>
          <w:szCs w:val="28"/>
          <w:u w:val="single"/>
        </w:rPr>
        <w:t>End-of-life assumptions</w:t>
      </w:r>
      <w:r w:rsidRPr="00275ED1">
        <w:rPr>
          <w:sz w:val="28"/>
          <w:szCs w:val="28"/>
        </w:rPr>
        <w:t>: 70% recycling for stainless steel (EU average), 30% for PET (current German average).</w:t>
      </w:r>
    </w:p>
    <w:p w14:paraId="276D83B5" w14:textId="2D8CA75C" w:rsidR="00275ED1" w:rsidRDefault="00275ED1" w:rsidP="00EA1C3D">
      <w:pPr>
        <w:pStyle w:val="Heading2"/>
        <w:rPr>
          <w:sz w:val="28"/>
          <w:szCs w:val="28"/>
        </w:rPr>
      </w:pPr>
      <w:bookmarkStart w:id="3" w:name="_Toc200648078"/>
      <w:r w:rsidRPr="00275ED1">
        <w:t>CO₂ Emissions Calculations</w:t>
      </w:r>
      <w:r w:rsidRPr="00275ED1">
        <w:rPr>
          <w:sz w:val="28"/>
          <w:szCs w:val="28"/>
        </w:rPr>
        <w:t>:</w:t>
      </w:r>
      <w:bookmarkEnd w:id="3"/>
    </w:p>
    <w:p w14:paraId="51D0B220" w14:textId="5750CAB9" w:rsidR="00275ED1" w:rsidRPr="00275ED1" w:rsidRDefault="00275ED1" w:rsidP="007631D4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75ED1">
        <w:rPr>
          <w:sz w:val="28"/>
          <w:szCs w:val="28"/>
        </w:rPr>
        <w:t>Electricity-related CO₂ (cleaning &amp; manufacturing):</w:t>
      </w:r>
      <w:r w:rsidRPr="00275ED1">
        <w:rPr>
          <w:sz w:val="28"/>
          <w:szCs w:val="28"/>
        </w:rPr>
        <w:br/>
        <w:t>Energy (kWh)×0.321 kgCO2/kWh</w:t>
      </w:r>
    </w:p>
    <w:p w14:paraId="4E4E66B1" w14:textId="77777777" w:rsidR="00275ED1" w:rsidRPr="00275ED1" w:rsidRDefault="00275ED1" w:rsidP="00275ED1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75ED1">
        <w:rPr>
          <w:sz w:val="28"/>
          <w:szCs w:val="28"/>
        </w:rPr>
        <w:t>Transport CO₂:</w:t>
      </w:r>
    </w:p>
    <w:p w14:paraId="30C671D0" w14:textId="0F8FA11E" w:rsidR="00275ED1" w:rsidRPr="00275ED1" w:rsidRDefault="00275ED1" w:rsidP="00275ED1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275ED1">
        <w:rPr>
          <w:sz w:val="28"/>
          <w:szCs w:val="28"/>
        </w:rPr>
        <w:t>Reusable:</w:t>
      </w:r>
      <w:r w:rsidRPr="00275ED1">
        <w:rPr>
          <w:sz w:val="28"/>
          <w:szCs w:val="28"/>
        </w:rPr>
        <w:br/>
        <w:t>100 km × 0.5 tonnes × 0.126 kg = ~6.3 kg CO₂</w:t>
      </w:r>
    </w:p>
    <w:p w14:paraId="4809066A" w14:textId="493700CF" w:rsidR="00275ED1" w:rsidRPr="00275ED1" w:rsidRDefault="00275ED1" w:rsidP="00275ED1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275ED1">
        <w:rPr>
          <w:sz w:val="28"/>
          <w:szCs w:val="28"/>
        </w:rPr>
        <w:lastRenderedPageBreak/>
        <w:t>Single-use:</w:t>
      </w:r>
      <w:r w:rsidRPr="00275ED1">
        <w:rPr>
          <w:sz w:val="28"/>
          <w:szCs w:val="28"/>
        </w:rPr>
        <w:br/>
        <w:t>(7.3 kg total weight) × (100 km × 0.126) / 1000 = ~0.092 kg CO₂ per total shipments</w:t>
      </w:r>
      <w:r w:rsidRPr="00275ED1">
        <w:rPr>
          <w:sz w:val="28"/>
          <w:szCs w:val="28"/>
        </w:rPr>
        <w:br/>
        <w:t>(Alternatively</w:t>
      </w:r>
      <w:r w:rsidR="007C5152">
        <w:rPr>
          <w:sz w:val="28"/>
          <w:szCs w:val="28"/>
        </w:rPr>
        <w:t>,</w:t>
      </w:r>
      <w:r w:rsidRPr="00275ED1">
        <w:rPr>
          <w:sz w:val="28"/>
          <w:szCs w:val="28"/>
        </w:rPr>
        <w:t xml:space="preserve"> use 0.1 MJ energy * avg electricity CO₂)</w:t>
      </w:r>
    </w:p>
    <w:p w14:paraId="1D47DFC9" w14:textId="77777777" w:rsidR="00275ED1" w:rsidRPr="00275ED1" w:rsidRDefault="00275ED1" w:rsidP="00275ED1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75ED1">
        <w:rPr>
          <w:sz w:val="28"/>
          <w:szCs w:val="28"/>
        </w:rPr>
        <w:t>Production Emissions:</w:t>
      </w:r>
    </w:p>
    <w:p w14:paraId="6960DC3D" w14:textId="66A3F52A" w:rsidR="00275ED1" w:rsidRPr="00275ED1" w:rsidRDefault="00275ED1" w:rsidP="00275ED1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275ED1">
        <w:rPr>
          <w:sz w:val="28"/>
          <w:szCs w:val="28"/>
        </w:rPr>
        <w:t>Stainless steel: ~14 kg CO₂ per kg → 0.5 kg ≈ 7 kg</w:t>
      </w:r>
      <w:r w:rsidR="00A00BEF">
        <w:rPr>
          <w:sz w:val="28"/>
          <w:szCs w:val="28"/>
        </w:rPr>
        <w:t xml:space="preserve"> CO</w:t>
      </w:r>
      <w:r w:rsidR="00A00BEF">
        <w:rPr>
          <w:sz w:val="28"/>
          <w:szCs w:val="28"/>
          <w:vertAlign w:val="subscript"/>
        </w:rPr>
        <w:t>2</w:t>
      </w:r>
    </w:p>
    <w:p w14:paraId="43EDEF2B" w14:textId="77777777" w:rsidR="00275ED1" w:rsidRPr="00275ED1" w:rsidRDefault="00275ED1" w:rsidP="00275ED1">
      <w:pPr>
        <w:pStyle w:val="NormalWeb"/>
        <w:numPr>
          <w:ilvl w:val="1"/>
          <w:numId w:val="4"/>
        </w:numPr>
        <w:rPr>
          <w:b/>
          <w:bCs/>
          <w:sz w:val="28"/>
          <w:szCs w:val="28"/>
        </w:rPr>
      </w:pPr>
      <w:r w:rsidRPr="00275ED1">
        <w:rPr>
          <w:sz w:val="28"/>
          <w:szCs w:val="28"/>
        </w:rPr>
        <w:t>PET: ~0.5 kg CO₂ per bottle → 365 × 0.5 = ~182 kg CO₂</w:t>
      </w:r>
      <w:r w:rsidRPr="00275ED1">
        <w:rPr>
          <w:sz w:val="28"/>
          <w:szCs w:val="28"/>
        </w:rPr>
        <w:br/>
        <w:t>(</w:t>
      </w:r>
      <w:r w:rsidRPr="00275ED1">
        <w:rPr>
          <w:b/>
          <w:bCs/>
          <w:sz w:val="28"/>
          <w:szCs w:val="28"/>
        </w:rPr>
        <w:t>Values from Ecoinvent/PlasticsEurope</w:t>
      </w:r>
      <w:r w:rsidRPr="00275ED1">
        <w:rPr>
          <w:sz w:val="28"/>
          <w:szCs w:val="28"/>
        </w:rPr>
        <w:t>)</w:t>
      </w:r>
    </w:p>
    <w:p w14:paraId="7DFA1CCC" w14:textId="6B704677" w:rsidR="00275ED1" w:rsidRPr="00E303DB" w:rsidRDefault="00E303DB" w:rsidP="00EA1C3D">
      <w:pPr>
        <w:pStyle w:val="Heading2"/>
      </w:pPr>
      <w:bookmarkStart w:id="4" w:name="_Toc200648079"/>
      <w:r w:rsidRPr="00E303DB">
        <w:t>System Boundary Diagram:</w:t>
      </w:r>
      <w:bookmarkEnd w:id="4"/>
      <w:r w:rsidR="00B00F9F">
        <w:t xml:space="preserve"> </w:t>
      </w:r>
    </w:p>
    <w:p w14:paraId="7891FA27" w14:textId="10701618" w:rsidR="00F31AC9" w:rsidRPr="00F31AC9" w:rsidRDefault="00F31AC9" w:rsidP="00157C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1AC9">
        <w:rPr>
          <w:rFonts w:ascii="Times New Roman" w:hAnsi="Times New Roman" w:cs="Times New Roman"/>
          <w:b/>
          <w:bCs/>
          <w:sz w:val="28"/>
          <w:szCs w:val="28"/>
        </w:rPr>
        <w:t>Reusable bottle System (Cradle to Grave)</w:t>
      </w:r>
    </w:p>
    <w:p w14:paraId="68D3A324" w14:textId="1F4F662D" w:rsidR="005A52F3" w:rsidRDefault="00F31AC9" w:rsidP="00F31A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FCEAB5" wp14:editId="433FD171">
            <wp:extent cx="3355145" cy="2540003"/>
            <wp:effectExtent l="0" t="0" r="0" b="0"/>
            <wp:docPr id="184457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78527" name="Picture 18445785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36" t="34473" r="38709" b="37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41" cy="254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113F3" w14:textId="34008D96" w:rsidR="00F31AC9" w:rsidRPr="00F31AC9" w:rsidRDefault="00F31AC9" w:rsidP="00F31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AC9">
        <w:rPr>
          <w:rFonts w:ascii="Times New Roman" w:hAnsi="Times New Roman" w:cs="Times New Roman"/>
          <w:b/>
          <w:bCs/>
          <w:sz w:val="28"/>
          <w:szCs w:val="28"/>
        </w:rPr>
        <w:t>Single-Use PET Bottle System</w:t>
      </w:r>
    </w:p>
    <w:p w14:paraId="366F21F2" w14:textId="77777777" w:rsidR="00F31AC9" w:rsidRDefault="00F31AC9" w:rsidP="00F31AC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B34AA4" w14:textId="3642A98C" w:rsidR="00F31AC9" w:rsidRDefault="00F31AC9" w:rsidP="00F31A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58C1A4" wp14:editId="5929B2B0">
            <wp:extent cx="2718620" cy="1948375"/>
            <wp:effectExtent l="0" t="0" r="5715" b="0"/>
            <wp:docPr id="1055573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73081" name="Picture 105557308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21" t="38181" r="40838" b="39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02" cy="195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64D3D" w14:textId="77777777" w:rsidR="005A52F3" w:rsidRPr="00964ABE" w:rsidRDefault="005A52F3" w:rsidP="00157C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53250B" w14:textId="5D8D467E" w:rsidR="005A52F3" w:rsidRDefault="00964ABE" w:rsidP="00EA1C3D">
      <w:pPr>
        <w:pStyle w:val="Heading1"/>
      </w:pPr>
      <w:bookmarkStart w:id="5" w:name="_Toc200648080"/>
      <w:r w:rsidRPr="00964ABE">
        <w:lastRenderedPageBreak/>
        <w:t xml:space="preserve">Step 3: Life Cycle </w:t>
      </w:r>
      <w:r>
        <w:t>Impact</w:t>
      </w:r>
      <w:r w:rsidRPr="00964ABE">
        <w:t xml:space="preserve"> Assessment (LCIA)</w:t>
      </w:r>
      <w:bookmarkEnd w:id="5"/>
    </w:p>
    <w:p w14:paraId="539080E1" w14:textId="6BA4451D" w:rsidR="00964ABE" w:rsidRDefault="00113725" w:rsidP="00EA1C3D">
      <w:pPr>
        <w:pStyle w:val="Heading2"/>
      </w:pPr>
      <w:bookmarkStart w:id="6" w:name="_Toc200648081"/>
      <w:r w:rsidRPr="00B93E92">
        <w:t xml:space="preserve">3.1 </w:t>
      </w:r>
      <w:r w:rsidR="00964ABE" w:rsidRPr="00B93E92">
        <w:t>Define Impact Categories and Methods</w:t>
      </w:r>
      <w:r w:rsidR="00964ABE">
        <w:t>:</w:t>
      </w:r>
      <w:bookmarkEnd w:id="6"/>
    </w:p>
    <w:p w14:paraId="74FA6938" w14:textId="7DE4FD34" w:rsidR="00964ABE" w:rsidRPr="00964ABE" w:rsidRDefault="00964ABE" w:rsidP="00964A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ABE">
        <w:rPr>
          <w:rFonts w:ascii="Times New Roman" w:hAnsi="Times New Roman" w:cs="Times New Roman"/>
          <w:sz w:val="28"/>
          <w:szCs w:val="28"/>
        </w:rPr>
        <w:t xml:space="preserve">Global Warming Potential (GWP) – </w:t>
      </w:r>
      <w:r>
        <w:rPr>
          <w:rFonts w:ascii="Times New Roman" w:hAnsi="Times New Roman" w:cs="Times New Roman"/>
          <w:sz w:val="28"/>
          <w:szCs w:val="28"/>
        </w:rPr>
        <w:t>measured</w:t>
      </w:r>
      <w:r w:rsidRPr="00964ABE">
        <w:rPr>
          <w:rFonts w:ascii="Times New Roman" w:hAnsi="Times New Roman" w:cs="Times New Roman"/>
          <w:sz w:val="28"/>
          <w:szCs w:val="28"/>
        </w:rPr>
        <w:t xml:space="preserve"> in kg CO2-equivalent</w:t>
      </w:r>
    </w:p>
    <w:p w14:paraId="3E1D2A2D" w14:textId="3856C012" w:rsidR="00964ABE" w:rsidRPr="00964ABE" w:rsidRDefault="00964ABE" w:rsidP="00964A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ABE">
        <w:rPr>
          <w:rFonts w:ascii="Times New Roman" w:hAnsi="Times New Roman" w:cs="Times New Roman"/>
          <w:sz w:val="28"/>
          <w:szCs w:val="28"/>
        </w:rPr>
        <w:t>Energy Use – total energy input in MJ</w:t>
      </w:r>
    </w:p>
    <w:p w14:paraId="44C529AA" w14:textId="6C976C19" w:rsidR="00964ABE" w:rsidRPr="00964ABE" w:rsidRDefault="00964ABE" w:rsidP="00964A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64ABE">
        <w:rPr>
          <w:rFonts w:ascii="Times New Roman" w:hAnsi="Times New Roman" w:cs="Times New Roman"/>
          <w:sz w:val="28"/>
          <w:szCs w:val="28"/>
        </w:rPr>
        <w:t>Water Use – total liters consumed</w:t>
      </w:r>
    </w:p>
    <w:p w14:paraId="06E18A91" w14:textId="081CEEF0" w:rsidR="005A52F3" w:rsidRPr="00B93E92" w:rsidRDefault="00113725" w:rsidP="00EA1C3D">
      <w:pPr>
        <w:pStyle w:val="Heading2"/>
      </w:pPr>
      <w:bookmarkStart w:id="7" w:name="_Toc200648082"/>
      <w:r w:rsidRPr="00B93E92">
        <w:t>3.2 Apply Impact Factors to your Inventory</w:t>
      </w:r>
      <w:r w:rsidR="00B93E92">
        <w:t>:</w:t>
      </w:r>
      <w:bookmarkEnd w:id="7"/>
    </w:p>
    <w:p w14:paraId="741F0B7B" w14:textId="1C4062CF" w:rsidR="005A52F3" w:rsidRDefault="00113725" w:rsidP="00157CE5">
      <w:pPr>
        <w:jc w:val="both"/>
        <w:rPr>
          <w:rFonts w:ascii="Times New Roman" w:hAnsi="Times New Roman" w:cs="Times New Roman"/>
          <w:sz w:val="28"/>
          <w:szCs w:val="28"/>
        </w:rPr>
      </w:pPr>
      <w:r w:rsidRPr="00113725">
        <w:rPr>
          <w:rFonts w:ascii="Times New Roman" w:hAnsi="Times New Roman" w:cs="Times New Roman"/>
          <w:sz w:val="28"/>
          <w:szCs w:val="28"/>
        </w:rPr>
        <w:t xml:space="preserve">We’ll now calculate the impact for each item from your LCI using </w:t>
      </w:r>
      <w:r w:rsidRPr="0011372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conversion factors</w:t>
      </w:r>
      <w:r w:rsidRPr="00113725">
        <w:rPr>
          <w:rFonts w:ascii="Times New Roman" w:hAnsi="Times New Roman" w:cs="Times New Roman"/>
          <w:sz w:val="28"/>
          <w:szCs w:val="28"/>
        </w:rPr>
        <w:t xml:space="preserve"> (also known as characterization factors).</w:t>
      </w:r>
    </w:p>
    <w:p w14:paraId="273CAB7F" w14:textId="77777777" w:rsidR="00883886" w:rsidRPr="00113725" w:rsidRDefault="00883886" w:rsidP="00157C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00FE1" w14:textId="36008B1B" w:rsidR="005A52F3" w:rsidRDefault="00883886" w:rsidP="00157CE5">
      <w:pPr>
        <w:jc w:val="both"/>
        <w:rPr>
          <w:rFonts w:ascii="Times New Roman" w:hAnsi="Times New Roman" w:cs="Times New Roman"/>
          <w:sz w:val="32"/>
          <w:szCs w:val="32"/>
        </w:rPr>
      </w:pPr>
      <w:r w:rsidRPr="008838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E56612" wp14:editId="0C6A2444">
            <wp:extent cx="5731510" cy="1842135"/>
            <wp:effectExtent l="0" t="0" r="2540" b="5715"/>
            <wp:docPr id="97332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29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053" cy="18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AF16" w14:textId="78DEDEF5" w:rsidR="00883886" w:rsidRDefault="003D1370" w:rsidP="00EA1C3D">
      <w:pPr>
        <w:pStyle w:val="Heading2"/>
      </w:pPr>
      <w:bookmarkStart w:id="8" w:name="_Toc200648083"/>
      <w:r w:rsidRPr="003D1370">
        <w:t>3.3 Calculate Total Impacts</w:t>
      </w:r>
      <w:r>
        <w:t>:</w:t>
      </w:r>
      <w:bookmarkEnd w:id="8"/>
    </w:p>
    <w:p w14:paraId="6EF47127" w14:textId="247B9EA0" w:rsidR="003D1370" w:rsidRPr="00135CE6" w:rsidRDefault="00526415" w:rsidP="00157CE5">
      <w:pPr>
        <w:jc w:val="both"/>
        <w:rPr>
          <w:rFonts w:ascii="Times New Roman" w:hAnsi="Times New Roman" w:cs="Times New Roman"/>
          <w:sz w:val="28"/>
          <w:szCs w:val="28"/>
        </w:rPr>
      </w:pPr>
      <w:r w:rsidRPr="00135CE6">
        <w:rPr>
          <w:rFonts w:ascii="Times New Roman" w:hAnsi="Times New Roman" w:cs="Times New Roman"/>
          <w:sz w:val="28"/>
          <w:szCs w:val="28"/>
        </w:rPr>
        <w:t>Reusable bottle (Steel):</w:t>
      </w:r>
    </w:p>
    <w:p w14:paraId="33E54C1A" w14:textId="2CA36A1E" w:rsidR="00526415" w:rsidRDefault="00526415" w:rsidP="005264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26415">
        <w:rPr>
          <w:rFonts w:ascii="Times New Roman" w:hAnsi="Times New Roman" w:cs="Times New Roman"/>
          <w:sz w:val="28"/>
          <w:szCs w:val="28"/>
          <w:lang w:val="de-DE"/>
        </w:rPr>
        <w:t>GWP Total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= </w:t>
      </w:r>
    </w:p>
    <w:p w14:paraId="0F952AB6" w14:textId="77777777" w:rsidR="00135CE6" w:rsidRDefault="00526415" w:rsidP="005264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CE6">
        <w:rPr>
          <w:rFonts w:ascii="Times New Roman" w:hAnsi="Times New Roman" w:cs="Times New Roman"/>
          <w:sz w:val="28"/>
          <w:szCs w:val="28"/>
        </w:rPr>
        <w:t xml:space="preserve">Manufacturing: </w:t>
      </w:r>
      <w:r w:rsidR="00135CE6" w:rsidRPr="00135CE6">
        <w:rPr>
          <w:rFonts w:ascii="Times New Roman" w:hAnsi="Times New Roman" w:cs="Times New Roman"/>
          <w:sz w:val="28"/>
          <w:szCs w:val="28"/>
        </w:rPr>
        <w:t>0.5 kg steel * 14 kg CO</w:t>
      </w:r>
      <w:r w:rsidR="00135CE6" w:rsidRPr="00135C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35CE6">
        <w:rPr>
          <w:rFonts w:ascii="Times New Roman" w:hAnsi="Times New Roman" w:cs="Times New Roman"/>
          <w:sz w:val="28"/>
          <w:szCs w:val="28"/>
        </w:rPr>
        <w:t>/kg = 7 kg CO</w:t>
      </w:r>
      <w:r w:rsidR="00135C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35C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83283" w14:textId="77777777" w:rsidR="00897CFF" w:rsidRDefault="00135CE6" w:rsidP="005264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Washing = 36.5 MJ * 0.</w:t>
      </w:r>
      <w:r w:rsidR="00455494">
        <w:rPr>
          <w:rFonts w:ascii="Times New Roman" w:hAnsi="Times New Roman" w:cs="Times New Roman"/>
          <w:sz w:val="28"/>
          <w:szCs w:val="28"/>
        </w:rPr>
        <w:t>0892 kg CO</w:t>
      </w:r>
      <w:r w:rsidR="0045549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55494">
        <w:rPr>
          <w:rFonts w:ascii="Times New Roman" w:hAnsi="Times New Roman" w:cs="Times New Roman"/>
          <w:sz w:val="28"/>
          <w:szCs w:val="28"/>
        </w:rPr>
        <w:t>/MJ</w:t>
      </w:r>
      <w:r w:rsidR="00897CFF">
        <w:rPr>
          <w:rFonts w:ascii="Times New Roman" w:hAnsi="Times New Roman" w:cs="Times New Roman"/>
          <w:sz w:val="28"/>
          <w:szCs w:val="28"/>
        </w:rPr>
        <w:t xml:space="preserve"> = 3.26 kg CO</w:t>
      </w:r>
      <w:r w:rsidR="00897CF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506E9C51" w14:textId="77777777" w:rsidR="00B974A0" w:rsidRPr="00B974A0" w:rsidRDefault="00897CFF" w:rsidP="005264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 = 100 km * 0.5 tonnes * 0.126 = 6.3 kg 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E9DA1F4" w14:textId="72FAE7F3" w:rsidR="00526415" w:rsidRDefault="00B974A0" w:rsidP="00B974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= 16.56 kg 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5981AB6B" w14:textId="77777777" w:rsidR="00ED6EED" w:rsidRDefault="00B974A0" w:rsidP="00B974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Energy Use = 50 MJ + 3 MJ + 36.5 MJ = 89.5 MJ</w:t>
      </w:r>
    </w:p>
    <w:p w14:paraId="2C569882" w14:textId="4C34DC71" w:rsidR="00B974A0" w:rsidRDefault="00ED6EED" w:rsidP="00B974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Water Use (Lit) = 0.3 L/day * 365 days = 109.5 L/year </w:t>
      </w:r>
    </w:p>
    <w:p w14:paraId="6246CD5C" w14:textId="17AE5862" w:rsidR="008B4073" w:rsidRDefault="008B4073" w:rsidP="008B40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Single-Use PET Bottles:</w:t>
      </w:r>
    </w:p>
    <w:p w14:paraId="6DA614E5" w14:textId="1A7B230A" w:rsidR="008B4073" w:rsidRDefault="008B4073" w:rsidP="008B407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GWP Total =</w:t>
      </w:r>
    </w:p>
    <w:p w14:paraId="41A3BA61" w14:textId="57A762B5" w:rsidR="008B4073" w:rsidRDefault="008B4073" w:rsidP="008B407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CE6">
        <w:rPr>
          <w:rFonts w:ascii="Times New Roman" w:hAnsi="Times New Roman" w:cs="Times New Roman"/>
          <w:sz w:val="28"/>
          <w:szCs w:val="28"/>
        </w:rPr>
        <w:t>Manufacturing</w:t>
      </w:r>
      <w:r>
        <w:rPr>
          <w:rFonts w:ascii="Times New Roman" w:hAnsi="Times New Roman" w:cs="Times New Roman"/>
          <w:sz w:val="28"/>
          <w:szCs w:val="28"/>
        </w:rPr>
        <w:t>: 365 bottles * 0.5 kg 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/bottle = 182.5 kg 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BCF5B1A" w14:textId="71A692BA" w:rsidR="008B4073" w:rsidRDefault="008B4073" w:rsidP="008B407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 = 7.3 kg * 100 km * 0.126 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/ton-km / 1000 = 0.091 kg 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B012183" w14:textId="5B6CD77B" w:rsidR="008B4073" w:rsidRDefault="008B4073" w:rsidP="008B407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Washing = 0 (No washing needed)</w:t>
      </w:r>
    </w:p>
    <w:p w14:paraId="21EFFE71" w14:textId="5199B5F0" w:rsidR="00A86CEC" w:rsidRDefault="00A86CEC" w:rsidP="00A86C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Energy Use = 15.3 MJ + 36.5 MJ = 51.8 MJ</w:t>
      </w:r>
    </w:p>
    <w:p w14:paraId="525C4580" w14:textId="570AEA7E" w:rsidR="00A86CEC" w:rsidRDefault="00A86CEC" w:rsidP="00A86CE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Water Use = 0 (bottles are discarded after use)</w:t>
      </w:r>
    </w:p>
    <w:p w14:paraId="3AEB88C1" w14:textId="77777777" w:rsidR="00487AFC" w:rsidRDefault="00487AFC" w:rsidP="00C968D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398705E" w14:textId="6C4C01BC" w:rsidR="00C968D3" w:rsidRDefault="00487AFC" w:rsidP="00EA1C3D">
      <w:pPr>
        <w:pStyle w:val="Heading1"/>
        <w:rPr>
          <w:sz w:val="28"/>
          <w:szCs w:val="28"/>
        </w:rPr>
      </w:pPr>
      <w:bookmarkStart w:id="9" w:name="_Toc200648084"/>
      <w:r w:rsidRPr="00487AFC">
        <w:t>Step 4 Interpretation</w:t>
      </w:r>
      <w:r>
        <w:rPr>
          <w:sz w:val="28"/>
          <w:szCs w:val="28"/>
        </w:rPr>
        <w:t>:</w:t>
      </w:r>
      <w:bookmarkEnd w:id="9"/>
    </w:p>
    <w:p w14:paraId="487957C4" w14:textId="5B667934" w:rsidR="00487AFC" w:rsidRDefault="00487AFC" w:rsidP="00C968D3">
      <w:pPr>
        <w:jc w:val="both"/>
        <w:rPr>
          <w:rFonts w:ascii="Times New Roman" w:hAnsi="Times New Roman" w:cs="Times New Roman"/>
          <w:sz w:val="28"/>
          <w:szCs w:val="28"/>
        </w:rPr>
      </w:pPr>
      <w:r w:rsidRPr="00487AFC">
        <w:rPr>
          <w:rFonts w:ascii="Times New Roman" w:hAnsi="Times New Roman" w:cs="Times New Roman"/>
          <w:sz w:val="28"/>
          <w:szCs w:val="28"/>
        </w:rPr>
        <w:t>This study compared the environmental impacts of using a reusable stainless steel water bottle versus 365 single-use PET plastic bottles over one year (365 liters of drinking water). Impacts were assessed using Global Warming Potential (kg CO₂-eq), energy use (MJ), and water use (L).</w:t>
      </w:r>
    </w:p>
    <w:p w14:paraId="314DB0B6" w14:textId="011B4EB2" w:rsidR="00487AFC" w:rsidRDefault="00487AFC" w:rsidP="00C968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AF6">
        <w:rPr>
          <w:rFonts w:ascii="Times New Roman" w:hAnsi="Times New Roman" w:cs="Times New Roman"/>
          <w:b/>
          <w:bCs/>
          <w:sz w:val="32"/>
          <w:szCs w:val="32"/>
        </w:rPr>
        <w:t>Impact Summary Table</w:t>
      </w:r>
      <w:r w:rsidRPr="00487A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7AFC" w14:paraId="08BDBD8B" w14:textId="77777777">
        <w:tc>
          <w:tcPr>
            <w:tcW w:w="3005" w:type="dxa"/>
          </w:tcPr>
          <w:p w14:paraId="1EA5BF70" w14:textId="7E18F0F8" w:rsidR="00487AFC" w:rsidRDefault="00487AFC" w:rsidP="00487A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Impact Category</w:t>
            </w:r>
          </w:p>
        </w:tc>
        <w:tc>
          <w:tcPr>
            <w:tcW w:w="3005" w:type="dxa"/>
          </w:tcPr>
          <w:p w14:paraId="57ADE010" w14:textId="1F1E2640" w:rsidR="00487AFC" w:rsidRDefault="00487AFC" w:rsidP="00487A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Reusable Bottle</w:t>
            </w:r>
          </w:p>
        </w:tc>
        <w:tc>
          <w:tcPr>
            <w:tcW w:w="3006" w:type="dxa"/>
          </w:tcPr>
          <w:p w14:paraId="44799E61" w14:textId="75F06FB4" w:rsidR="00487AFC" w:rsidRDefault="00487AFC" w:rsidP="00487A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Single-Use PET Bottle</w:t>
            </w:r>
          </w:p>
        </w:tc>
      </w:tr>
      <w:tr w:rsidR="00487AFC" w14:paraId="6A7E3A14" w14:textId="77777777">
        <w:tc>
          <w:tcPr>
            <w:tcW w:w="3005" w:type="dxa"/>
          </w:tcPr>
          <w:p w14:paraId="1F2291D8" w14:textId="50719C94" w:rsidR="00487AFC" w:rsidRPr="00487AFC" w:rsidRDefault="00487AFC" w:rsidP="00C96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AFC">
              <w:rPr>
                <w:rFonts w:ascii="Times New Roman" w:hAnsi="Times New Roman" w:cs="Times New Roman"/>
                <w:sz w:val="28"/>
                <w:szCs w:val="28"/>
              </w:rPr>
              <w:t>GWP (kg CO</w:t>
            </w:r>
            <w:r w:rsidRPr="00487A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87AFC">
              <w:rPr>
                <w:rFonts w:ascii="Times New Roman" w:hAnsi="Times New Roman" w:cs="Times New Roman"/>
                <w:sz w:val="28"/>
                <w:szCs w:val="28"/>
              </w:rPr>
              <w:t>-eq)</w:t>
            </w:r>
          </w:p>
        </w:tc>
        <w:tc>
          <w:tcPr>
            <w:tcW w:w="3005" w:type="dxa"/>
          </w:tcPr>
          <w:p w14:paraId="0C41D56D" w14:textId="0D1BCC1D" w:rsidR="00487AFC" w:rsidRPr="00487AFC" w:rsidRDefault="00487AFC" w:rsidP="00487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AFC">
              <w:rPr>
                <w:rFonts w:ascii="Times New Roman" w:hAnsi="Times New Roman" w:cs="Times New Roman"/>
                <w:sz w:val="28"/>
                <w:szCs w:val="28"/>
              </w:rPr>
              <w:t>16.56</w:t>
            </w:r>
          </w:p>
        </w:tc>
        <w:tc>
          <w:tcPr>
            <w:tcW w:w="3006" w:type="dxa"/>
          </w:tcPr>
          <w:p w14:paraId="54A574CA" w14:textId="61160E77" w:rsidR="00487AFC" w:rsidRPr="00487AFC" w:rsidRDefault="00487AFC" w:rsidP="00487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AFC">
              <w:rPr>
                <w:rFonts w:ascii="Times New Roman" w:hAnsi="Times New Roman" w:cs="Times New Roman"/>
                <w:sz w:val="28"/>
                <w:szCs w:val="28"/>
              </w:rPr>
              <w:t>182.6</w:t>
            </w:r>
          </w:p>
        </w:tc>
      </w:tr>
      <w:tr w:rsidR="00487AFC" w14:paraId="19ECBD14" w14:textId="77777777">
        <w:tc>
          <w:tcPr>
            <w:tcW w:w="3005" w:type="dxa"/>
          </w:tcPr>
          <w:p w14:paraId="5A5A0CBB" w14:textId="7E8B7CDF" w:rsidR="00487AFC" w:rsidRPr="00487AFC" w:rsidRDefault="00487AFC" w:rsidP="00C96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AFC">
              <w:rPr>
                <w:rFonts w:ascii="Times New Roman" w:hAnsi="Times New Roman" w:cs="Times New Roman"/>
                <w:sz w:val="28"/>
                <w:szCs w:val="28"/>
              </w:rPr>
              <w:t>Energy Use (MJ)</w:t>
            </w:r>
          </w:p>
        </w:tc>
        <w:tc>
          <w:tcPr>
            <w:tcW w:w="3005" w:type="dxa"/>
          </w:tcPr>
          <w:p w14:paraId="4BA74849" w14:textId="1A0C23D1" w:rsidR="00487AFC" w:rsidRPr="00487AFC" w:rsidRDefault="00487AFC" w:rsidP="00487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AFC">
              <w:rPr>
                <w:rFonts w:ascii="Times New Roman" w:hAnsi="Times New Roman" w:cs="Times New Roman"/>
                <w:sz w:val="28"/>
                <w:szCs w:val="28"/>
              </w:rPr>
              <w:t>89.5</w:t>
            </w:r>
          </w:p>
        </w:tc>
        <w:tc>
          <w:tcPr>
            <w:tcW w:w="3006" w:type="dxa"/>
          </w:tcPr>
          <w:p w14:paraId="6B8CF700" w14:textId="1691C95B" w:rsidR="00487AFC" w:rsidRPr="00487AFC" w:rsidRDefault="00487AFC" w:rsidP="00487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AFC">
              <w:rPr>
                <w:rFonts w:ascii="Times New Roman" w:hAnsi="Times New Roman" w:cs="Times New Roman"/>
                <w:sz w:val="28"/>
                <w:szCs w:val="28"/>
              </w:rPr>
              <w:t>51.8</w:t>
            </w:r>
          </w:p>
        </w:tc>
      </w:tr>
      <w:tr w:rsidR="00487AFC" w14:paraId="6FB62A06" w14:textId="77777777">
        <w:tc>
          <w:tcPr>
            <w:tcW w:w="3005" w:type="dxa"/>
          </w:tcPr>
          <w:p w14:paraId="1EE78F87" w14:textId="50DC5B7C" w:rsidR="00487AFC" w:rsidRPr="00487AFC" w:rsidRDefault="00487AFC" w:rsidP="00C968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AFC">
              <w:rPr>
                <w:rFonts w:ascii="Times New Roman" w:hAnsi="Times New Roman" w:cs="Times New Roman"/>
                <w:sz w:val="28"/>
                <w:szCs w:val="28"/>
              </w:rPr>
              <w:t>Water Use (L)</w:t>
            </w:r>
          </w:p>
        </w:tc>
        <w:tc>
          <w:tcPr>
            <w:tcW w:w="3005" w:type="dxa"/>
          </w:tcPr>
          <w:p w14:paraId="3479ED5C" w14:textId="22F130B2" w:rsidR="00487AFC" w:rsidRPr="00487AFC" w:rsidRDefault="00487AFC" w:rsidP="00487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AFC">
              <w:rPr>
                <w:rFonts w:ascii="Times New Roman" w:hAnsi="Times New Roman" w:cs="Times New Roman"/>
                <w:sz w:val="28"/>
                <w:szCs w:val="28"/>
              </w:rPr>
              <w:t>109.5</w:t>
            </w:r>
          </w:p>
        </w:tc>
        <w:tc>
          <w:tcPr>
            <w:tcW w:w="3006" w:type="dxa"/>
          </w:tcPr>
          <w:p w14:paraId="4493A88E" w14:textId="19E5EEA3" w:rsidR="00487AFC" w:rsidRPr="00487AFC" w:rsidRDefault="00487AFC" w:rsidP="00487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A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6679A21" w14:textId="77777777" w:rsidR="00487AFC" w:rsidRPr="00487AFC" w:rsidRDefault="00487AFC" w:rsidP="00C968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1D7DB" w14:textId="35EFD3E5" w:rsidR="005A52F3" w:rsidRDefault="00487AFC" w:rsidP="008E6AF6">
      <w:pPr>
        <w:jc w:val="both"/>
        <w:rPr>
          <w:rFonts w:ascii="Times New Roman" w:hAnsi="Times New Roman" w:cs="Times New Roman"/>
          <w:sz w:val="28"/>
          <w:szCs w:val="28"/>
        </w:rPr>
      </w:pPr>
      <w:r w:rsidRPr="00487AFC">
        <w:rPr>
          <w:rFonts w:ascii="Times New Roman" w:hAnsi="Times New Roman" w:cs="Times New Roman"/>
          <w:sz w:val="28"/>
          <w:szCs w:val="28"/>
        </w:rPr>
        <w:t xml:space="preserve">Over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8E6AF6">
        <w:rPr>
          <w:rFonts w:ascii="Times New Roman" w:hAnsi="Times New Roman" w:cs="Times New Roman"/>
          <w:sz w:val="28"/>
          <w:szCs w:val="28"/>
        </w:rPr>
        <w:t>course of one</w:t>
      </w:r>
      <w:r>
        <w:rPr>
          <w:rFonts w:ascii="Times New Roman" w:hAnsi="Times New Roman" w:cs="Times New Roman"/>
          <w:sz w:val="28"/>
          <w:szCs w:val="28"/>
        </w:rPr>
        <w:t xml:space="preserve"> year</w:t>
      </w:r>
      <w:r w:rsidRPr="00487AFC">
        <w:rPr>
          <w:rFonts w:ascii="Times New Roman" w:hAnsi="Times New Roman" w:cs="Times New Roman"/>
          <w:sz w:val="28"/>
          <w:szCs w:val="28"/>
        </w:rPr>
        <w:t xml:space="preserve">, the </w:t>
      </w:r>
      <w:r w:rsidRPr="00487AFC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reusable bottle had ~91% lower carbon emissions</w:t>
      </w:r>
      <w:r w:rsidRPr="00487AFC">
        <w:rPr>
          <w:rFonts w:ascii="Times New Roman" w:hAnsi="Times New Roman" w:cs="Times New Roman"/>
          <w:sz w:val="28"/>
          <w:szCs w:val="28"/>
        </w:rPr>
        <w:t xml:space="preserve"> than the single-use plastic bottles. While it required more energy and water (mainly for cleaning), its emissions savings far outweighed these impacts.</w:t>
      </w:r>
      <w:r w:rsidR="008E6AF6">
        <w:rPr>
          <w:rFonts w:ascii="Times New Roman" w:hAnsi="Times New Roman" w:cs="Times New Roman"/>
          <w:sz w:val="28"/>
          <w:szCs w:val="28"/>
        </w:rPr>
        <w:t xml:space="preserve"> </w:t>
      </w:r>
      <w:r w:rsidR="008E6AF6" w:rsidRPr="008E6AF6">
        <w:rPr>
          <w:rFonts w:ascii="Times New Roman" w:hAnsi="Times New Roman" w:cs="Times New Roman"/>
          <w:sz w:val="28"/>
          <w:szCs w:val="28"/>
        </w:rPr>
        <w:t>For example, if the stainless-steel bottle is only reused 50 times and then discarded, its GWP per liter would increase significantly and may not outperform PET. However, at 365 uses or more, the break-even point is quickly surpassed.</w:t>
      </w:r>
    </w:p>
    <w:p w14:paraId="1CA22821" w14:textId="35B8C29E" w:rsidR="008E6AF6" w:rsidRPr="008E6AF6" w:rsidRDefault="008E6AF6" w:rsidP="00EA1C3D">
      <w:pPr>
        <w:pStyle w:val="Heading1"/>
      </w:pPr>
      <w:bookmarkStart w:id="10" w:name="_Toc200648085"/>
      <w:r w:rsidRPr="008E6AF6">
        <w:t>Conclusion:</w:t>
      </w:r>
      <w:bookmarkEnd w:id="10"/>
    </w:p>
    <w:p w14:paraId="5951373A" w14:textId="6B659998" w:rsidR="005A52F3" w:rsidRPr="00F07414" w:rsidRDefault="00F07414" w:rsidP="008E6AF6">
      <w:pPr>
        <w:jc w:val="both"/>
        <w:rPr>
          <w:rFonts w:ascii="Times New Roman" w:hAnsi="Times New Roman" w:cs="Times New Roman"/>
          <w:sz w:val="28"/>
          <w:szCs w:val="28"/>
        </w:rPr>
      </w:pPr>
      <w:r w:rsidRPr="00F07414">
        <w:rPr>
          <w:rFonts w:ascii="Times New Roman" w:hAnsi="Times New Roman" w:cs="Times New Roman"/>
          <w:sz w:val="28"/>
          <w:szCs w:val="28"/>
        </w:rPr>
        <w:t xml:space="preserve">The results of this study show that a reusable </w:t>
      </w:r>
      <w:r w:rsidR="00735EBD" w:rsidRPr="00F07414">
        <w:rPr>
          <w:rFonts w:ascii="Times New Roman" w:hAnsi="Times New Roman" w:cs="Times New Roman"/>
          <w:sz w:val="28"/>
          <w:szCs w:val="28"/>
        </w:rPr>
        <w:t>stainless-steel</w:t>
      </w:r>
      <w:r w:rsidRPr="00F07414">
        <w:rPr>
          <w:rFonts w:ascii="Times New Roman" w:hAnsi="Times New Roman" w:cs="Times New Roman"/>
          <w:sz w:val="28"/>
          <w:szCs w:val="28"/>
        </w:rPr>
        <w:t xml:space="preserve"> bottle has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07414">
        <w:rPr>
          <w:rFonts w:ascii="Times New Roman" w:hAnsi="Times New Roman" w:cs="Times New Roman"/>
          <w:sz w:val="28"/>
          <w:szCs w:val="28"/>
        </w:rPr>
        <w:t xml:space="preserve">significantly lower environmental impact than using 365 single-use PET plastic bottles over </w:t>
      </w:r>
      <w:r>
        <w:rPr>
          <w:rFonts w:ascii="Times New Roman" w:hAnsi="Times New Roman" w:cs="Times New Roman"/>
          <w:sz w:val="28"/>
          <w:szCs w:val="28"/>
        </w:rPr>
        <w:t>one year,</w:t>
      </w:r>
      <w:r w:rsidRPr="00F07414">
        <w:rPr>
          <w:rFonts w:ascii="Times New Roman" w:hAnsi="Times New Roman" w:cs="Times New Roman"/>
          <w:sz w:val="28"/>
          <w:szCs w:val="28"/>
        </w:rPr>
        <w:t xml:space="preserve"> especially in terms of carbon emissions. While the reusable bottle requires more energy and water during use, its long-term benefits make it a more sustainable choice when used consistently and cleaned efficiently.</w:t>
      </w:r>
    </w:p>
    <w:p w14:paraId="44FAA083" w14:textId="77777777" w:rsidR="005A52F3" w:rsidRDefault="005A52F3" w:rsidP="00157C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1BE539" w14:textId="77777777" w:rsidR="005A52F3" w:rsidRDefault="005A52F3" w:rsidP="00157C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8E974" w14:textId="77777777" w:rsidR="005A52F3" w:rsidRDefault="005A52F3" w:rsidP="00157C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652282" w14:textId="7DB018E9" w:rsidR="005A52F3" w:rsidRDefault="005A52F3" w:rsidP="00EA1C3D">
      <w:pPr>
        <w:pStyle w:val="TOCHeading"/>
        <w:rPr>
          <w:rFonts w:ascii="Times New Roman" w:hAnsi="Times New Roman" w:cs="Times New Roman"/>
          <w:b/>
          <w:bCs/>
        </w:rPr>
      </w:pPr>
    </w:p>
    <w:sectPr w:rsidR="005A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02B17"/>
    <w:multiLevelType w:val="multilevel"/>
    <w:tmpl w:val="850A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3589"/>
    <w:multiLevelType w:val="hybridMultilevel"/>
    <w:tmpl w:val="15E6A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548B"/>
    <w:multiLevelType w:val="hybridMultilevel"/>
    <w:tmpl w:val="362CB4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4C134C"/>
    <w:multiLevelType w:val="hybridMultilevel"/>
    <w:tmpl w:val="1682D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F667E"/>
    <w:multiLevelType w:val="hybridMultilevel"/>
    <w:tmpl w:val="8DA698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95C6D"/>
    <w:multiLevelType w:val="hybridMultilevel"/>
    <w:tmpl w:val="08864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9B74B6"/>
    <w:multiLevelType w:val="hybridMultilevel"/>
    <w:tmpl w:val="9814B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251D41"/>
    <w:multiLevelType w:val="multilevel"/>
    <w:tmpl w:val="D42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F04B9"/>
    <w:multiLevelType w:val="hybridMultilevel"/>
    <w:tmpl w:val="BAC00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3E0D88"/>
    <w:multiLevelType w:val="multilevel"/>
    <w:tmpl w:val="97E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A3DE0"/>
    <w:multiLevelType w:val="hybridMultilevel"/>
    <w:tmpl w:val="C24694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E624A6"/>
    <w:multiLevelType w:val="hybridMultilevel"/>
    <w:tmpl w:val="BFE8C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979E8"/>
    <w:multiLevelType w:val="hybridMultilevel"/>
    <w:tmpl w:val="0E0E9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358F0"/>
    <w:multiLevelType w:val="hybridMultilevel"/>
    <w:tmpl w:val="81528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17C16"/>
    <w:multiLevelType w:val="multilevel"/>
    <w:tmpl w:val="375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406737">
    <w:abstractNumId w:val="7"/>
  </w:num>
  <w:num w:numId="2" w16cid:durableId="1474521569">
    <w:abstractNumId w:val="14"/>
  </w:num>
  <w:num w:numId="3" w16cid:durableId="697000862">
    <w:abstractNumId w:val="9"/>
  </w:num>
  <w:num w:numId="4" w16cid:durableId="811337770">
    <w:abstractNumId w:val="0"/>
  </w:num>
  <w:num w:numId="5" w16cid:durableId="1975519755">
    <w:abstractNumId w:val="12"/>
  </w:num>
  <w:num w:numId="6" w16cid:durableId="1904638526">
    <w:abstractNumId w:val="10"/>
  </w:num>
  <w:num w:numId="7" w16cid:durableId="1585802394">
    <w:abstractNumId w:val="1"/>
  </w:num>
  <w:num w:numId="8" w16cid:durableId="34160720">
    <w:abstractNumId w:val="13"/>
  </w:num>
  <w:num w:numId="9" w16cid:durableId="46342133">
    <w:abstractNumId w:val="6"/>
  </w:num>
  <w:num w:numId="10" w16cid:durableId="1626765293">
    <w:abstractNumId w:val="3"/>
  </w:num>
  <w:num w:numId="11" w16cid:durableId="543714261">
    <w:abstractNumId w:val="2"/>
  </w:num>
  <w:num w:numId="12" w16cid:durableId="907303745">
    <w:abstractNumId w:val="5"/>
  </w:num>
  <w:num w:numId="13" w16cid:durableId="2065566250">
    <w:abstractNumId w:val="4"/>
  </w:num>
  <w:num w:numId="14" w16cid:durableId="492993309">
    <w:abstractNumId w:val="11"/>
  </w:num>
  <w:num w:numId="15" w16cid:durableId="1924489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E5"/>
    <w:rsid w:val="000F41FE"/>
    <w:rsid w:val="00113725"/>
    <w:rsid w:val="00135CE6"/>
    <w:rsid w:val="00157CE5"/>
    <w:rsid w:val="00275ED1"/>
    <w:rsid w:val="00297DA3"/>
    <w:rsid w:val="002B29EF"/>
    <w:rsid w:val="002C2685"/>
    <w:rsid w:val="002D24A2"/>
    <w:rsid w:val="003469E3"/>
    <w:rsid w:val="003D1370"/>
    <w:rsid w:val="00455494"/>
    <w:rsid w:val="00476119"/>
    <w:rsid w:val="00487AFC"/>
    <w:rsid w:val="00526415"/>
    <w:rsid w:val="005A52F3"/>
    <w:rsid w:val="005C1665"/>
    <w:rsid w:val="00735EBD"/>
    <w:rsid w:val="007631D4"/>
    <w:rsid w:val="0078505E"/>
    <w:rsid w:val="007C0027"/>
    <w:rsid w:val="007C5152"/>
    <w:rsid w:val="00883886"/>
    <w:rsid w:val="00896BD7"/>
    <w:rsid w:val="00897CFF"/>
    <w:rsid w:val="008B4073"/>
    <w:rsid w:val="008E6AF6"/>
    <w:rsid w:val="00964ABE"/>
    <w:rsid w:val="00A00BEF"/>
    <w:rsid w:val="00A06A6F"/>
    <w:rsid w:val="00A51F87"/>
    <w:rsid w:val="00A65959"/>
    <w:rsid w:val="00A86CEC"/>
    <w:rsid w:val="00AA7086"/>
    <w:rsid w:val="00AB100E"/>
    <w:rsid w:val="00B00F9F"/>
    <w:rsid w:val="00B93E92"/>
    <w:rsid w:val="00B974A0"/>
    <w:rsid w:val="00C20C9F"/>
    <w:rsid w:val="00C968D3"/>
    <w:rsid w:val="00D307A7"/>
    <w:rsid w:val="00D801FA"/>
    <w:rsid w:val="00DB3049"/>
    <w:rsid w:val="00E303DB"/>
    <w:rsid w:val="00E53003"/>
    <w:rsid w:val="00E63422"/>
    <w:rsid w:val="00E90EC5"/>
    <w:rsid w:val="00EA1C3D"/>
    <w:rsid w:val="00ED6EED"/>
    <w:rsid w:val="00EF6C17"/>
    <w:rsid w:val="00F07414"/>
    <w:rsid w:val="00F3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A5770"/>
  <w15:chartTrackingRefBased/>
  <w15:docId w15:val="{175E4B3D-F1F6-462D-899D-A875B2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7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C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relative">
    <w:name w:val="relative"/>
    <w:basedOn w:val="DefaultParagraphFont"/>
    <w:rsid w:val="00275ED1"/>
  </w:style>
  <w:style w:type="character" w:styleId="Strong">
    <w:name w:val="Strong"/>
    <w:basedOn w:val="DefaultParagraphFont"/>
    <w:uiPriority w:val="22"/>
    <w:qFormat/>
    <w:rsid w:val="00275ED1"/>
    <w:rPr>
      <w:b/>
      <w:bCs/>
    </w:rPr>
  </w:style>
  <w:style w:type="character" w:customStyle="1" w:styleId="ms-1">
    <w:name w:val="ms-1"/>
    <w:basedOn w:val="DefaultParagraphFont"/>
    <w:rsid w:val="00275ED1"/>
  </w:style>
  <w:style w:type="character" w:customStyle="1" w:styleId="max-w-full">
    <w:name w:val="max-w-full"/>
    <w:basedOn w:val="DefaultParagraphFont"/>
    <w:rsid w:val="00275ED1"/>
  </w:style>
  <w:style w:type="character" w:customStyle="1" w:styleId="-me-1">
    <w:name w:val="-me-1"/>
    <w:basedOn w:val="DefaultParagraphFont"/>
    <w:rsid w:val="00275ED1"/>
  </w:style>
  <w:style w:type="paragraph" w:styleId="TOCHeading">
    <w:name w:val="TOC Heading"/>
    <w:basedOn w:val="Heading1"/>
    <w:next w:val="Normal"/>
    <w:uiPriority w:val="39"/>
    <w:unhideWhenUsed/>
    <w:qFormat/>
    <w:rsid w:val="00EA1C3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1C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C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1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3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E187-EDC3-49D3-8C15-E66783A8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7</Pages>
  <Words>1083</Words>
  <Characters>5675</Characters>
  <Application>Microsoft Office Word</Application>
  <DocSecurity>0</DocSecurity>
  <Lines>218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Nanda Kumar</cp:lastModifiedBy>
  <cp:revision>49</cp:revision>
  <dcterms:created xsi:type="dcterms:W3CDTF">2025-06-11T09:55:00Z</dcterms:created>
  <dcterms:modified xsi:type="dcterms:W3CDTF">2025-06-15T21:24:00Z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c46e8ecb-148a-4210-8fd2-f28a41298eda</vt:lpwstr>
  </property>
</Properties>
</file>