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8C69" w14:textId="77777777" w:rsidR="00806EC0" w:rsidRPr="003735EE" w:rsidRDefault="0092178C" w:rsidP="00B74C5E">
      <w:pPr>
        <w:pStyle w:val="Heading1"/>
        <w:jc w:val="center"/>
        <w:rPr>
          <w:rFonts w:ascii="Times New Roman" w:hAnsi="Times New Roman" w:cs="Times New Roman"/>
          <w:b w:val="0"/>
          <w:bCs w:val="0"/>
          <w:color w:val="auto"/>
          <w:sz w:val="24"/>
          <w:szCs w:val="24"/>
        </w:rPr>
      </w:pPr>
      <w:r w:rsidRPr="003735EE">
        <w:rPr>
          <w:rFonts w:ascii="Times New Roman" w:hAnsi="Times New Roman" w:cs="Times New Roman"/>
          <w:b w:val="0"/>
          <w:bCs w:val="0"/>
          <w:color w:val="auto"/>
          <w:sz w:val="24"/>
          <w:szCs w:val="24"/>
        </w:rPr>
        <w:t>CHAROTAR UNIVERSITY OF SCIENCE &amp; TECHNOLOGY</w:t>
      </w:r>
    </w:p>
    <w:p w14:paraId="1C865EBB" w14:textId="77777777" w:rsidR="00806EC0" w:rsidRPr="003735EE" w:rsidRDefault="0092178C" w:rsidP="00B74C5E">
      <w:pPr>
        <w:jc w:val="center"/>
        <w:rPr>
          <w:rFonts w:ascii="Times New Roman" w:hAnsi="Times New Roman" w:cs="Times New Roman"/>
          <w:sz w:val="24"/>
          <w:szCs w:val="24"/>
        </w:rPr>
      </w:pPr>
      <w:r w:rsidRPr="003735EE">
        <w:rPr>
          <w:rFonts w:ascii="Times New Roman" w:hAnsi="Times New Roman" w:cs="Times New Roman"/>
          <w:sz w:val="24"/>
          <w:szCs w:val="24"/>
        </w:rPr>
        <w:t>Faculty of Technology &amp; Engineering</w:t>
      </w:r>
    </w:p>
    <w:p w14:paraId="57BAEA15" w14:textId="77777777" w:rsidR="00E50F36" w:rsidRDefault="0092178C" w:rsidP="00E50F36">
      <w:pPr>
        <w:jc w:val="center"/>
        <w:rPr>
          <w:rFonts w:ascii="Times New Roman" w:hAnsi="Times New Roman" w:cs="Times New Roman"/>
          <w:sz w:val="24"/>
          <w:szCs w:val="24"/>
        </w:rPr>
      </w:pPr>
      <w:r w:rsidRPr="003735EE">
        <w:rPr>
          <w:rFonts w:ascii="Times New Roman" w:hAnsi="Times New Roman" w:cs="Times New Roman"/>
          <w:sz w:val="24"/>
          <w:szCs w:val="24"/>
        </w:rPr>
        <w:t>Devang Patel Institute of Advance Technology and Research (DEPSTAR)</w:t>
      </w:r>
    </w:p>
    <w:p w14:paraId="3FDEC9D5" w14:textId="7F47EBF0" w:rsidR="00806EC0" w:rsidRPr="003735EE" w:rsidRDefault="005E7071" w:rsidP="00E50F36">
      <w:pPr>
        <w:jc w:val="center"/>
        <w:rPr>
          <w:rFonts w:ascii="Times New Roman" w:hAnsi="Times New Roman" w:cs="Times New Roman"/>
          <w:sz w:val="24"/>
          <w:szCs w:val="24"/>
        </w:rPr>
      </w:pPr>
      <w:r>
        <w:rPr>
          <w:rFonts w:ascii="Times New Roman" w:hAnsi="Times New Roman" w:cs="Times New Roman"/>
          <w:sz w:val="24"/>
          <w:szCs w:val="24"/>
        </w:rPr>
        <w:t>Data Engineering (ITUC301)</w:t>
      </w:r>
    </w:p>
    <w:p w14:paraId="60F1D169" w14:textId="54A08AB6" w:rsidR="00806EC0" w:rsidRPr="003735EE" w:rsidRDefault="0092178C" w:rsidP="00B74C5E">
      <w:pPr>
        <w:jc w:val="center"/>
        <w:rPr>
          <w:rFonts w:ascii="Times New Roman" w:hAnsi="Times New Roman" w:cs="Times New Roman"/>
          <w:sz w:val="24"/>
          <w:szCs w:val="24"/>
        </w:rPr>
      </w:pPr>
      <w:r w:rsidRPr="003735EE">
        <w:rPr>
          <w:rFonts w:ascii="Times New Roman" w:hAnsi="Times New Roman" w:cs="Times New Roman"/>
          <w:sz w:val="24"/>
          <w:szCs w:val="24"/>
        </w:rPr>
        <w:t xml:space="preserve">Practical File – </w:t>
      </w:r>
      <w:r w:rsidR="00E50F36">
        <w:rPr>
          <w:rFonts w:ascii="Times New Roman" w:hAnsi="Times New Roman" w:cs="Times New Roman"/>
          <w:sz w:val="24"/>
          <w:szCs w:val="24"/>
        </w:rPr>
        <w:t>ODD</w:t>
      </w:r>
      <w:r w:rsidRPr="003735EE">
        <w:rPr>
          <w:rFonts w:ascii="Times New Roman" w:hAnsi="Times New Roman" w:cs="Times New Roman"/>
          <w:sz w:val="24"/>
          <w:szCs w:val="24"/>
        </w:rPr>
        <w:t xml:space="preserve"> Semester 202</w:t>
      </w:r>
      <w:r w:rsidR="00E50F36">
        <w:rPr>
          <w:rFonts w:ascii="Times New Roman" w:hAnsi="Times New Roman" w:cs="Times New Roman"/>
          <w:sz w:val="24"/>
          <w:szCs w:val="24"/>
        </w:rPr>
        <w:t>6</w:t>
      </w:r>
      <w:r w:rsidRPr="003735EE">
        <w:rPr>
          <w:rFonts w:ascii="Times New Roman" w:hAnsi="Times New Roman" w:cs="Times New Roman"/>
          <w:sz w:val="24"/>
          <w:szCs w:val="24"/>
        </w:rPr>
        <w:t>–2</w:t>
      </w:r>
      <w:r w:rsidR="00E50F36">
        <w:rPr>
          <w:rFonts w:ascii="Times New Roman" w:hAnsi="Times New Roman" w:cs="Times New Roman"/>
          <w:sz w:val="24"/>
          <w:szCs w:val="24"/>
        </w:rPr>
        <w:t>7</w:t>
      </w:r>
    </w:p>
    <w:p w14:paraId="0DE81F53" w14:textId="310A85D7" w:rsidR="00C726A5" w:rsidRPr="003735EE" w:rsidRDefault="00C726A5" w:rsidP="00B74C5E">
      <w:pPr>
        <w:jc w:val="center"/>
        <w:rPr>
          <w:rFonts w:ascii="Times New Roman" w:hAnsi="Times New Roman" w:cs="Times New Roman"/>
          <w:sz w:val="24"/>
          <w:szCs w:val="24"/>
        </w:rPr>
      </w:pPr>
      <w:r w:rsidRPr="003735EE">
        <w:rPr>
          <w:rFonts w:ascii="Times New Roman" w:hAnsi="Times New Roman" w:cs="Times New Roman"/>
          <w:sz w:val="24"/>
          <w:szCs w:val="24"/>
        </w:rPr>
        <w:t xml:space="preserve">Student ID: </w:t>
      </w:r>
      <w:r w:rsidR="001029DE" w:rsidRPr="003735EE">
        <w:rPr>
          <w:rFonts w:ascii="Times New Roman" w:hAnsi="Times New Roman" w:cs="Times New Roman"/>
          <w:sz w:val="24"/>
          <w:szCs w:val="24"/>
        </w:rPr>
        <w:t>24D</w:t>
      </w:r>
      <w:r w:rsidR="003735EE">
        <w:rPr>
          <w:rFonts w:ascii="Times New Roman" w:hAnsi="Times New Roman" w:cs="Times New Roman"/>
          <w:sz w:val="24"/>
          <w:szCs w:val="24"/>
        </w:rPr>
        <w:t>IT0</w:t>
      </w:r>
      <w:r w:rsidR="0009422A">
        <w:rPr>
          <w:rFonts w:ascii="Times New Roman" w:hAnsi="Times New Roman" w:cs="Times New Roman"/>
          <w:sz w:val="24"/>
          <w:szCs w:val="24"/>
        </w:rPr>
        <w:t>74</w:t>
      </w:r>
    </w:p>
    <w:p w14:paraId="79BB9AC6" w14:textId="6A69E474" w:rsidR="00C726A5" w:rsidRPr="003735EE" w:rsidRDefault="00C726A5" w:rsidP="00B74C5E">
      <w:pPr>
        <w:jc w:val="center"/>
        <w:rPr>
          <w:rFonts w:ascii="Times New Roman" w:hAnsi="Times New Roman" w:cs="Times New Roman"/>
          <w:sz w:val="24"/>
          <w:szCs w:val="24"/>
        </w:rPr>
      </w:pPr>
      <w:r w:rsidRPr="003735EE">
        <w:rPr>
          <w:rFonts w:ascii="Times New Roman" w:hAnsi="Times New Roman" w:cs="Times New Roman"/>
          <w:sz w:val="24"/>
          <w:szCs w:val="24"/>
        </w:rPr>
        <w:t>Student Name</w:t>
      </w:r>
      <w:r w:rsidR="00D31689" w:rsidRPr="003735EE">
        <w:rPr>
          <w:rFonts w:ascii="Times New Roman" w:hAnsi="Times New Roman" w:cs="Times New Roman"/>
          <w:sz w:val="24"/>
          <w:szCs w:val="24"/>
        </w:rPr>
        <w:t>:</w:t>
      </w:r>
      <w:r w:rsidR="00545BAB" w:rsidRPr="003735EE">
        <w:rPr>
          <w:rFonts w:ascii="Times New Roman" w:hAnsi="Times New Roman" w:cs="Times New Roman"/>
          <w:sz w:val="24"/>
          <w:szCs w:val="24"/>
        </w:rPr>
        <w:t xml:space="preserve"> </w:t>
      </w:r>
      <w:r w:rsidR="0009422A">
        <w:rPr>
          <w:rFonts w:ascii="Times New Roman" w:hAnsi="Times New Roman" w:cs="Times New Roman"/>
          <w:sz w:val="24"/>
          <w:szCs w:val="24"/>
        </w:rPr>
        <w:t>NANDAN VAKANI</w:t>
      </w:r>
    </w:p>
    <w:p w14:paraId="1C705F93" w14:textId="77777777" w:rsidR="00C726A5" w:rsidRPr="003735EE" w:rsidRDefault="00C726A5" w:rsidP="00B74C5E">
      <w:pPr>
        <w:jc w:val="center"/>
        <w:rPr>
          <w:rFonts w:ascii="Times New Roman" w:hAnsi="Times New Roman" w:cs="Times New Roman"/>
          <w:sz w:val="24"/>
          <w:szCs w:val="24"/>
        </w:rPr>
      </w:pPr>
    </w:p>
    <w:p w14:paraId="494CF7D7" w14:textId="77777777" w:rsidR="00C726A5" w:rsidRPr="003735EE" w:rsidRDefault="00C726A5" w:rsidP="00B74C5E">
      <w:pPr>
        <w:jc w:val="center"/>
        <w:rPr>
          <w:rFonts w:ascii="Times New Roman" w:hAnsi="Times New Roman" w:cs="Times New Roman"/>
          <w:sz w:val="24"/>
          <w:szCs w:val="24"/>
        </w:rPr>
      </w:pPr>
    </w:p>
    <w:p w14:paraId="56BF107A" w14:textId="77777777" w:rsidR="00C726A5" w:rsidRPr="003735EE" w:rsidRDefault="00C726A5" w:rsidP="00B74C5E">
      <w:pPr>
        <w:jc w:val="center"/>
        <w:rPr>
          <w:rFonts w:ascii="Times New Roman" w:hAnsi="Times New Roman" w:cs="Times New Roman"/>
          <w:sz w:val="24"/>
          <w:szCs w:val="24"/>
        </w:rPr>
      </w:pPr>
    </w:p>
    <w:p w14:paraId="37FB8B9A" w14:textId="1F541BF0" w:rsidR="00806EC0" w:rsidRPr="003735EE" w:rsidRDefault="0092178C">
      <w:pPr>
        <w:rPr>
          <w:rFonts w:ascii="Times New Roman" w:hAnsi="Times New Roman" w:cs="Times New Roman"/>
          <w:sz w:val="24"/>
          <w:szCs w:val="24"/>
        </w:rPr>
      </w:pPr>
      <w:r w:rsidRPr="003735EE">
        <w:rPr>
          <w:rFonts w:ascii="Times New Roman" w:hAnsi="Times New Roman" w:cs="Times New Roman"/>
          <w:sz w:val="24"/>
          <w:szCs w:val="24"/>
        </w:rPr>
        <w:br w:type="page"/>
      </w:r>
    </w:p>
    <w:p w14:paraId="0CDAD75F" w14:textId="0B505991" w:rsidR="00596061" w:rsidRPr="005712A6" w:rsidRDefault="0092178C" w:rsidP="005712A6">
      <w:pPr>
        <w:pStyle w:val="Heading1"/>
        <w:jc w:val="center"/>
        <w:rPr>
          <w:rFonts w:ascii="Times New Roman" w:hAnsi="Times New Roman" w:cs="Times New Roman"/>
          <w:color w:val="auto"/>
          <w:sz w:val="32"/>
          <w:szCs w:val="32"/>
        </w:rPr>
      </w:pPr>
      <w:r w:rsidRPr="00E50F36">
        <w:rPr>
          <w:rFonts w:ascii="Times New Roman" w:hAnsi="Times New Roman" w:cs="Times New Roman"/>
          <w:color w:val="auto"/>
          <w:sz w:val="32"/>
          <w:szCs w:val="32"/>
        </w:rPr>
        <w:lastRenderedPageBreak/>
        <w:t xml:space="preserve">PRACTICAL </w:t>
      </w:r>
      <w:r w:rsidR="00B74C5E" w:rsidRPr="00E50F36">
        <w:rPr>
          <w:rFonts w:ascii="Times New Roman" w:hAnsi="Times New Roman" w:cs="Times New Roman"/>
          <w:color w:val="auto"/>
          <w:sz w:val="32"/>
          <w:szCs w:val="32"/>
        </w:rPr>
        <w:t>1</w:t>
      </w:r>
      <w:r w:rsidR="005712A6">
        <w:rPr>
          <w:rFonts w:ascii="Times New Roman" w:hAnsi="Times New Roman" w:cs="Times New Roman"/>
          <w:color w:val="auto"/>
          <w:sz w:val="32"/>
          <w:szCs w:val="32"/>
        </w:rPr>
        <w:br/>
      </w:r>
    </w:p>
    <w:p w14:paraId="5404CBA2" w14:textId="7635B0B8" w:rsidR="00806EC0" w:rsidRPr="00D23A09" w:rsidRDefault="00D23A09" w:rsidP="005E7071">
      <w:pPr>
        <w:ind w:left="-142" w:right="-291" w:firstLine="142"/>
        <w:rPr>
          <w:b/>
          <w:bCs/>
          <w:sz w:val="28"/>
          <w:szCs w:val="28"/>
        </w:rPr>
      </w:pPr>
      <w:r w:rsidRPr="00D23A09">
        <w:rPr>
          <w:b/>
          <w:bCs/>
          <w:sz w:val="28"/>
          <w:szCs w:val="28"/>
        </w:rPr>
        <w:t xml:space="preserve">1. </w:t>
      </w:r>
      <w:r w:rsidR="0092178C" w:rsidRPr="00D23A09">
        <w:rPr>
          <w:b/>
          <w:bCs/>
          <w:sz w:val="28"/>
          <w:szCs w:val="28"/>
        </w:rPr>
        <w:t xml:space="preserve">Practical </w:t>
      </w:r>
      <w:r w:rsidR="006E25CD" w:rsidRPr="00D23A09">
        <w:rPr>
          <w:b/>
          <w:bCs/>
          <w:sz w:val="28"/>
          <w:szCs w:val="28"/>
        </w:rPr>
        <w:t>Definition</w:t>
      </w:r>
      <w:r w:rsidR="00B74C5E" w:rsidRPr="00D23A09">
        <w:rPr>
          <w:b/>
          <w:bCs/>
          <w:sz w:val="28"/>
          <w:szCs w:val="28"/>
        </w:rPr>
        <w:t>:</w:t>
      </w:r>
      <w:r w:rsidR="005E7071">
        <w:rPr>
          <w:b/>
          <w:bCs/>
          <w:sz w:val="28"/>
          <w:szCs w:val="28"/>
        </w:rPr>
        <w:t xml:space="preserve"> </w:t>
      </w:r>
      <w:r w:rsidR="005E7071" w:rsidRPr="005E7071">
        <w:rPr>
          <w:b/>
          <w:bCs/>
          <w:sz w:val="28"/>
          <w:szCs w:val="28"/>
        </w:rPr>
        <w:t>Understanding the Data Engineering Lifecycle</w:t>
      </w:r>
    </w:p>
    <w:p w14:paraId="2D9761AC" w14:textId="77777777"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Study, dissect, and map the complete end-to-end data engineering</w:t>
      </w:r>
    </w:p>
    <w:p w14:paraId="238ACA4B" w14:textId="77777777"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lifecycle for an enterprise e-commerce platform. Students must trace data states across all</w:t>
      </w:r>
    </w:p>
    <w:p w14:paraId="1E7F6BAD" w14:textId="77777777"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five core lifecycle stages: data generation, ingestion, storage, transformation, and serving.</w:t>
      </w:r>
    </w:p>
    <w:p w14:paraId="195289D1" w14:textId="77777777"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The solution requires creating a detailed architectural data flow diagram along with a</w:t>
      </w:r>
    </w:p>
    <w:p w14:paraId="0E7DD2B9" w14:textId="77777777"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system manifesto documenting cross-cutting lifecycle undercurrents (security,</w:t>
      </w:r>
    </w:p>
    <w:p w14:paraId="0C09B4BD" w14:textId="0FB09198"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 xml:space="preserve">observability, and data privacy). This initial structure must be committed to a personal </w:t>
      </w:r>
    </w:p>
    <w:p w14:paraId="4748FE29" w14:textId="77777777" w:rsidR="005E7071" w:rsidRPr="005E7071" w:rsidRDefault="005E7071" w:rsidP="005E7071">
      <w:pPr>
        <w:spacing w:line="240" w:lineRule="auto"/>
        <w:rPr>
          <w:rFonts w:ascii="Times New Roman" w:hAnsi="Times New Roman" w:cs="Times New Roman"/>
          <w:sz w:val="24"/>
          <w:szCs w:val="24"/>
        </w:rPr>
      </w:pPr>
      <w:r>
        <w:rPr>
          <w:rFonts w:ascii="Times New Roman" w:hAnsi="Times New Roman" w:cs="Times New Roman"/>
          <w:sz w:val="24"/>
          <w:szCs w:val="24"/>
        </w:rPr>
        <w:t xml:space="preserve">Git </w:t>
      </w:r>
      <w:r w:rsidRPr="005E7071">
        <w:rPr>
          <w:rFonts w:ascii="Times New Roman" w:hAnsi="Times New Roman" w:cs="Times New Roman"/>
          <w:sz w:val="24"/>
          <w:szCs w:val="24"/>
        </w:rPr>
        <w:t>repository.</w:t>
      </w:r>
      <w:r>
        <w:rPr>
          <w:rFonts w:ascii="Times New Roman" w:hAnsi="Times New Roman" w:cs="Times New Roman"/>
          <w:sz w:val="24"/>
          <w:szCs w:val="24"/>
        </w:rPr>
        <w:br/>
      </w:r>
      <w:r>
        <w:rPr>
          <w:rFonts w:ascii="Times New Roman" w:hAnsi="Times New Roman" w:cs="Times New Roman"/>
          <w:sz w:val="24"/>
          <w:szCs w:val="24"/>
        </w:rPr>
        <w:br/>
      </w:r>
      <w:r w:rsidRPr="005E7071">
        <w:rPr>
          <w:rFonts w:ascii="Times New Roman" w:hAnsi="Times New Roman" w:cs="Times New Roman"/>
          <w:b/>
          <w:bCs/>
          <w:sz w:val="24"/>
          <w:szCs w:val="24"/>
        </w:rPr>
        <w:t>Dataset/Test Data</w:t>
      </w:r>
      <w:r w:rsidRPr="005E7071">
        <w:rPr>
          <w:rFonts w:ascii="Times New Roman" w:hAnsi="Times New Roman" w:cs="Times New Roman"/>
          <w:sz w:val="24"/>
          <w:szCs w:val="24"/>
        </w:rPr>
        <w:t>: Mock enterprise e-commerce dataset schema definition (containing</w:t>
      </w:r>
    </w:p>
    <w:p w14:paraId="564B43AF" w14:textId="77777777"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transactional database entities, clickstream tracking JSON payloads, and third-party</w:t>
      </w:r>
    </w:p>
    <w:p w14:paraId="27C99D80" w14:textId="424DA979" w:rsidR="00EB42CD" w:rsidRPr="0059606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inventory log streams).</w:t>
      </w:r>
      <w:r>
        <w:rPr>
          <w:rFonts w:ascii="Times New Roman" w:hAnsi="Times New Roman" w:cs="Times New Roman"/>
          <w:sz w:val="24"/>
          <w:szCs w:val="24"/>
        </w:rPr>
        <w:br/>
      </w:r>
      <w:r w:rsidRPr="005E7071">
        <w:rPr>
          <w:rFonts w:ascii="Times New Roman" w:hAnsi="Times New Roman" w:cs="Times New Roman"/>
          <w:b/>
          <w:bCs/>
          <w:sz w:val="24"/>
          <w:szCs w:val="24"/>
        </w:rPr>
        <w:t>Tools/Technology T</w:t>
      </w:r>
      <w:r>
        <w:rPr>
          <w:rFonts w:ascii="Times New Roman" w:hAnsi="Times New Roman" w:cs="Times New Roman"/>
          <w:b/>
          <w:bCs/>
          <w:sz w:val="24"/>
          <w:szCs w:val="24"/>
        </w:rPr>
        <w:t>o</w:t>
      </w:r>
      <w:r w:rsidRPr="005E7071">
        <w:rPr>
          <w:rFonts w:ascii="Times New Roman" w:hAnsi="Times New Roman" w:cs="Times New Roman"/>
          <w:b/>
          <w:bCs/>
          <w:sz w:val="24"/>
          <w:szCs w:val="24"/>
        </w:rPr>
        <w:t xml:space="preserve"> Be Used:</w:t>
      </w:r>
      <w:r w:rsidRPr="005E7071">
        <w:rPr>
          <w:rFonts w:ascii="Times New Roman" w:hAnsi="Times New Roman" w:cs="Times New Roman"/>
          <w:sz w:val="24"/>
          <w:szCs w:val="24"/>
        </w:rPr>
        <w:t xml:space="preserve"> Draw.io, Lucidchart, Git, and GitHub/GitLab.</w:t>
      </w:r>
      <w:r w:rsidR="00596061">
        <w:rPr>
          <w:rFonts w:ascii="Times New Roman" w:hAnsi="Times New Roman" w:cs="Times New Roman"/>
          <w:sz w:val="24"/>
          <w:szCs w:val="24"/>
        </w:rPr>
        <w:br/>
      </w:r>
      <w:r w:rsidR="0092178C" w:rsidRPr="003735EE">
        <w:rPr>
          <w:rFonts w:ascii="Times New Roman" w:hAnsi="Times New Roman" w:cs="Times New Roman"/>
          <w:sz w:val="24"/>
          <w:szCs w:val="24"/>
        </w:rPr>
        <w:br/>
      </w:r>
      <w:r>
        <w:rPr>
          <w:b/>
          <w:bCs/>
          <w:sz w:val="28"/>
          <w:szCs w:val="28"/>
          <w:lang w:val="en-IN"/>
        </w:rPr>
        <w:t>Solution</w:t>
      </w:r>
      <w:r w:rsidRPr="005E7071">
        <w:rPr>
          <w:b/>
          <w:bCs/>
          <w:sz w:val="28"/>
          <w:szCs w:val="28"/>
          <w:lang w:val="en-IN"/>
        </w:rPr>
        <w:t xml:space="preserve"> :</w:t>
      </w:r>
      <w:r>
        <w:rPr>
          <w:b/>
          <w:bCs/>
          <w:lang w:val="en-IN"/>
        </w:rPr>
        <w:t xml:space="preserve"> ( INTERNSHIP PROJECT : AI SUMMARY GENERATOR )</w:t>
      </w:r>
      <w:r>
        <w:rPr>
          <w:b/>
          <w:bCs/>
          <w:lang w:val="en-IN"/>
        </w:rPr>
        <w:br/>
      </w:r>
      <w:r>
        <w:rPr>
          <w:b/>
          <w:bCs/>
          <w:lang w:val="en-IN"/>
        </w:rPr>
        <w:br/>
        <w:t>1. DFD Diagram : Level 0</w:t>
      </w:r>
      <w:r>
        <w:rPr>
          <w:b/>
          <w:bCs/>
          <w:lang w:val="en-IN"/>
        </w:rPr>
        <w:br/>
      </w:r>
      <w:r>
        <w:rPr>
          <w:b/>
          <w:bCs/>
          <w:lang w:val="en-IN"/>
        </w:rPr>
        <w:br/>
      </w:r>
      <w:r>
        <w:rPr>
          <w:rFonts w:ascii="Times New Roman" w:hAnsi="Times New Roman" w:cs="Times New Roman"/>
          <w:noProof/>
          <w:sz w:val="24"/>
          <w:szCs w:val="24"/>
        </w:rPr>
        <w:drawing>
          <wp:inline distT="0" distB="0" distL="0" distR="0" wp14:anchorId="0A51F85D" wp14:editId="0BBD1218">
            <wp:extent cx="4000500" cy="3074176"/>
            <wp:effectExtent l="0" t="0" r="0" b="0"/>
            <wp:docPr id="761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667" name="Picture 76165667"/>
                    <pic:cNvPicPr/>
                  </pic:nvPicPr>
                  <pic:blipFill>
                    <a:blip r:embed="rId8"/>
                    <a:stretch>
                      <a:fillRect/>
                    </a:stretch>
                  </pic:blipFill>
                  <pic:spPr>
                    <a:xfrm>
                      <a:off x="0" y="0"/>
                      <a:ext cx="4002466" cy="3075687"/>
                    </a:xfrm>
                    <a:prstGeom prst="rect">
                      <a:avLst/>
                    </a:prstGeom>
                  </pic:spPr>
                </pic:pic>
              </a:graphicData>
            </a:graphic>
          </wp:inline>
        </w:drawing>
      </w:r>
    </w:p>
    <w:p w14:paraId="28411B57" w14:textId="77777777" w:rsidR="00596061" w:rsidRDefault="005E7071" w:rsidP="005E7071">
      <w:pPr>
        <w:spacing w:line="240" w:lineRule="auto"/>
        <w:rPr>
          <w:rFonts w:ascii="Times New Roman" w:hAnsi="Times New Roman" w:cs="Times New Roman"/>
          <w:sz w:val="24"/>
          <w:szCs w:val="24"/>
        </w:rPr>
      </w:pPr>
      <w:r>
        <w:rPr>
          <w:b/>
          <w:bCs/>
          <w:lang w:val="en-IN"/>
        </w:rPr>
        <w:t>2. DFD Diagram : Level 1</w:t>
      </w:r>
      <w:r>
        <w:rPr>
          <w:b/>
          <w:bCs/>
          <w:lang w:val="en-IN"/>
        </w:rPr>
        <w:br/>
      </w:r>
      <w:r>
        <w:rPr>
          <w:b/>
          <w:bCs/>
          <w:lang w:val="en-IN"/>
        </w:rPr>
        <w:br/>
      </w:r>
      <w:r w:rsidR="00593743">
        <w:rPr>
          <w:b/>
          <w:bCs/>
          <w:noProof/>
          <w:lang w:val="en-IN"/>
        </w:rPr>
        <w:drawing>
          <wp:inline distT="0" distB="0" distL="0" distR="0" wp14:anchorId="0D8BC433" wp14:editId="52985BC5">
            <wp:extent cx="5486400" cy="2743835"/>
            <wp:effectExtent l="0" t="0" r="0" b="0"/>
            <wp:docPr id="1150287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87388" name="Picture 1150287388"/>
                    <pic:cNvPicPr/>
                  </pic:nvPicPr>
                  <pic:blipFill>
                    <a:blip r:embed="rId9"/>
                    <a:stretch>
                      <a:fillRect/>
                    </a:stretch>
                  </pic:blipFill>
                  <pic:spPr>
                    <a:xfrm>
                      <a:off x="0" y="0"/>
                      <a:ext cx="5486400" cy="2743835"/>
                    </a:xfrm>
                    <a:prstGeom prst="rect">
                      <a:avLst/>
                    </a:prstGeom>
                  </pic:spPr>
                </pic:pic>
              </a:graphicData>
            </a:graphic>
          </wp:inline>
        </w:drawing>
      </w:r>
      <w:r>
        <w:rPr>
          <w:b/>
          <w:bCs/>
          <w:lang w:val="en-IN"/>
        </w:rPr>
        <w:br/>
      </w:r>
      <w:r>
        <w:rPr>
          <w:b/>
          <w:bCs/>
          <w:lang w:val="en-IN"/>
        </w:rPr>
        <w:br/>
        <w:t>3. DFD Diagram : Level 2</w:t>
      </w:r>
      <w:r>
        <w:rPr>
          <w:b/>
          <w:bCs/>
          <w:lang w:val="en-IN"/>
        </w:rPr>
        <w:br/>
      </w:r>
      <w:r w:rsidR="00593743">
        <w:rPr>
          <w:b/>
          <w:bCs/>
          <w:lang w:val="en-IN"/>
        </w:rPr>
        <w:br/>
      </w:r>
      <w:r w:rsidR="0027405E" w:rsidRPr="0027405E">
        <w:rPr>
          <w:b/>
          <w:bCs/>
          <w:noProof/>
          <w:lang w:val="en-IN"/>
        </w:rPr>
        <w:drawing>
          <wp:inline distT="0" distB="0" distL="0" distR="0" wp14:anchorId="0F9587C6" wp14:editId="768675A4">
            <wp:extent cx="4381725" cy="3905451"/>
            <wp:effectExtent l="0" t="0" r="0" b="0"/>
            <wp:docPr id="14050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49825" name=""/>
                    <pic:cNvPicPr/>
                  </pic:nvPicPr>
                  <pic:blipFill>
                    <a:blip r:embed="rId10"/>
                    <a:stretch>
                      <a:fillRect/>
                    </a:stretch>
                  </pic:blipFill>
                  <pic:spPr>
                    <a:xfrm>
                      <a:off x="0" y="0"/>
                      <a:ext cx="4381725" cy="3905451"/>
                    </a:xfrm>
                    <a:prstGeom prst="rect">
                      <a:avLst/>
                    </a:prstGeom>
                  </pic:spPr>
                </pic:pic>
              </a:graphicData>
            </a:graphic>
          </wp:inline>
        </w:drawing>
      </w:r>
      <w:r>
        <w:rPr>
          <w:b/>
          <w:bCs/>
          <w:lang w:val="en-IN"/>
        </w:rPr>
        <w:br/>
      </w:r>
      <w:r>
        <w:rPr>
          <w:b/>
          <w:bCs/>
          <w:lang w:val="en-IN"/>
        </w:rPr>
        <w:br/>
      </w:r>
    </w:p>
    <w:p w14:paraId="1AC6424A" w14:textId="77777777" w:rsidR="00596061" w:rsidRDefault="00596061" w:rsidP="005E7071">
      <w:pPr>
        <w:spacing w:line="240" w:lineRule="auto"/>
        <w:rPr>
          <w:rFonts w:ascii="Times New Roman" w:hAnsi="Times New Roman" w:cs="Times New Roman"/>
          <w:sz w:val="24"/>
          <w:szCs w:val="24"/>
        </w:rPr>
      </w:pPr>
    </w:p>
    <w:p w14:paraId="6C249748" w14:textId="64C2A87A"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hint="eastAsia"/>
          <w:sz w:val="24"/>
          <w:szCs w:val="24"/>
        </w:rPr>
        <w:t>●</w:t>
      </w:r>
      <w:r w:rsidRPr="005E7071">
        <w:rPr>
          <w:rFonts w:ascii="Times New Roman" w:hAnsi="Times New Roman" w:cs="Times New Roman" w:hint="eastAsia"/>
          <w:sz w:val="24"/>
          <w:szCs w:val="24"/>
        </w:rPr>
        <w:t xml:space="preserve"> Que</w:t>
      </w:r>
      <w:r>
        <w:rPr>
          <w:rFonts w:ascii="Times New Roman" w:hAnsi="Times New Roman" w:cs="Times New Roman"/>
          <w:sz w:val="24"/>
          <w:szCs w:val="24"/>
        </w:rPr>
        <w:t>stion</w:t>
      </w:r>
      <w:r w:rsidRPr="005E7071">
        <w:rPr>
          <w:rFonts w:ascii="Times New Roman" w:hAnsi="Times New Roman" w:cs="Times New Roman" w:hint="eastAsia"/>
          <w:sz w:val="24"/>
          <w:szCs w:val="24"/>
        </w:rPr>
        <w:t xml:space="preserve"> / Key Point 1: How do the technical demands of downstream serving layers</w:t>
      </w:r>
    </w:p>
    <w:p w14:paraId="52CC9985" w14:textId="77777777"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directly influence ingestion and storage design decisions during the early generation</w:t>
      </w:r>
    </w:p>
    <w:p w14:paraId="0E2A609B" w14:textId="42A052BE"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sz w:val="24"/>
          <w:szCs w:val="24"/>
        </w:rPr>
        <w:t>phases?</w:t>
      </w:r>
      <w:r w:rsidR="00593743">
        <w:rPr>
          <w:rFonts w:ascii="Times New Roman" w:hAnsi="Times New Roman" w:cs="Times New Roman"/>
          <w:sz w:val="24"/>
          <w:szCs w:val="24"/>
        </w:rPr>
        <w:br/>
      </w:r>
      <w:r w:rsidR="00593743">
        <w:rPr>
          <w:rFonts w:ascii="Times New Roman" w:hAnsi="Times New Roman" w:cs="Times New Roman"/>
          <w:sz w:val="24"/>
          <w:szCs w:val="24"/>
        </w:rPr>
        <w:br/>
        <w:t xml:space="preserve">Answer : </w:t>
      </w:r>
      <w:r w:rsidR="005712A6" w:rsidRPr="005712A6">
        <w:rPr>
          <w:rFonts w:ascii="Times New Roman" w:hAnsi="Times New Roman" w:cs="Times New Roman"/>
          <w:sz w:val="24"/>
          <w:szCs w:val="24"/>
        </w:rPr>
        <w:t>The serving layer is the final consumer of data, and its requirements ripple backwards through every earlier stage of the lifecycle. If the serving layer needs real-time dashboards updated every few seconds, the ingestion layer cannot use nightly batch jobs — it must implement continuous streaming ingestion. If analysts need to query five years of sales data broken down by region and product category, the storage layer must partition data using those exact dimensions (region, product category, date) to avoid slow full-table scans. If machine learning models at the serving layer require enriched customer profiles combining clickstream behavior with purchase history, the transformation layer must produce those joins, and the ingestion layer must ensure both data streams arrive with aligned timestamps. In short, you cannot design ingestion and storage in isolation — you must first understand what the serving layer demands in terms of latency, query patterns, data freshness, and data structure, and then design every upstream stage to satisfy those requirements.</w:t>
      </w:r>
    </w:p>
    <w:p w14:paraId="0AC8D342" w14:textId="19DE362B"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hint="eastAsia"/>
          <w:sz w:val="24"/>
          <w:szCs w:val="24"/>
        </w:rPr>
        <w:t>●</w:t>
      </w:r>
      <w:r w:rsidRPr="005E7071">
        <w:rPr>
          <w:rFonts w:ascii="Times New Roman" w:hAnsi="Times New Roman" w:cs="Times New Roman" w:hint="eastAsia"/>
          <w:sz w:val="24"/>
          <w:szCs w:val="24"/>
        </w:rPr>
        <w:t xml:space="preserve"> Que</w:t>
      </w:r>
      <w:r>
        <w:rPr>
          <w:rFonts w:ascii="Times New Roman" w:hAnsi="Times New Roman" w:cs="Times New Roman"/>
          <w:sz w:val="24"/>
          <w:szCs w:val="24"/>
        </w:rPr>
        <w:t>stion</w:t>
      </w:r>
      <w:r w:rsidRPr="005E7071">
        <w:rPr>
          <w:rFonts w:ascii="Times New Roman" w:hAnsi="Times New Roman" w:cs="Times New Roman" w:hint="eastAsia"/>
          <w:sz w:val="24"/>
          <w:szCs w:val="24"/>
        </w:rPr>
        <w:t xml:space="preserve"> / Key Point 2: Differentiate between the broader data lifecycle and the</w:t>
      </w:r>
    </w:p>
    <w:p w14:paraId="26B3D780" w14:textId="77777777" w:rsidR="005712A6" w:rsidRPr="005712A6" w:rsidRDefault="005E7071" w:rsidP="005712A6">
      <w:pPr>
        <w:spacing w:line="240" w:lineRule="auto"/>
        <w:rPr>
          <w:rFonts w:ascii="Times New Roman" w:hAnsi="Times New Roman" w:cs="Times New Roman"/>
          <w:sz w:val="24"/>
          <w:szCs w:val="24"/>
          <w:lang w:val="en-IN"/>
        </w:rPr>
      </w:pPr>
      <w:r w:rsidRPr="005E7071">
        <w:rPr>
          <w:rFonts w:ascii="Times New Roman" w:hAnsi="Times New Roman" w:cs="Times New Roman"/>
          <w:sz w:val="24"/>
          <w:szCs w:val="24"/>
        </w:rPr>
        <w:t>technical data engineering lifecycle within an enterprise.</w:t>
      </w:r>
      <w:r w:rsidR="00593743">
        <w:rPr>
          <w:rFonts w:ascii="Times New Roman" w:hAnsi="Times New Roman" w:cs="Times New Roman"/>
          <w:sz w:val="24"/>
          <w:szCs w:val="24"/>
        </w:rPr>
        <w:br/>
      </w:r>
      <w:r w:rsidR="00593743">
        <w:rPr>
          <w:rFonts w:ascii="Times New Roman" w:hAnsi="Times New Roman" w:cs="Times New Roman"/>
          <w:sz w:val="24"/>
          <w:szCs w:val="24"/>
        </w:rPr>
        <w:br/>
        <w:t>Answer :</w:t>
      </w:r>
      <w:r w:rsidR="005712A6">
        <w:rPr>
          <w:rFonts w:ascii="Times New Roman" w:hAnsi="Times New Roman" w:cs="Times New Roman"/>
          <w:sz w:val="24"/>
          <w:szCs w:val="24"/>
        </w:rPr>
        <w:t xml:space="preserve"> </w:t>
      </w:r>
      <w:r w:rsidR="005712A6" w:rsidRPr="005712A6">
        <w:rPr>
          <w:rFonts w:ascii="Times New Roman" w:hAnsi="Times New Roman" w:cs="Times New Roman"/>
          <w:sz w:val="24"/>
          <w:szCs w:val="24"/>
          <w:lang w:val="en-IN"/>
        </w:rPr>
        <w:t>The broader data lifecycle refers to the complete journey of data from the moment it is created as a business event all the way through its use, archiving, and eventual deletion. It includes business-level stages such as data creation, data capture, data processing, data analysis, data publishing, and data archiving or disposal. This lifecycle is governed by organizational policies, legal compliance requirements, and business objectives. It is concerned with questions like: who owns this data, how long must we keep it, and what are we legally permitted to do with it?</w:t>
      </w:r>
    </w:p>
    <w:p w14:paraId="5C5F09A3" w14:textId="77777777" w:rsidR="005712A6" w:rsidRPr="005712A6" w:rsidRDefault="005712A6" w:rsidP="005712A6">
      <w:pPr>
        <w:spacing w:line="240" w:lineRule="auto"/>
        <w:rPr>
          <w:rFonts w:ascii="Times New Roman" w:hAnsi="Times New Roman" w:cs="Times New Roman"/>
          <w:sz w:val="24"/>
          <w:szCs w:val="24"/>
          <w:lang w:val="en-IN"/>
        </w:rPr>
      </w:pPr>
      <w:r w:rsidRPr="005712A6">
        <w:rPr>
          <w:rFonts w:ascii="Times New Roman" w:hAnsi="Times New Roman" w:cs="Times New Roman"/>
          <w:sz w:val="24"/>
          <w:szCs w:val="24"/>
          <w:lang w:val="en-IN"/>
        </w:rPr>
        <w:t>The technical data engineering lifecycle is a subset of this broader lifecycle. It focuses specifically on the engineering stages that a data engineer is responsible for building and maintaining: data generation (interfacing with source systems), ingestion (moving data reliably into the platform), storage (organizing and persisting data efficiently), transformation (cleaning and reshaping data for analysis), and serving (delivering data to consumers). While the broader lifecycle includes governance, legal, and business concerns, the technical data engineering lifecycle is concerned with the systems, pipelines, tools, and architectural patterns that make data reliably available for analytical and operational use.</w:t>
      </w:r>
    </w:p>
    <w:p w14:paraId="555D4040" w14:textId="45019EA3" w:rsidR="005E7071" w:rsidRDefault="005E7071" w:rsidP="005E7071">
      <w:pPr>
        <w:spacing w:line="240" w:lineRule="auto"/>
        <w:rPr>
          <w:rFonts w:ascii="Times New Roman" w:hAnsi="Times New Roman" w:cs="Times New Roman"/>
          <w:sz w:val="24"/>
          <w:szCs w:val="24"/>
        </w:rPr>
      </w:pPr>
    </w:p>
    <w:p w14:paraId="209A69B1" w14:textId="77777777" w:rsidR="005712A6" w:rsidRDefault="005712A6" w:rsidP="005E7071">
      <w:pPr>
        <w:spacing w:line="240" w:lineRule="auto"/>
        <w:rPr>
          <w:rFonts w:ascii="Times New Roman" w:hAnsi="Times New Roman" w:cs="Times New Roman"/>
          <w:sz w:val="24"/>
          <w:szCs w:val="24"/>
        </w:rPr>
      </w:pPr>
    </w:p>
    <w:p w14:paraId="3A3A4E9F" w14:textId="77777777" w:rsidR="005712A6" w:rsidRPr="005E7071" w:rsidRDefault="005712A6" w:rsidP="005E7071">
      <w:pPr>
        <w:spacing w:line="240" w:lineRule="auto"/>
        <w:rPr>
          <w:rFonts w:ascii="Times New Roman" w:hAnsi="Times New Roman" w:cs="Times New Roman"/>
          <w:sz w:val="24"/>
          <w:szCs w:val="24"/>
        </w:rPr>
      </w:pPr>
    </w:p>
    <w:p w14:paraId="7576B6B5" w14:textId="6FDACA80" w:rsidR="005E7071" w:rsidRPr="005E7071" w:rsidRDefault="005E7071" w:rsidP="005E7071">
      <w:pPr>
        <w:spacing w:line="240" w:lineRule="auto"/>
        <w:rPr>
          <w:rFonts w:ascii="Times New Roman" w:hAnsi="Times New Roman" w:cs="Times New Roman"/>
          <w:sz w:val="24"/>
          <w:szCs w:val="24"/>
        </w:rPr>
      </w:pPr>
      <w:r w:rsidRPr="005E7071">
        <w:rPr>
          <w:rFonts w:ascii="Times New Roman" w:hAnsi="Times New Roman" w:cs="Times New Roman" w:hint="eastAsia"/>
          <w:sz w:val="24"/>
          <w:szCs w:val="24"/>
        </w:rPr>
        <w:t>●</w:t>
      </w:r>
      <w:r w:rsidRPr="005E7071">
        <w:rPr>
          <w:rFonts w:ascii="Times New Roman" w:hAnsi="Times New Roman" w:cs="Times New Roman" w:hint="eastAsia"/>
          <w:sz w:val="24"/>
          <w:szCs w:val="24"/>
        </w:rPr>
        <w:t xml:space="preserve"> Que</w:t>
      </w:r>
      <w:r>
        <w:rPr>
          <w:rFonts w:ascii="Times New Roman" w:hAnsi="Times New Roman" w:cs="Times New Roman"/>
          <w:sz w:val="24"/>
          <w:szCs w:val="24"/>
        </w:rPr>
        <w:t>stion</w:t>
      </w:r>
      <w:r w:rsidRPr="005E7071">
        <w:rPr>
          <w:rFonts w:ascii="Times New Roman" w:hAnsi="Times New Roman" w:cs="Times New Roman" w:hint="eastAsia"/>
          <w:sz w:val="24"/>
          <w:szCs w:val="24"/>
        </w:rPr>
        <w:t xml:space="preserve"> / Key Point 3: Identify how the undercurrents of security and data</w:t>
      </w:r>
    </w:p>
    <w:p w14:paraId="5F7A9475" w14:textId="77777777" w:rsidR="005712A6" w:rsidRPr="005712A6" w:rsidRDefault="005E7071" w:rsidP="005712A6">
      <w:pPr>
        <w:spacing w:line="240" w:lineRule="auto"/>
        <w:rPr>
          <w:rFonts w:ascii="Times New Roman" w:hAnsi="Times New Roman" w:cs="Times New Roman"/>
          <w:sz w:val="24"/>
          <w:szCs w:val="24"/>
          <w:lang w:val="en-IN"/>
        </w:rPr>
      </w:pPr>
      <w:r w:rsidRPr="005E7071">
        <w:rPr>
          <w:rFonts w:ascii="Times New Roman" w:hAnsi="Times New Roman" w:cs="Times New Roman"/>
          <w:sz w:val="24"/>
          <w:szCs w:val="24"/>
        </w:rPr>
        <w:t>observability should be enforced at each lifecycle boundary.</w:t>
      </w:r>
      <w:r w:rsidR="00593743">
        <w:rPr>
          <w:rFonts w:ascii="Times New Roman" w:hAnsi="Times New Roman" w:cs="Times New Roman"/>
          <w:sz w:val="24"/>
          <w:szCs w:val="24"/>
        </w:rPr>
        <w:br/>
      </w:r>
      <w:r w:rsidR="00593743">
        <w:rPr>
          <w:rFonts w:ascii="Times New Roman" w:hAnsi="Times New Roman" w:cs="Times New Roman"/>
          <w:sz w:val="24"/>
          <w:szCs w:val="24"/>
        </w:rPr>
        <w:br/>
        <w:t xml:space="preserve">Answer : </w:t>
      </w:r>
      <w:r w:rsidR="005712A6" w:rsidRPr="005712A6">
        <w:rPr>
          <w:rFonts w:ascii="Times New Roman" w:hAnsi="Times New Roman" w:cs="Times New Roman"/>
          <w:sz w:val="24"/>
          <w:szCs w:val="24"/>
          <w:lang w:val="en-IN"/>
        </w:rPr>
        <w:t>Security and observability are not features added at the end of a pipeline — they are undercurrents that must be built into every boundary between lifecycle stages.</w:t>
      </w:r>
    </w:p>
    <w:p w14:paraId="7C9E3C25" w14:textId="77777777" w:rsidR="005712A6" w:rsidRPr="005712A6" w:rsidRDefault="005712A6" w:rsidP="005712A6">
      <w:pPr>
        <w:spacing w:line="240" w:lineRule="auto"/>
        <w:rPr>
          <w:rFonts w:ascii="Times New Roman" w:hAnsi="Times New Roman" w:cs="Times New Roman"/>
          <w:sz w:val="24"/>
          <w:szCs w:val="24"/>
          <w:lang w:val="en-IN"/>
        </w:rPr>
      </w:pPr>
      <w:r w:rsidRPr="005712A6">
        <w:rPr>
          <w:rFonts w:ascii="Times New Roman" w:hAnsi="Times New Roman" w:cs="Times New Roman"/>
          <w:sz w:val="24"/>
          <w:szCs w:val="24"/>
          <w:lang w:val="en-IN"/>
        </w:rPr>
        <w:t xml:space="preserve">At the boundary between </w:t>
      </w:r>
      <w:r w:rsidRPr="005712A6">
        <w:rPr>
          <w:rFonts w:ascii="Times New Roman" w:hAnsi="Times New Roman" w:cs="Times New Roman"/>
          <w:b/>
          <w:bCs/>
          <w:sz w:val="24"/>
          <w:szCs w:val="24"/>
          <w:lang w:val="en-IN"/>
        </w:rPr>
        <w:t>generation and ingestion</w:t>
      </w:r>
      <w:r w:rsidRPr="005712A6">
        <w:rPr>
          <w:rFonts w:ascii="Times New Roman" w:hAnsi="Times New Roman" w:cs="Times New Roman"/>
          <w:sz w:val="24"/>
          <w:szCs w:val="24"/>
          <w:lang w:val="en-IN"/>
        </w:rPr>
        <w:t>, security requires that source systems authenticate themselves before pushing data, and that all data in transit is encrypted. Observability requires logging the volume and frequency of incoming data so that missing or delayed feeds are detected immediately.</w:t>
      </w:r>
    </w:p>
    <w:p w14:paraId="5D764A01" w14:textId="77777777" w:rsidR="005712A6" w:rsidRPr="005712A6" w:rsidRDefault="005712A6" w:rsidP="005712A6">
      <w:pPr>
        <w:spacing w:line="240" w:lineRule="auto"/>
        <w:rPr>
          <w:rFonts w:ascii="Times New Roman" w:hAnsi="Times New Roman" w:cs="Times New Roman"/>
          <w:sz w:val="24"/>
          <w:szCs w:val="24"/>
          <w:lang w:val="en-IN"/>
        </w:rPr>
      </w:pPr>
      <w:r w:rsidRPr="005712A6">
        <w:rPr>
          <w:rFonts w:ascii="Times New Roman" w:hAnsi="Times New Roman" w:cs="Times New Roman"/>
          <w:sz w:val="24"/>
          <w:szCs w:val="24"/>
          <w:lang w:val="en-IN"/>
        </w:rPr>
        <w:t xml:space="preserve">At the boundary between </w:t>
      </w:r>
      <w:r w:rsidRPr="005712A6">
        <w:rPr>
          <w:rFonts w:ascii="Times New Roman" w:hAnsi="Times New Roman" w:cs="Times New Roman"/>
          <w:b/>
          <w:bCs/>
          <w:sz w:val="24"/>
          <w:szCs w:val="24"/>
          <w:lang w:val="en-IN"/>
        </w:rPr>
        <w:t>ingestion and storage</w:t>
      </w:r>
      <w:r w:rsidRPr="005712A6">
        <w:rPr>
          <w:rFonts w:ascii="Times New Roman" w:hAnsi="Times New Roman" w:cs="Times New Roman"/>
          <w:sz w:val="24"/>
          <w:szCs w:val="24"/>
          <w:lang w:val="en-IN"/>
        </w:rPr>
        <w:t>, security requires that only authorized pipeline services have write access to the raw storage zone, and that PII fields are tagged or masked before landing. Observability requires that every ingestion job logs its completion status, record counts, and any schema anomalies encountered.</w:t>
      </w:r>
    </w:p>
    <w:p w14:paraId="1E01FE3A" w14:textId="77777777" w:rsidR="005712A6" w:rsidRPr="005712A6" w:rsidRDefault="005712A6" w:rsidP="005712A6">
      <w:pPr>
        <w:spacing w:line="240" w:lineRule="auto"/>
        <w:rPr>
          <w:rFonts w:ascii="Times New Roman" w:hAnsi="Times New Roman" w:cs="Times New Roman"/>
          <w:sz w:val="24"/>
          <w:szCs w:val="24"/>
          <w:lang w:val="en-IN"/>
        </w:rPr>
      </w:pPr>
      <w:r w:rsidRPr="005712A6">
        <w:rPr>
          <w:rFonts w:ascii="Times New Roman" w:hAnsi="Times New Roman" w:cs="Times New Roman"/>
          <w:sz w:val="24"/>
          <w:szCs w:val="24"/>
          <w:lang w:val="en-IN"/>
        </w:rPr>
        <w:t xml:space="preserve">At the boundary between </w:t>
      </w:r>
      <w:r w:rsidRPr="005712A6">
        <w:rPr>
          <w:rFonts w:ascii="Times New Roman" w:hAnsi="Times New Roman" w:cs="Times New Roman"/>
          <w:b/>
          <w:bCs/>
          <w:sz w:val="24"/>
          <w:szCs w:val="24"/>
          <w:lang w:val="en-IN"/>
        </w:rPr>
        <w:t>storage and transformation</w:t>
      </w:r>
      <w:r w:rsidRPr="005712A6">
        <w:rPr>
          <w:rFonts w:ascii="Times New Roman" w:hAnsi="Times New Roman" w:cs="Times New Roman"/>
          <w:sz w:val="24"/>
          <w:szCs w:val="24"/>
          <w:lang w:val="en-IN"/>
        </w:rPr>
        <w:t>, security requires that transformation jobs run under least-privilege service accounts and that access to raw storage is audited. Observability requires monitoring data freshness — if transformation jobs consume yesterday's data when they expected today's, an alert must fire.</w:t>
      </w:r>
    </w:p>
    <w:p w14:paraId="4D82C632" w14:textId="77777777" w:rsidR="005712A6" w:rsidRPr="005712A6" w:rsidRDefault="005712A6" w:rsidP="005712A6">
      <w:pPr>
        <w:spacing w:line="240" w:lineRule="auto"/>
        <w:rPr>
          <w:rFonts w:ascii="Times New Roman" w:hAnsi="Times New Roman" w:cs="Times New Roman"/>
          <w:sz w:val="24"/>
          <w:szCs w:val="24"/>
          <w:lang w:val="en-IN"/>
        </w:rPr>
      </w:pPr>
      <w:r w:rsidRPr="005712A6">
        <w:rPr>
          <w:rFonts w:ascii="Times New Roman" w:hAnsi="Times New Roman" w:cs="Times New Roman"/>
          <w:sz w:val="24"/>
          <w:szCs w:val="24"/>
          <w:lang w:val="en-IN"/>
        </w:rPr>
        <w:t xml:space="preserve">At the boundary between </w:t>
      </w:r>
      <w:r w:rsidRPr="005712A6">
        <w:rPr>
          <w:rFonts w:ascii="Times New Roman" w:hAnsi="Times New Roman" w:cs="Times New Roman"/>
          <w:b/>
          <w:bCs/>
          <w:sz w:val="24"/>
          <w:szCs w:val="24"/>
          <w:lang w:val="en-IN"/>
        </w:rPr>
        <w:t>transformation and serving</w:t>
      </w:r>
      <w:r w:rsidRPr="005712A6">
        <w:rPr>
          <w:rFonts w:ascii="Times New Roman" w:hAnsi="Times New Roman" w:cs="Times New Roman"/>
          <w:sz w:val="24"/>
          <w:szCs w:val="24"/>
          <w:lang w:val="en-IN"/>
        </w:rPr>
        <w:t>, security requires that only clean, masked data reaches the serving layer and that role-based access controls are applied to all views and data marts. Observability requires tracking query performance, data staleness at the serving layer, and any unauthorized access attempts.</w:t>
      </w:r>
    </w:p>
    <w:p w14:paraId="2CFA3ED0" w14:textId="77777777" w:rsidR="005712A6" w:rsidRPr="005712A6" w:rsidRDefault="005712A6" w:rsidP="005712A6">
      <w:pPr>
        <w:spacing w:line="240" w:lineRule="auto"/>
        <w:rPr>
          <w:rFonts w:ascii="Times New Roman" w:hAnsi="Times New Roman" w:cs="Times New Roman"/>
          <w:sz w:val="24"/>
          <w:szCs w:val="24"/>
          <w:lang w:val="en-IN"/>
        </w:rPr>
      </w:pPr>
      <w:r w:rsidRPr="005712A6">
        <w:rPr>
          <w:rFonts w:ascii="Times New Roman" w:hAnsi="Times New Roman" w:cs="Times New Roman"/>
          <w:sz w:val="24"/>
          <w:szCs w:val="24"/>
          <w:lang w:val="en-IN"/>
        </w:rPr>
        <w:t>Enforcing these undercurrents at every boundary — rather than only at the entry or exit point of the pipeline — ensures that a failure or breach at any single stage does not compromise the integrity or security of the entire system.</w:t>
      </w:r>
    </w:p>
    <w:p w14:paraId="19D96D40" w14:textId="17487274" w:rsidR="005E7071" w:rsidRPr="005E7071" w:rsidRDefault="005E7071" w:rsidP="005E7071">
      <w:pPr>
        <w:spacing w:line="240" w:lineRule="auto"/>
        <w:rPr>
          <w:rFonts w:ascii="Times New Roman" w:hAnsi="Times New Roman" w:cs="Times New Roman"/>
          <w:sz w:val="24"/>
          <w:szCs w:val="24"/>
        </w:rPr>
      </w:pPr>
    </w:p>
    <w:sectPr w:rsidR="005E7071" w:rsidRPr="005E7071" w:rsidSect="003735EE">
      <w:headerReference w:type="default" r:id="rId11"/>
      <w:foot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50EC2" w14:textId="77777777" w:rsidR="0016095B" w:rsidRDefault="0016095B" w:rsidP="00C726A5">
      <w:pPr>
        <w:spacing w:after="0" w:line="240" w:lineRule="auto"/>
      </w:pPr>
      <w:r>
        <w:separator/>
      </w:r>
    </w:p>
  </w:endnote>
  <w:endnote w:type="continuationSeparator" w:id="0">
    <w:p w14:paraId="42C5E0DF" w14:textId="77777777" w:rsidR="0016095B" w:rsidRDefault="0016095B" w:rsidP="00C72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642120"/>
      <w:docPartObj>
        <w:docPartGallery w:val="Page Numbers (Bottom of Page)"/>
        <w:docPartUnique/>
      </w:docPartObj>
    </w:sdtPr>
    <w:sdtEndPr>
      <w:rPr>
        <w:noProof/>
      </w:rPr>
    </w:sdtEndPr>
    <w:sdtContent>
      <w:p w14:paraId="32451D06" w14:textId="31C20865" w:rsidR="003735EE" w:rsidRDefault="003735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88598C" w14:textId="77777777" w:rsidR="00C726A5" w:rsidRDefault="00C72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EB27" w14:textId="77777777" w:rsidR="0016095B" w:rsidRDefault="0016095B" w:rsidP="00C726A5">
      <w:pPr>
        <w:spacing w:after="0" w:line="240" w:lineRule="auto"/>
      </w:pPr>
      <w:r>
        <w:separator/>
      </w:r>
    </w:p>
  </w:footnote>
  <w:footnote w:type="continuationSeparator" w:id="0">
    <w:p w14:paraId="1E8B2B37" w14:textId="77777777" w:rsidR="0016095B" w:rsidRDefault="0016095B" w:rsidP="00C72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4E19" w14:textId="3AFBBDBC" w:rsidR="00C726A5" w:rsidRPr="00806440" w:rsidRDefault="00D50477" w:rsidP="00C726A5">
    <w:pPr>
      <w:pStyle w:val="Header"/>
      <w:rPr>
        <w:cs/>
        <w:lang w:bidi="gu-IN"/>
      </w:rPr>
    </w:pPr>
    <w:r>
      <w:t>ITUE301</w:t>
    </w:r>
    <w:r w:rsidR="00C726A5">
      <w:rPr>
        <w:lang w:val="en-IN"/>
      </w:rPr>
      <w:t xml:space="preserve"> </w:t>
    </w:r>
    <w:r>
      <w:rPr>
        <w:lang w:val="en-IN"/>
      </w:rPr>
      <w:t xml:space="preserve">Data Engineering </w:t>
    </w:r>
    <w:r w:rsidR="00C726A5" w:rsidRPr="00C726A5">
      <w:rPr>
        <w:lang w:val="en-IN"/>
      </w:rPr>
      <w:ptab w:relativeTo="margin" w:alignment="right" w:leader="none"/>
    </w:r>
    <w:r w:rsidR="003735EE">
      <w:rPr>
        <w:lang w:val="en-IN"/>
      </w:rPr>
      <w:t>ID:-</w:t>
    </w:r>
    <w:r w:rsidR="001029DE">
      <w:rPr>
        <w:lang w:val="en-IN"/>
      </w:rPr>
      <w:t>24D</w:t>
    </w:r>
    <w:r w:rsidR="003735EE">
      <w:rPr>
        <w:lang w:val="en-IN"/>
      </w:rPr>
      <w:t>IT0</w:t>
    </w:r>
    <w:r w:rsidR="0009422A">
      <w:rPr>
        <w:lang w:val="en-IN"/>
      </w:rPr>
      <w:t>74</w:t>
    </w:r>
  </w:p>
  <w:p w14:paraId="05DE821D" w14:textId="77777777" w:rsidR="00806440" w:rsidRDefault="008064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EE5F44"/>
    <w:multiLevelType w:val="multilevel"/>
    <w:tmpl w:val="22AA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0668F"/>
    <w:multiLevelType w:val="multilevel"/>
    <w:tmpl w:val="B72A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F684F"/>
    <w:multiLevelType w:val="multilevel"/>
    <w:tmpl w:val="E69A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65DDF"/>
    <w:multiLevelType w:val="multilevel"/>
    <w:tmpl w:val="E51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46A8D"/>
    <w:multiLevelType w:val="multilevel"/>
    <w:tmpl w:val="FA4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66301"/>
    <w:multiLevelType w:val="multilevel"/>
    <w:tmpl w:val="EEF0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F4E0D"/>
    <w:multiLevelType w:val="multilevel"/>
    <w:tmpl w:val="311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D1281"/>
    <w:multiLevelType w:val="hybridMultilevel"/>
    <w:tmpl w:val="21A8A4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EE1ECF"/>
    <w:multiLevelType w:val="multilevel"/>
    <w:tmpl w:val="3C8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238D3"/>
    <w:multiLevelType w:val="multilevel"/>
    <w:tmpl w:val="5FA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742394">
    <w:abstractNumId w:val="8"/>
  </w:num>
  <w:num w:numId="2" w16cid:durableId="1248736578">
    <w:abstractNumId w:val="6"/>
  </w:num>
  <w:num w:numId="3" w16cid:durableId="1745102935">
    <w:abstractNumId w:val="5"/>
  </w:num>
  <w:num w:numId="4" w16cid:durableId="370231382">
    <w:abstractNumId w:val="4"/>
  </w:num>
  <w:num w:numId="5" w16cid:durableId="408045356">
    <w:abstractNumId w:val="7"/>
  </w:num>
  <w:num w:numId="6" w16cid:durableId="2068256888">
    <w:abstractNumId w:val="3"/>
  </w:num>
  <w:num w:numId="7" w16cid:durableId="435904561">
    <w:abstractNumId w:val="2"/>
  </w:num>
  <w:num w:numId="8" w16cid:durableId="1273900605">
    <w:abstractNumId w:val="1"/>
  </w:num>
  <w:num w:numId="9" w16cid:durableId="258031084">
    <w:abstractNumId w:val="0"/>
  </w:num>
  <w:num w:numId="10" w16cid:durableId="1092970453">
    <w:abstractNumId w:val="16"/>
  </w:num>
  <w:num w:numId="11" w16cid:durableId="620765611">
    <w:abstractNumId w:val="10"/>
  </w:num>
  <w:num w:numId="12" w16cid:durableId="1991247416">
    <w:abstractNumId w:val="14"/>
  </w:num>
  <w:num w:numId="13" w16cid:durableId="2134399166">
    <w:abstractNumId w:val="17"/>
  </w:num>
  <w:num w:numId="14" w16cid:durableId="1772511106">
    <w:abstractNumId w:val="13"/>
  </w:num>
  <w:num w:numId="15" w16cid:durableId="150295969">
    <w:abstractNumId w:val="18"/>
  </w:num>
  <w:num w:numId="16" w16cid:durableId="1866747493">
    <w:abstractNumId w:val="15"/>
  </w:num>
  <w:num w:numId="17" w16cid:durableId="287397284">
    <w:abstractNumId w:val="12"/>
  </w:num>
  <w:num w:numId="18" w16cid:durableId="894658007">
    <w:abstractNumId w:val="9"/>
  </w:num>
  <w:num w:numId="19" w16cid:durableId="5747796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C3"/>
    <w:rsid w:val="0006063C"/>
    <w:rsid w:val="0009422A"/>
    <w:rsid w:val="000C3C43"/>
    <w:rsid w:val="000C3CC7"/>
    <w:rsid w:val="001029DE"/>
    <w:rsid w:val="0015074B"/>
    <w:rsid w:val="0016095B"/>
    <w:rsid w:val="0019603D"/>
    <w:rsid w:val="001D2D81"/>
    <w:rsid w:val="002701FE"/>
    <w:rsid w:val="0027405E"/>
    <w:rsid w:val="0029639D"/>
    <w:rsid w:val="002D6D1C"/>
    <w:rsid w:val="00326F90"/>
    <w:rsid w:val="00327C15"/>
    <w:rsid w:val="00357B5E"/>
    <w:rsid w:val="0036615D"/>
    <w:rsid w:val="003735EE"/>
    <w:rsid w:val="00377DFB"/>
    <w:rsid w:val="00417BE4"/>
    <w:rsid w:val="00422F2F"/>
    <w:rsid w:val="00426B3E"/>
    <w:rsid w:val="0046638F"/>
    <w:rsid w:val="00495ED5"/>
    <w:rsid w:val="004B19A2"/>
    <w:rsid w:val="00517E65"/>
    <w:rsid w:val="00536694"/>
    <w:rsid w:val="005413F7"/>
    <w:rsid w:val="00545BAB"/>
    <w:rsid w:val="00566764"/>
    <w:rsid w:val="005712A6"/>
    <w:rsid w:val="005931FE"/>
    <w:rsid w:val="00593743"/>
    <w:rsid w:val="00596061"/>
    <w:rsid w:val="005E7071"/>
    <w:rsid w:val="005F261D"/>
    <w:rsid w:val="005F6E7A"/>
    <w:rsid w:val="006168EA"/>
    <w:rsid w:val="00617907"/>
    <w:rsid w:val="00637B9A"/>
    <w:rsid w:val="006774D8"/>
    <w:rsid w:val="00693116"/>
    <w:rsid w:val="006E25CD"/>
    <w:rsid w:val="00702968"/>
    <w:rsid w:val="007236B0"/>
    <w:rsid w:val="0077389E"/>
    <w:rsid w:val="007E6AFF"/>
    <w:rsid w:val="00801AD3"/>
    <w:rsid w:val="00806440"/>
    <w:rsid w:val="00806EC0"/>
    <w:rsid w:val="00841FB7"/>
    <w:rsid w:val="008A12EA"/>
    <w:rsid w:val="008E360E"/>
    <w:rsid w:val="00904D8A"/>
    <w:rsid w:val="0092178C"/>
    <w:rsid w:val="00934A05"/>
    <w:rsid w:val="009B70BF"/>
    <w:rsid w:val="00A12A8C"/>
    <w:rsid w:val="00A410CD"/>
    <w:rsid w:val="00A51B10"/>
    <w:rsid w:val="00A64D4A"/>
    <w:rsid w:val="00AA1D8D"/>
    <w:rsid w:val="00AB0AEC"/>
    <w:rsid w:val="00B47730"/>
    <w:rsid w:val="00B74C5E"/>
    <w:rsid w:val="00B803AE"/>
    <w:rsid w:val="00B91739"/>
    <w:rsid w:val="00BA21AF"/>
    <w:rsid w:val="00BE618F"/>
    <w:rsid w:val="00C6721F"/>
    <w:rsid w:val="00C726A5"/>
    <w:rsid w:val="00CB0664"/>
    <w:rsid w:val="00D23A09"/>
    <w:rsid w:val="00D24E1A"/>
    <w:rsid w:val="00D31689"/>
    <w:rsid w:val="00D50477"/>
    <w:rsid w:val="00D84F91"/>
    <w:rsid w:val="00DC2C22"/>
    <w:rsid w:val="00DD24A8"/>
    <w:rsid w:val="00DD33DE"/>
    <w:rsid w:val="00DF7CF1"/>
    <w:rsid w:val="00E07930"/>
    <w:rsid w:val="00E50F36"/>
    <w:rsid w:val="00E8274B"/>
    <w:rsid w:val="00EB42CD"/>
    <w:rsid w:val="00EC21A7"/>
    <w:rsid w:val="00EE0160"/>
    <w:rsid w:val="00F5363C"/>
    <w:rsid w:val="00F67E05"/>
    <w:rsid w:val="00F951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940DEC"/>
  <w14:defaultImageDpi w14:val="300"/>
  <w15:docId w15:val="{EF8648F0-58C1-4C2B-99DC-B1EF247A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74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872</Words>
  <Characters>4973</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Student ID</vt:lpstr>
      <vt:lpstr>CHAROTAR UNIVERSITY OF SCIENCE &amp; TECHNOLOGY</vt:lpstr>
      <vt:lpstr>PRACTICAL 1</vt:lpstr>
    </vt:vector>
  </TitlesOfParts>
  <Manager/>
  <Company/>
  <LinksUpToDate>false</LinksUpToDate>
  <CharactersWithSpaces>5834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ID</dc:title>
  <dc:subject/>
  <dc:creator>om patel</dc:creator>
  <cp:keywords/>
  <dc:description/>
  <cp:lastModifiedBy>Nandan Vakani</cp:lastModifiedBy>
  <cp:revision>5</cp:revision>
  <cp:lastPrinted>2025-12-26T08:18:00Z</cp:lastPrinted>
  <dcterms:created xsi:type="dcterms:W3CDTF">2026-07-20T07:21:00Z</dcterms:created>
  <dcterms:modified xsi:type="dcterms:W3CDTF">2026-07-20T15:20:00Z</dcterms:modified>
  <cp:category/>
</cp:coreProperties>
</file>