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6"/>
        <w:jc w:val="both"/>
        <w:rPr>
          <w:rFonts w:ascii="Verdana" w:hAnsi="Verdana" w:eastAsia="Verdana" w:cs="Verdana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ab/>
        <w:tab/>
        <w:tab/>
        <w:tab/>
        <w:tab/>
        <w:tab/>
      </w:r>
      <w:r>
        <w:rPr/>
        <w:drawing>
          <wp:inline distT="0" distB="0" distL="0" distR="0">
            <wp:extent cx="694690" cy="8763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40"/>
          <w:szCs w:val="40"/>
        </w:rPr>
        <w:tab/>
      </w:r>
    </w:p>
    <w:p>
      <w:pPr>
        <w:pStyle w:val="normal1"/>
        <w:spacing w:lineRule="auto" w:line="360"/>
        <w:jc w:val="center"/>
        <w:rPr>
          <w:rFonts w:ascii="Verdana" w:hAnsi="Verdana" w:eastAsia="Verdana" w:cs="Verdana"/>
          <w:b/>
          <w:sz w:val="28"/>
          <w:szCs w:val="28"/>
        </w:rPr>
      </w:pPr>
      <w:r>
        <w:rPr>
          <w:rFonts w:eastAsia="Verdana" w:cs="Verdana" w:ascii="Verdana" w:hAnsi="Verdana"/>
          <w:b/>
          <w:sz w:val="28"/>
          <w:szCs w:val="28"/>
        </w:rPr>
      </w:r>
    </w:p>
    <w:p>
      <w:pPr>
        <w:pStyle w:val="normal1"/>
        <w:spacing w:lineRule="auto" w:line="27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AI PROJECT REPORT</w:t>
      </w:r>
    </w:p>
    <w:p>
      <w:pPr>
        <w:pStyle w:val="normal1"/>
        <w:spacing w:lineRule="auto" w:line="27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MINICHESSAI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By:</w:t>
      </w:r>
    </w:p>
    <w:p>
      <w:pPr>
        <w:pStyle w:val="normal1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Ismail Hossain | BSSE-1433</w:t>
      </w:r>
    </w:p>
    <w:p>
      <w:pPr>
        <w:pStyle w:val="normal1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Nandan Bhowmick | BSSE-1436</w:t>
      </w:r>
    </w:p>
    <w:p>
      <w:pPr>
        <w:pStyle w:val="normal1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Shahid-E-Kaiser Md. Tashrif | BSSE-1448</w:t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to:</w:t>
      </w:r>
    </w:p>
    <w:p>
      <w:pPr>
        <w:pStyle w:val="normal1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Ahmedul Kabir</w:t>
      </w:r>
    </w:p>
    <w:p>
      <w:pPr>
        <w:pStyle w:val="normal1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Associate Professor</w:t>
      </w:r>
    </w:p>
    <w:p>
      <w:pPr>
        <w:pStyle w:val="normal1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Institute of Information Technology</w:t>
      </w:r>
    </w:p>
    <w:p>
      <w:pPr>
        <w:pStyle w:val="normal1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University of Dhaka</w:t>
      </w:r>
    </w:p>
    <w:p>
      <w:pPr>
        <w:pStyle w:val="normal1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jc w:val="center"/>
        <w:rPr>
          <w:sz w:val="28"/>
          <w:szCs w:val="28"/>
        </w:rPr>
      </w:pPr>
      <w:r>
        <w:rPr>
          <w:b/>
          <w:sz w:val="28"/>
          <w:szCs w:val="28"/>
        </w:rPr>
        <w:t>Submitted On:</w:t>
      </w:r>
      <w:r>
        <w:rPr>
          <w:sz w:val="28"/>
          <w:szCs w:val="28"/>
        </w:rPr>
        <w:t xml:space="preserve"> May 19, 2025</w:t>
      </w:r>
    </w:p>
    <w:p>
      <w:pPr>
        <w:pStyle w:val="normal1"/>
        <w:spacing w:lineRule="auto" w:line="240" w:before="240" w:after="0"/>
        <w:rPr>
          <w:rFonts w:ascii="Verdana" w:hAnsi="Verdana" w:eastAsia="Verdana" w:cs="Verdana"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2480945</wp:posOffset>
            </wp:positionH>
            <wp:positionV relativeFrom="paragraph">
              <wp:posOffset>419100</wp:posOffset>
            </wp:positionV>
            <wp:extent cx="976630" cy="537210"/>
            <wp:effectExtent l="0" t="0" r="0" b="0"/>
            <wp:wrapSquare wrapText="bothSides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53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0"/>
        <w:rPr>
          <w:rFonts w:ascii="Verdana" w:hAnsi="Verdana" w:eastAsia="Verdana" w:cs="Verdana"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</w:r>
    </w:p>
    <w:p>
      <w:pPr>
        <w:pStyle w:val="normal1"/>
        <w:spacing w:lineRule="auto" w:line="240" w:before="240" w:after="0"/>
        <w:rPr>
          <w:rFonts w:ascii="Verdana" w:hAnsi="Verdana" w:eastAsia="Verdana" w:cs="Verdana"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Heading1"/>
        <w:jc w:val="center"/>
        <w:rPr>
          <w:rFonts w:ascii="Times New Roman" w:hAnsi="Times New Roman"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26"/>
          <w:u w:val="none"/>
          <w:effect w:val="none"/>
          <w:shd w:fill="auto" w:val="clear"/>
        </w:rPr>
      </w:pPr>
      <w:bookmarkStart w:id="0" w:name="docs-internal-guid-8157eaab-7fff-36ac-0f"/>
      <w:bookmarkEnd w:id="0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MiniChessAI: Core Components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MiniChessAI is an AI designed for MiniChess (6x5 board), leveraging a robust evaluation function and efficient algorithms to deliver strong gameplay. Below are the core components of its evaluation criteria and implementation.</w:t>
      </w:r>
    </w:p>
    <w:p>
      <w:pPr>
        <w:pStyle w:val="Heading2"/>
        <w:bidi w:val="0"/>
        <w:spacing w:lineRule="auto" w:line="331" w:before="360" w:after="80"/>
        <w:ind w:hanging="0" w:left="0" w:right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Evaluation Criteria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The AI assesses board positions using a weighted sum of key features:</w:t>
      </w:r>
    </w:p>
    <w:p>
      <w:pPr>
        <w:pStyle w:val="BodyText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Material Balance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: Assigns values to pieces (Pawn: 1, Knight/Bishop: 3, Rook: 5, Queen: 9, King: high value) to prioritize capturing and preserving pieces.</w:t>
      </w:r>
    </w:p>
    <w:p>
      <w:pPr>
        <w:pStyle w:val="BodyText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Piece Activity &amp; Mobility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: Counts legal moves to favor positions with greater flexibility, subtracting opponent’s mobility.</w:t>
      </w:r>
    </w:p>
    <w:p>
      <w:pPr>
        <w:pStyle w:val="BodyText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Pawn Structure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: Awards bonuses for connected/advanced pawns; penalizes doubled, isolated, or backward pawns.</w:t>
      </w:r>
    </w:p>
    <w:p>
      <w:pPr>
        <w:pStyle w:val="BodyText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King Safety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: Penalizes exposed kings or those under threat, encouraging castling and protection.</w:t>
      </w:r>
    </w:p>
    <w:p>
      <w:pPr>
        <w:pStyle w:val="BodyText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Center Control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: Grants bonuses for controlling/occupying central squares to enhance piece effectiveness.</w:t>
      </w:r>
    </w:p>
    <w:p>
      <w:pPr>
        <w:pStyle w:val="BodyText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Threats &amp; Tactics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: Adds bonuses for checks, forks, pins, and attacks on high-value pieces.</w:t>
      </w:r>
    </w:p>
    <w:p>
      <w:pPr>
        <w:pStyle w:val="BodyText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hanging="283" w:left="709" w:right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Endgame Conditions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: Returns large values for checkmate (positive/negative), zero for stalemate or draws.</w:t>
      </w:r>
    </w:p>
    <w:p>
      <w:pPr>
        <w:pStyle w:val="Heading2"/>
        <w:bidi w:val="0"/>
        <w:spacing w:lineRule="auto" w:line="331" w:before="360" w:after="80"/>
        <w:ind w:hanging="0" w:left="0" w:right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Implementation Details</w:t>
      </w:r>
    </w:p>
    <w:p>
      <w:pPr>
        <w:pStyle w:val="BodyText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Search Algorithm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: Uses Minimax with Alpha-Beta Pruning to explore move sequences efficiently, with move ordering (captures, checks, threats first) to optimize pruning.</w:t>
      </w:r>
    </w:p>
    <w:p>
      <w:pPr>
        <w:pStyle w:val="BodyText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Optimizations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Transposition Table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: Caches evaluated positions to skip redundant calculations.</w:t>
      </w:r>
    </w:p>
    <w:p>
      <w:pPr>
        <w:pStyle w:val="BodyText"/>
        <w:numPr>
          <w:ilvl w:val="1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Move Generation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: Employs fast routines to reduce computation time.</w:t>
      </w:r>
    </w:p>
    <w:p>
      <w:pPr>
        <w:pStyle w:val="BodyText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Tech Stack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Backend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: Python (FastAPI) for game logic, move validation, and AI computation.</w:t>
      </w:r>
    </w:p>
    <w:p>
      <w:pPr>
        <w:pStyle w:val="BodyText"/>
        <w:numPr>
          <w:ilvl w:val="1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Frontend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: Next.js (React) for an interactive chessboard and user interface.</w:t>
      </w:r>
    </w:p>
    <w:p>
      <w:pPr>
        <w:pStyle w:val="BodyText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Game Modes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: Supports Human vs AI, AI vs AI, and Human vs Human.</w:t>
      </w:r>
    </w:p>
    <w:p>
      <w:pPr>
        <w:pStyle w:val="BodyText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hanging="283" w:left="709" w:right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Testing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: Validated through MiniChess puzzles, self-play, and unit tests for move generation, evaluation, and endgame detection.</w:t>
      </w:r>
    </w:p>
    <w:p>
      <w:pPr>
        <w:pStyle w:val="Heading2"/>
        <w:bidi w:val="0"/>
        <w:spacing w:lineRule="auto" w:line="331" w:before="360" w:after="80"/>
        <w:ind w:hanging="0" w:left="0" w:right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Conclusion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MiniChessAI delivers a challenging and adaptable opponent by balancing material, mobility, pawn structure, king safety, and tactics. Its modular design and optimizations ensure efficient performance on the 6x5 board, supporting diverse play modes.</w:t>
      </w:r>
    </w:p>
    <w:p>
      <w:pPr>
        <w:pStyle w:val="BodyText"/>
        <w:spacing w:before="0" w:after="140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LibreOffice/24.8.7.2$Linux_X86_64 LibreOffice_project/f4f281f562fb585d46b0af5755dfe1eb6adc047f</Application>
  <AppVersion>15.0000</AppVersion>
  <Pages>3</Pages>
  <Words>335</Words>
  <Characters>2077</Characters>
  <CharactersWithSpaces>2369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2025-05-19T09:53:15Z</dcterms:modified>
  <cp:revision>1</cp:revision>
  <dc:subject/>
  <dc:title/>
</cp:coreProperties>
</file>