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mbria" w:cs="Cambria" w:eastAsia="Cambria" w:hAnsi="Cambria"/>
          <w:b/>
          <w:bCs/>
          <w:sz w:val="30"/>
          <w:szCs w:val="30"/>
        </w:rPr>
        <w:t xml:space="preserve">DRIFT: Decay Rates in Forgetful Bitemporal Memory</w:t>
      </w:r>
    </w:p>
    <w:p>
      <w:pPr>
        <w:spacing w:after="400"/>
        <w:jc w:val="center"/>
      </w:pPr>
      <w:r>
        <w:rPr>
          <w:rFonts w:ascii="Cambria" w:cs="Cambria" w:eastAsia="Cambria" w:hAnsi="Cambria"/>
          <w:color w:val="444444"/>
          <w:sz w:val="22"/>
          <w:szCs w:val="22"/>
        </w:rPr>
        <w:t xml:space="preserve">Chapter 1 draft  ·  Nandan Hemanth  ·  Stevens Institute of Technology</w:t>
      </w:r>
    </w:p>
    <w:p>
      <w:pPr>
        <w:pStyle w:val="Heading1"/>
        <w:spacing w:after="240" w:before="360"/>
      </w:pPr>
      <w:r>
        <w:rPr>
          <w:rFonts w:ascii="Cambria" w:cs="Cambria" w:eastAsia="Cambria" w:hAnsi="Cambria"/>
          <w:b/>
          <w:bCs/>
          <w:color w:val="000000"/>
          <w:sz w:val="32"/>
          <w:szCs w:val="32"/>
        </w:rPr>
        <w:t xml:space="preserve">1. Introduction</w:t>
      </w:r>
    </w:p>
    <w:p>
      <w:pPr>
        <w:pStyle w:val="Heading2"/>
        <w:spacing w:after="160" w:before="320"/>
      </w:pPr>
      <w:r>
        <w:rPr>
          <w:rFonts w:ascii="Cambria" w:cs="Cambria" w:eastAsia="Cambria" w:hAnsi="Cambria"/>
          <w:b/>
          <w:bCs/>
          <w:color w:val="000000"/>
          <w:sz w:val="26"/>
          <w:szCs w:val="26"/>
        </w:rPr>
        <w:t xml:space="preserve">1.1 The problem</w:t>
      </w:r>
    </w:p>
    <w:p>
      <w:pPr>
        <w:spacing w:after="180" w:line="360"/>
        <w:jc w:val="both"/>
      </w:pPr>
      <w:r>
        <w:rPr>
          <w:rFonts w:ascii="Cambria" w:cs="Cambria" w:eastAsia="Cambria" w:hAnsi="Cambria"/>
          <w:sz w:val="24"/>
          <w:szCs w:val="24"/>
        </w:rPr>
        <w:t xml:space="preserve">An agent with long-term memory is told "I live in Boston." Three months later the same user says "I moved to Seattle." Both sentences are now sitting in the agent's memory store. Both look relevant to the question "where do I live," because both mention living somewhere and both name a city. A retrieval function that ranks candidates by similarity, with some preference for recency, will often hand the model both facts at once, and nothing in that bundle says which one is still true. The agent answers Boston.</w:t>
      </w:r>
    </w:p>
    <w:p>
      <w:pPr>
        <w:spacing w:after="180" w:line="360"/>
        <w:ind w:firstLine="360"/>
        <w:jc w:val="both"/>
      </w:pPr>
      <w:r>
        <w:rPr>
          <w:rFonts w:ascii="Cambria" w:cs="Cambria" w:eastAsia="Cambria" w:hAnsi="Cambria"/>
          <w:sz w:val="24"/>
          <w:szCs w:val="24"/>
        </w:rPr>
        <w:t xml:space="preserve">What makes this easy to miss is that the storage and retrieval steps both worked. The Seattle fact was written down. It was found. It ranked highly, precisely because it resembled the question. The failure sits somewhere else: no part of the system marked the Boston fact as ended when the Seattle fact arrived, and no part of the system removed it afterwards. Closing that gap needs a rule that is separate from storage and separate from retrieval, one that decides which facts are still valid, which have been replaced, and which should be hidden or discarded instead of being served as though nothing had changed. This thesis calls that rule a forgetting policy, and treats the choice of policy as the object of study.</w:t>
      </w:r>
    </w:p>
    <w:p>
      <w:pPr>
        <w:spacing w:after="180" w:line="360"/>
        <w:ind w:firstLine="360"/>
        <w:jc w:val="both"/>
      </w:pPr>
      <w:r>
        <w:rPr>
          <w:rFonts w:ascii="Cambria" w:cs="Cambria" w:eastAsia="Cambria" w:hAnsi="Cambria"/>
          <w:sz w:val="24"/>
          <w:szCs w:val="24"/>
        </w:rPr>
        <w:t xml:space="preserve">The problem also compounds. An agent that runs for a year accumulates thousands of facts, and a growing share of them describe a world that has since moved on. Every superseded fact that gets retrieved is context spent on something untrue, and every superseded fact that reaches the answering model is a chance to state something confidently wrong about a detail the user already corrected. As agents shift from single-session tools to assistants that persist for months, the volume of stale material grows with the agent's own lifetime.</w:t>
      </w:r>
    </w:p>
    <w:p>
      <w:pPr>
        <w:pStyle w:val="Heading2"/>
        <w:spacing w:after="160" w:before="320"/>
      </w:pPr>
      <w:r>
        <w:rPr>
          <w:rFonts w:ascii="Cambria" w:cs="Cambria" w:eastAsia="Cambria" w:hAnsi="Cambria"/>
          <w:b/>
          <w:bCs/>
          <w:color w:val="000000"/>
          <w:sz w:val="26"/>
          <w:szCs w:val="26"/>
        </w:rPr>
        <w:t xml:space="preserve">1.2 Why the question is still open</w:t>
      </w:r>
    </w:p>
    <w:p>
      <w:pPr>
        <w:spacing w:after="180" w:line="360"/>
        <w:jc w:val="both"/>
      </w:pPr>
      <w:r>
        <w:rPr>
          <w:rFonts w:ascii="Cambria" w:cs="Cambria" w:eastAsia="Cambria" w:hAnsi="Cambria"/>
          <w:sz w:val="24"/>
          <w:szCs w:val="24"/>
        </w:rPr>
        <w:t xml:space="preserve">Production memory systems handle storage and retrieval well. MemGPT pages context in and out of the model's window the way an operating system pages memory to disk. Zep builds a temporal knowledge graph designed specifically for agent memory and records when facts were valid. Mem0 targets deployment cost and latency for long-term stores. A-MEM lets a language model decide how memories should be organized and linked. In all four, what happens to information that has been overtaken by later observations is a secondary concern, and where a forgetting mechanism exists at all, its design was chosen by the authors rather than measured against the alternatives.</w:t>
      </w:r>
    </w:p>
    <w:p>
      <w:pPr>
        <w:spacing w:after="180" w:line="360"/>
        <w:ind w:firstLine="360"/>
        <w:jc w:val="both"/>
      </w:pPr>
      <w:r>
        <w:rPr>
          <w:rFonts w:ascii="Cambria" w:cs="Cambria" w:eastAsia="Cambria" w:hAnsi="Cambria"/>
          <w:sz w:val="24"/>
          <w:szCs w:val="24"/>
        </w:rPr>
        <w:t xml:space="preserve">The reason the gap persists is methodological rather than an oversight. Comparing forgetting rules across published systems is confounded, because those systems differ at the same time in their substrate, their retrieval function, their extraction pipeline, their prompting, and often the underlying model. When one system handles a stale-fact case better than another, the difference cannot be attributed to the forgetting rule, since four other things changed alongside it. What is missing is not another memory architecture. It is a controlled comparison in which the forgetting policy is the only thing that varies.</w:t>
      </w:r>
    </w:p>
    <w:p>
      <w:pPr>
        <w:spacing w:after="180" w:line="360"/>
        <w:ind w:firstLine="360"/>
        <w:jc w:val="both"/>
      </w:pPr>
      <w:r>
        <w:rPr>
          <w:rFonts w:ascii="Cambria" w:cs="Cambria" w:eastAsia="Cambria" w:hAnsi="Cambria"/>
          <w:sz w:val="24"/>
          <w:szCs w:val="24"/>
        </w:rPr>
        <w:t xml:space="preserve">This thesis supplies that comparison. The framework built to run it, DRIFT, holds the substrate, the extraction step, the retrieval function, the answering model, and the evaluation judge fixed across every experimental condition, and varies only the rule that decides what memory keeps, hides, or throws away.</w:t>
      </w:r>
    </w:p>
    <w:p>
      <w:pPr>
        <w:pStyle w:val="Heading2"/>
        <w:spacing w:after="160" w:before="320"/>
      </w:pPr>
      <w:r>
        <w:rPr>
          <w:rFonts w:ascii="Cambria" w:cs="Cambria" w:eastAsia="Cambria" w:hAnsi="Cambria"/>
          <w:b/>
          <w:bCs/>
          <w:color w:val="000000"/>
          <w:sz w:val="26"/>
          <w:szCs w:val="26"/>
        </w:rPr>
        <w:t xml:space="preserve">1.3 Hypothesis</w:t>
      </w:r>
    </w:p>
    <w:p>
      <w:pPr>
        <w:spacing w:after="180" w:line="360"/>
        <w:jc w:val="both"/>
      </w:pPr>
      <w:r>
        <w:rPr>
          <w:rFonts w:ascii="Cambria" w:cs="Cambria" w:eastAsia="Cambria" w:hAnsi="Cambria"/>
          <w:sz w:val="24"/>
          <w:szCs w:val="24"/>
        </w:rPr>
        <w:t xml:space="preserve">The central hypothesis is stated as follows.</w:t>
      </w:r>
    </w:p>
    <w:p>
      <w:pPr>
        <w:spacing w:after="200" w:before="160" w:line="360"/>
        <w:ind w:left="720" w:right="720"/>
      </w:pPr>
      <w:r>
        <w:rPr>
          <w:rFonts w:ascii="Cambria" w:cs="Cambria" w:eastAsia="Cambria" w:hAnsi="Cambria"/>
          <w:i/>
          <w:iCs/>
          <w:sz w:val="24"/>
          <w:szCs w:val="24"/>
        </w:rPr>
        <w:t xml:space="preserve">H. Selective forgetting grounded in bitemporal structure improves an agent's answer quality and cost profile relative to append-only memory, and relative to forgetting that is structure-blind or based on novelty.</w:t>
      </w:r>
    </w:p>
    <w:p>
      <w:pPr>
        <w:spacing w:after="180" w:line="360"/>
        <w:jc w:val="both"/>
      </w:pPr>
      <w:r>
        <w:rPr>
          <w:rFonts w:ascii="Cambria" w:cs="Cambria" w:eastAsia="Cambria" w:hAnsi="Cambria"/>
          <w:sz w:val="24"/>
          <w:szCs w:val="24"/>
        </w:rPr>
        <w:t xml:space="preserve">Bitemporal structure, defined precisely in Chapter 3, means every stored fact carries two independent timelines: the period during which the fact was true of the world, and the period during which the agent believed it. A policy with access to both can separate a fact that has been explicitly contradicted by a later observation from a fact that is simply old. That distinction is exactly what a policy based on age alone, or on textual similarity alone, cannot make.</w:t>
      </w:r>
    </w:p>
    <w:p>
      <w:pPr>
        <w:pStyle w:val="Heading2"/>
        <w:spacing w:after="160" w:before="320"/>
      </w:pPr>
      <w:r>
        <w:rPr>
          <w:rFonts w:ascii="Cambria" w:cs="Cambria" w:eastAsia="Cambria" w:hAnsi="Cambria"/>
          <w:b/>
          <w:bCs/>
          <w:color w:val="000000"/>
          <w:sz w:val="26"/>
          <w:szCs w:val="26"/>
        </w:rPr>
        <w:t xml:space="preserve">1.4 Research questions</w:t>
      </w:r>
    </w:p>
    <w:p>
      <w:pPr>
        <w:spacing w:after="180" w:line="360"/>
        <w:jc w:val="both"/>
      </w:pPr>
      <w:r>
        <w:rPr>
          <w:rFonts w:ascii="Cambria" w:cs="Cambria" w:eastAsia="Cambria" w:hAnsi="Cambria"/>
          <w:sz w:val="24"/>
          <w:szCs w:val="24"/>
        </w:rPr>
        <w:t xml:space="preserve">The hypothesis breaks into four questions, each answered with evidence in Chapter 5.</w:t>
      </w:r>
    </w:p>
    <w:p>
      <w:pPr>
        <w:spacing w:after="180" w:line="360"/>
        <w:jc w:val="both"/>
      </w:pPr>
      <w:r>
        <w:rPr>
          <w:rFonts w:ascii="Cambria" w:cs="Cambria" w:eastAsia="Cambria" w:hAnsi="Cambria"/>
          <w:sz w:val="24"/>
          <w:szCs w:val="24"/>
        </w:rPr>
        <w:t xml:space="preserve">RQ1 asks whether append-only memory, which is the default behaviour of most deployed systems, measurably surfaces superseded facts at answer time. RQ2 asks which of the candidate policies offers the best trade-off between accuracy, staleness, and cost. RQ3 asks whether bitemporal structure specifically is what produces any benefit, or whether any graph-aware consolidation strategy would do just as well. RQ4 asks whether the rankings established with a single agent survive in multi-agent settings, where the agent reading a fact is not the agent that wrote it.</w:t>
      </w:r>
    </w:p>
    <w:p>
      <w:pPr>
        <w:pStyle w:val="Heading2"/>
        <w:spacing w:after="160" w:before="320"/>
      </w:pPr>
      <w:r>
        <w:rPr>
          <w:rFonts w:ascii="Cambria" w:cs="Cambria" w:eastAsia="Cambria" w:hAnsi="Cambria"/>
          <w:b/>
          <w:bCs/>
          <w:color w:val="000000"/>
          <w:sz w:val="26"/>
          <w:szCs w:val="26"/>
        </w:rPr>
        <w:t xml:space="preserve">1.5 What is new here</w:t>
      </w:r>
    </w:p>
    <w:p>
      <w:pPr>
        <w:spacing w:after="180" w:line="360"/>
        <w:jc w:val="both"/>
      </w:pPr>
      <w:r>
        <w:rPr>
          <w:rFonts w:ascii="Cambria" w:cs="Cambria" w:eastAsia="Cambria" w:hAnsi="Cambria"/>
          <w:sz w:val="24"/>
          <w:szCs w:val="24"/>
        </w:rPr>
        <w:t xml:space="preserve">The contribution is not a new memory architecture. Bitemporal modelling goes back decades in database research, and Zep already applies a version of it to agent memory. What is new is experimental, and it is about what a controlled design makes visible.</w:t>
      </w:r>
    </w:p>
    <w:p>
      <w:pPr>
        <w:spacing w:after="180" w:line="360"/>
        <w:ind w:firstLine="360"/>
        <w:jc w:val="both"/>
      </w:pPr>
      <w:r>
        <w:rPr>
          <w:rFonts w:ascii="Cambria" w:cs="Cambria" w:eastAsia="Cambria" w:hAnsi="Cambria"/>
          <w:sz w:val="24"/>
          <w:szCs w:val="24"/>
        </w:rPr>
        <w:t xml:space="preserve">The first contribution is isolating the forgetting policy as an independent variable. To the best of my knowledge this is the first study that fixes the substrate, the extraction step, the retrieval function, the answering model, and the judge, then varies only the forgetting rule, across seven conditions spanning no memory at all, append-only retention, time-based decay, contradiction-based invalidation, novelty gating, model-driven consolidation, and topology-based consolidation.</w:t>
      </w:r>
    </w:p>
    <w:p>
      <w:pPr>
        <w:spacing w:after="180" w:line="360"/>
        <w:ind w:firstLine="360"/>
        <w:jc w:val="both"/>
      </w:pPr>
      <w:r>
        <w:rPr>
          <w:rFonts w:ascii="Cambria" w:cs="Cambria" w:eastAsia="Cambria" w:hAnsi="Cambria"/>
          <w:sz w:val="24"/>
          <w:szCs w:val="24"/>
        </w:rPr>
        <w:t xml:space="preserve">The second is an ablation that separates bitemporal semantics from graph structure in general. One policy, referred to throughout as P5, exists for a single purpose. It is structure-aware, it works on the same knowledge graph as the winning policy, it performs the same kind of consolidation, and it is deliberately denied access to valid time, so it has to resolve competing facts by counting structural corroboration instead. Without that ablation, a result showing a bitemporal policy beating a naive baseline would be equally consistent with the duller explanation that graph reasoning of any kind helps. With it, the claim becomes specific, and on real-world knowledge updates it becomes decisive.</w:t>
      </w:r>
    </w:p>
    <w:p>
      <w:pPr>
        <w:spacing w:after="180" w:line="360"/>
        <w:ind w:firstLine="360"/>
        <w:jc w:val="both"/>
      </w:pPr>
      <w:r>
        <w:rPr>
          <w:rFonts w:ascii="Cambria" w:cs="Cambria" w:eastAsia="Cambria" w:hAnsi="Cambria"/>
          <w:sz w:val="24"/>
          <w:szCs w:val="24"/>
        </w:rPr>
        <w:t xml:space="preserve">The third is identifying write-side novelty gating as a measured failure mode rather than an efficiency technique. Rejecting a candidate fact because it looks too similar to something already stored is currently promoted in the literature as a way to control memory growth. On any workload where facts get corrected over time it trades a bounded saving in footprint for an unbounded liability in correctness, because a correction is, by construction, nearly identical to the thing it corrects. This thesis demonstrates that mechanism directly from saved knowledge-graph snapshots.</w:t>
      </w:r>
    </w:p>
    <w:p>
      <w:pPr>
        <w:spacing w:after="180" w:line="360"/>
        <w:ind w:firstLine="360"/>
        <w:jc w:val="both"/>
      </w:pPr>
      <w:r>
        <w:rPr>
          <w:rFonts w:ascii="Cambria" w:cs="Cambria" w:eastAsia="Cambria" w:hAnsi="Cambria"/>
          <w:sz w:val="24"/>
          <w:szCs w:val="24"/>
        </w:rPr>
        <w:t xml:space="preserve">The fourth is a negative result about the benchmarks the field relies on. LoCoMo and LongMemEval carry no annotation of the superseded answer for any question, so neither can support a measurement of whether an agent has correctly revised a belief. Finding that gap, and finding two benchmarks that close it, is a contribution to how this subfield evaluates memory revision at all.</w:t>
      </w:r>
    </w:p>
    <w:p>
      <w:pPr>
        <w:spacing w:after="180" w:line="360"/>
        <w:ind w:firstLine="360"/>
        <w:jc w:val="both"/>
      </w:pPr>
      <w:r>
        <w:rPr>
          <w:rFonts w:ascii="Cambria" w:cs="Cambria" w:eastAsia="Cambria" w:hAnsi="Cambria"/>
          <w:sz w:val="24"/>
          <w:szCs w:val="24"/>
        </w:rPr>
        <w:t xml:space="preserve">Two further findings came out of reconciling experimental runs against one another rather than being planned. One is a configuration ablation that separates what the policy contributes from what a domain-specific setting contributes. The other is a judge-reliability audit that measures how much of a reported result can be blamed on noise in the evaluation procedure rather than on the policy under test. Both are reported in Chapter 5.</w:t>
      </w:r>
    </w:p>
    <w:p>
      <w:pPr>
        <w:pStyle w:val="Heading2"/>
        <w:spacing w:after="160" w:before="320"/>
      </w:pPr>
      <w:r>
        <w:rPr>
          <w:rFonts w:ascii="Cambria" w:cs="Cambria" w:eastAsia="Cambria" w:hAnsi="Cambria"/>
          <w:b/>
          <w:bCs/>
          <w:color w:val="000000"/>
          <w:sz w:val="26"/>
          <w:szCs w:val="26"/>
        </w:rPr>
        <w:t xml:space="preserve">1.6 Contributions</w:t>
      </w:r>
    </w:p>
    <w:p>
      <w:pPr>
        <w:spacing w:after="180" w:line="360"/>
        <w:jc w:val="both"/>
      </w:pPr>
      <w:r>
        <w:rPr>
          <w:rFonts w:ascii="Cambria" w:cs="Cambria" w:eastAsia="Cambria" w:hAnsi="Cambria"/>
          <w:sz w:val="24"/>
          <w:szCs w:val="24"/>
        </w:rPr>
        <w:t xml:space="preserve">This thesis contributes a controlled experimental framework in which the forgetting policy is the only independent variable over a fixed substrate, retrieval function, extraction step, answering model, and judge. It contributes a staleness metric held separate from accuracy, together with the finding that the two most widely used agent-memory benchmarks cannot support that metric, and the identification of two that can.</w:t>
      </w:r>
    </w:p>
    <w:p>
      <w:pPr>
        <w:spacing w:after="180" w:line="360"/>
        <w:ind w:firstLine="360"/>
        <w:jc w:val="both"/>
      </w:pPr>
      <w:r>
        <w:rPr>
          <w:rFonts w:ascii="Cambria" w:cs="Cambria" w:eastAsia="Cambria" w:hAnsi="Cambria"/>
          <w:sz w:val="24"/>
          <w:szCs w:val="24"/>
        </w:rPr>
        <w:t xml:space="preserve">It contributes replicated evidence, on two benchmarks of different provenance, that bitemporal invalidation costs nothing in accuracy, that novelty gating causes staleness that cannot be recovered downstream, and that time-blind consolidation performs significantly worse than bitemporal consolidation. The accuracy comparison against the append-only ceiling is reported as an equivalence result rather than a null result: paired bootstrap intervals bound the difference to roughly two and a half points on both benchmarks, which is a stronger statement than failing to reject a null hypothesis.</w:t>
      </w:r>
    </w:p>
    <w:p>
      <w:pPr>
        <w:spacing w:after="180" w:line="360"/>
        <w:ind w:firstLine="360"/>
        <w:jc w:val="both"/>
      </w:pPr>
      <w:r>
        <w:rPr>
          <w:rFonts w:ascii="Cambria" w:cs="Cambria" w:eastAsia="Cambria" w:hAnsi="Cambria"/>
          <w:sz w:val="24"/>
          <w:szCs w:val="24"/>
        </w:rPr>
        <w:t xml:space="preserve">It contributes a configuration ablation that separates the policy's contribution from that of a domain declaration the policy depends on, and a judge-reliability audit that establishes a noise floor for model-judged accuracy under a rotating pool of evaluators, including a specific twelve-and-a-half-point artifact traced to that rotation. Finally, it contributes an open, dependency-free implementation whose entire test suite runs offline in under a second and which integrates into a third-party agent in a few lines of code.</w:t>
      </w:r>
    </w:p>
    <w:p>
      <w:pPr>
        <w:pStyle w:val="Heading2"/>
        <w:spacing w:after="160" w:before="320"/>
      </w:pPr>
      <w:r>
        <w:rPr>
          <w:rFonts w:ascii="Cambria" w:cs="Cambria" w:eastAsia="Cambria" w:hAnsi="Cambria"/>
          <w:b/>
          <w:bCs/>
          <w:color w:val="000000"/>
          <w:sz w:val="26"/>
          <w:szCs w:val="26"/>
        </w:rPr>
        <w:t xml:space="preserve">1.7 How the thesis is organised</w:t>
      </w:r>
    </w:p>
    <w:p>
      <w:pPr>
        <w:spacing w:after="180" w:line="360"/>
        <w:jc w:val="both"/>
      </w:pPr>
      <w:r>
        <w:rPr>
          <w:rFonts w:ascii="Cambria" w:cs="Cambria" w:eastAsia="Cambria" w:hAnsi="Cambria"/>
          <w:sz w:val="24"/>
          <w:szCs w:val="24"/>
        </w:rPr>
        <w:t xml:space="preserve">Chapter 2 places DRIFT among existing agent memory systems, consolidation research, write-side control techniques, and benchmarks concerned with staleness. Chapter 3 describes the bitemporal substrate, the pipeline, the seven policies, the metrics, and the statistical procedures used to test them. Chapter 4 covers benchmark selection, including the negative result about the standard benchmarks, the two benchmarks used, the models involved, and the reproducibility infrastructure. Chapter 5 reports the results in full, organised around the four research questions, together with the configuration ablation and the judge audit. Chapter 6 discusses why the results come out the way they do, states the threats to validity in full, and closes with limitations and conclusions. Appendix A holds the complete per-cell results and the full pairwise significance matrix. Appendix B holds the figure index, the dataset schema, the exact commands that reproduce every reported number, and a short integration example.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DRIFT Chapter 1: Introduction</dc:title>
  <dc:creator>Nandan Hemanth</dc:creator>
  <cp:lastModifiedBy>Un-named</cp:lastModifiedBy>
  <cp:revision>1</cp:revision>
  <dcterms:created xsi:type="dcterms:W3CDTF">2026-09-10T14:46:04.204Z</dcterms:created>
  <dcterms:modified xsi:type="dcterms:W3CDTF">2026-09-10T14:46:04.204Z</dcterms:modified>
</cp:coreProperties>
</file>

<file path=docProps/custom.xml><?xml version="1.0" encoding="utf-8"?>
<Properties xmlns="http://schemas.openxmlformats.org/officeDocument/2006/custom-properties" xmlns:vt="http://schemas.openxmlformats.org/officeDocument/2006/docPropsVTypes"/>
</file>