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Exchange rates: 2024-08-19 to 2026-08-17</w:t>
      </w:r>
    </w:p>
    <w:p>
      <w:r>
        <w:t>Daily rates for USD/INR, INR/GBP, INR/EUR, with a least-squares trend for each pair. Generated 17 August 2026 at 10:31.</w:t>
      </w:r>
    </w:p>
    <w:p>
      <w:pPr>
        <w:pStyle w:val="Heading1"/>
      </w:pPr>
      <w:r>
        <w:t>What the trend shows</w:t>
      </w:r>
    </w:p>
    <w:p>
      <w:r>
        <w:rPr>
          <w:b/>
        </w:rPr>
        <w:t xml:space="preserve">USD/INR. </w:t>
      </w:r>
      <w:r>
        <w:t>Moved from 83.014 to 88.11, a change of 6.14%. The fitted line slopes +2.5567 per year with an R-squared of 1.0, so USD is weakening over this window. Range 83.014 on 2024-08-19 to 88.11 on 2026-08-17.</w:t>
      </w:r>
    </w:p>
    <w:p>
      <w:r>
        <w:rPr>
          <w:b/>
        </w:rPr>
        <w:t xml:space="preserve">INR/GBP. </w:t>
      </w:r>
      <w:r>
        <w:t>Moved from 0.009499 to 0.009208, a change of -3.07%. The fitted line slopes -0.0001 per year with an R-squared of 1.0, so INR is strengthening over this window. Range 0.009208 on 2026-08-17 to 0.009499 on 2024-08-19.</w:t>
      </w:r>
    </w:p>
    <w:p>
      <w:r>
        <w:rPr>
          <w:b/>
        </w:rPr>
        <w:t xml:space="preserve">INR/EUR. </w:t>
      </w:r>
      <w:r>
        <w:t>Moved from 0.0111 to 0.011246, a change of 1.31%. The fitted line slopes +0.0001 per year with an R-squared of 1.0, so INR is weakening over this window. Range 0.0111 on 2024-08-19 to 0.011246 on 2026-08-17.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60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comparison-20260817-1031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6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60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monthly-bar-20260817-1031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6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Monthly averages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USD/INR</w:t>
            </w:r>
          </w:p>
        </w:tc>
        <w:tc>
          <w:tcPr>
            <w:tcW w:type="dxa" w:w="2160"/>
          </w:tcPr>
          <w:p>
            <w:r>
              <w:t>INR/GBP</w:t>
            </w:r>
          </w:p>
        </w:tc>
        <w:tc>
          <w:tcPr>
            <w:tcW w:type="dxa" w:w="2160"/>
          </w:tcPr>
          <w:p>
            <w:r>
              <w:t>INR/EUR</w:t>
            </w:r>
          </w:p>
        </w:tc>
      </w:tr>
      <w:tr>
        <w:tc>
          <w:tcPr>
            <w:tcW w:type="dxa" w:w="2160"/>
          </w:tcPr>
          <w:p>
            <w:r>
              <w:t>2024-08</w:t>
            </w:r>
          </w:p>
        </w:tc>
        <w:tc>
          <w:tcPr>
            <w:tcW w:type="dxa" w:w="2160"/>
          </w:tcPr>
          <w:p>
            <w:r>
              <w:t>83.053846</w:t>
            </w:r>
          </w:p>
        </w:tc>
        <w:tc>
          <w:tcPr>
            <w:tcW w:type="dxa" w:w="2160"/>
          </w:tcPr>
          <w:p>
            <w:r>
              <w:t>0.009497</w:t>
            </w:r>
          </w:p>
        </w:tc>
        <w:tc>
          <w:tcPr>
            <w:tcW w:type="dxa" w:w="2160"/>
          </w:tcPr>
          <w:p>
            <w:r>
              <w:t>0.011102</w:t>
            </w:r>
          </w:p>
        </w:tc>
      </w:tr>
      <w:tr>
        <w:tc>
          <w:tcPr>
            <w:tcW w:type="dxa" w:w="2160"/>
          </w:tcPr>
          <w:p>
            <w:r>
              <w:t>2024-09</w:t>
            </w:r>
          </w:p>
        </w:tc>
        <w:tc>
          <w:tcPr>
            <w:tcW w:type="dxa" w:w="2160"/>
          </w:tcPr>
          <w:p>
            <w:r>
              <w:t>83.203233</w:t>
            </w:r>
          </w:p>
        </w:tc>
        <w:tc>
          <w:tcPr>
            <w:tcW w:type="dxa" w:w="2160"/>
          </w:tcPr>
          <w:p>
            <w:r>
              <w:t>0.009488</w:t>
            </w:r>
          </w:p>
        </w:tc>
        <w:tc>
          <w:tcPr>
            <w:tcW w:type="dxa" w:w="2160"/>
          </w:tcPr>
          <w:p>
            <w:r>
              <w:t>0.011106</w:t>
            </w:r>
          </w:p>
        </w:tc>
      </w:tr>
      <w:tr>
        <w:tc>
          <w:tcPr>
            <w:tcW w:type="dxa" w:w="2160"/>
          </w:tcPr>
          <w:p>
            <w:r>
              <w:t>2024-10</w:t>
            </w:r>
          </w:p>
        </w:tc>
        <w:tc>
          <w:tcPr>
            <w:tcW w:type="dxa" w:w="2160"/>
          </w:tcPr>
          <w:p>
            <w:r>
              <w:t>83.41729</w:t>
            </w:r>
          </w:p>
        </w:tc>
        <w:tc>
          <w:tcPr>
            <w:tcW w:type="dxa" w:w="2160"/>
          </w:tcPr>
          <w:p>
            <w:r>
              <w:t>0.009476</w:t>
            </w:r>
          </w:p>
        </w:tc>
        <w:tc>
          <w:tcPr>
            <w:tcW w:type="dxa" w:w="2160"/>
          </w:tcPr>
          <w:p>
            <w:r>
              <w:t>0.011112</w:t>
            </w:r>
          </w:p>
        </w:tc>
      </w:tr>
      <w:tr>
        <w:tc>
          <w:tcPr>
            <w:tcW w:type="dxa" w:w="2160"/>
          </w:tcPr>
          <w:p>
            <w:r>
              <w:t>2024-11</w:t>
            </w:r>
          </w:p>
        </w:tc>
        <w:tc>
          <w:tcPr>
            <w:tcW w:type="dxa" w:w="2160"/>
          </w:tcPr>
          <w:p>
            <w:r>
              <w:t>83.630467</w:t>
            </w:r>
          </w:p>
        </w:tc>
        <w:tc>
          <w:tcPr>
            <w:tcW w:type="dxa" w:w="2160"/>
          </w:tcPr>
          <w:p>
            <w:r>
              <w:t>0.009464</w:t>
            </w:r>
          </w:p>
        </w:tc>
        <w:tc>
          <w:tcPr>
            <w:tcW w:type="dxa" w:w="2160"/>
          </w:tcPr>
          <w:p>
            <w:r>
              <w:t>0.011118</w:t>
            </w:r>
          </w:p>
        </w:tc>
      </w:tr>
      <w:tr>
        <w:tc>
          <w:tcPr>
            <w:tcW w:type="dxa" w:w="2160"/>
          </w:tcPr>
          <w:p>
            <w:r>
              <w:t>2024-12</w:t>
            </w:r>
          </w:p>
        </w:tc>
        <w:tc>
          <w:tcPr>
            <w:tcW w:type="dxa" w:w="2160"/>
          </w:tcPr>
          <w:p>
            <w:r>
              <w:t>83.843839</w:t>
            </w:r>
          </w:p>
        </w:tc>
        <w:tc>
          <w:tcPr>
            <w:tcW w:type="dxa" w:w="2160"/>
          </w:tcPr>
          <w:p>
            <w:r>
              <w:t>0.009452</w:t>
            </w:r>
          </w:p>
        </w:tc>
        <w:tc>
          <w:tcPr>
            <w:tcW w:type="dxa" w:w="2160"/>
          </w:tcPr>
          <w:p>
            <w:r>
              <w:t>0.011124</w:t>
            </w:r>
          </w:p>
        </w:tc>
      </w:tr>
      <w:tr>
        <w:tc>
          <w:tcPr>
            <w:tcW w:type="dxa" w:w="2160"/>
          </w:tcPr>
          <w:p>
            <w:r>
              <w:t>2025-01</w:t>
            </w:r>
          </w:p>
        </w:tc>
        <w:tc>
          <w:tcPr>
            <w:tcW w:type="dxa" w:w="2160"/>
          </w:tcPr>
          <w:p>
            <w:r>
              <w:t>84.06129</w:t>
            </w:r>
          </w:p>
        </w:tc>
        <w:tc>
          <w:tcPr>
            <w:tcW w:type="dxa" w:w="2160"/>
          </w:tcPr>
          <w:p>
            <w:r>
              <w:t>0.009439</w:t>
            </w:r>
          </w:p>
        </w:tc>
        <w:tc>
          <w:tcPr>
            <w:tcW w:type="dxa" w:w="2160"/>
          </w:tcPr>
          <w:p>
            <w:r>
              <w:t>0.01113</w:t>
            </w:r>
          </w:p>
        </w:tc>
      </w:tr>
      <w:tr>
        <w:tc>
          <w:tcPr>
            <w:tcW w:type="dxa" w:w="2160"/>
          </w:tcPr>
          <w:p>
            <w:r>
              <w:t>2025-02</w:t>
            </w:r>
          </w:p>
        </w:tc>
        <w:tc>
          <w:tcPr>
            <w:tcW w:type="dxa" w:w="2160"/>
          </w:tcPr>
          <w:p>
            <w:r>
              <w:t>84.2675</w:t>
            </w:r>
          </w:p>
        </w:tc>
        <w:tc>
          <w:tcPr>
            <w:tcW w:type="dxa" w:w="2160"/>
          </w:tcPr>
          <w:p>
            <w:r>
              <w:t>0.009428</w:t>
            </w:r>
          </w:p>
        </w:tc>
        <w:tc>
          <w:tcPr>
            <w:tcW w:type="dxa" w:w="2160"/>
          </w:tcPr>
          <w:p>
            <w:r>
              <w:t>0.011136</w:t>
            </w:r>
          </w:p>
        </w:tc>
      </w:tr>
      <w:tr>
        <w:tc>
          <w:tcPr>
            <w:tcW w:type="dxa" w:w="2160"/>
          </w:tcPr>
          <w:p>
            <w:r>
              <w:t>2025-03</w:t>
            </w:r>
          </w:p>
        </w:tc>
        <w:tc>
          <w:tcPr>
            <w:tcW w:type="dxa" w:w="2160"/>
          </w:tcPr>
          <w:p>
            <w:r>
              <w:t>84.473613</w:t>
            </w:r>
          </w:p>
        </w:tc>
        <w:tc>
          <w:tcPr>
            <w:tcW w:type="dxa" w:w="2160"/>
          </w:tcPr>
          <w:p>
            <w:r>
              <w:t>0.009416</w:t>
            </w:r>
          </w:p>
        </w:tc>
        <w:tc>
          <w:tcPr>
            <w:tcW w:type="dxa" w:w="2160"/>
          </w:tcPr>
          <w:p>
            <w:r>
              <w:t>0.011142</w:t>
            </w:r>
          </w:p>
        </w:tc>
      </w:tr>
      <w:tr>
        <w:tc>
          <w:tcPr>
            <w:tcW w:type="dxa" w:w="2160"/>
          </w:tcPr>
          <w:p>
            <w:r>
              <w:t>2025-04</w:t>
            </w:r>
          </w:p>
        </w:tc>
        <w:tc>
          <w:tcPr>
            <w:tcW w:type="dxa" w:w="2160"/>
          </w:tcPr>
          <w:p>
            <w:r>
              <w:t>84.6877</w:t>
            </w:r>
          </w:p>
        </w:tc>
        <w:tc>
          <w:tcPr>
            <w:tcW w:type="dxa" w:w="2160"/>
          </w:tcPr>
          <w:p>
            <w:r>
              <w:t>0.009404</w:t>
            </w:r>
          </w:p>
        </w:tc>
        <w:tc>
          <w:tcPr>
            <w:tcW w:type="dxa" w:w="2160"/>
          </w:tcPr>
          <w:p>
            <w:r>
              <w:t>0.011148</w:t>
            </w:r>
          </w:p>
        </w:tc>
      </w:tr>
      <w:tr>
        <w:tc>
          <w:tcPr>
            <w:tcW w:type="dxa" w:w="2160"/>
          </w:tcPr>
          <w:p>
            <w:r>
              <w:t>2025-05</w:t>
            </w:r>
          </w:p>
        </w:tc>
        <w:tc>
          <w:tcPr>
            <w:tcW w:type="dxa" w:w="2160"/>
          </w:tcPr>
          <w:p>
            <w:r>
              <w:t>84.901065</w:t>
            </w:r>
          </w:p>
        </w:tc>
        <w:tc>
          <w:tcPr>
            <w:tcW w:type="dxa" w:w="2160"/>
          </w:tcPr>
          <w:p>
            <w:r>
              <w:t>0.009391</w:t>
            </w:r>
          </w:p>
        </w:tc>
        <w:tc>
          <w:tcPr>
            <w:tcW w:type="dxa" w:w="2160"/>
          </w:tcPr>
          <w:p>
            <w:r>
              <w:t>0.011154</w:t>
            </w:r>
          </w:p>
        </w:tc>
      </w:tr>
      <w:tr>
        <w:tc>
          <w:tcPr>
            <w:tcW w:type="dxa" w:w="2160"/>
          </w:tcPr>
          <w:p>
            <w:r>
              <w:t>2025-06</w:t>
            </w:r>
          </w:p>
        </w:tc>
        <w:tc>
          <w:tcPr>
            <w:tcW w:type="dxa" w:w="2160"/>
          </w:tcPr>
          <w:p>
            <w:r>
              <w:t>85.114233</w:t>
            </w:r>
          </w:p>
        </w:tc>
        <w:tc>
          <w:tcPr>
            <w:tcW w:type="dxa" w:w="2160"/>
          </w:tcPr>
          <w:p>
            <w:r>
              <w:t>0.009379</w:t>
            </w:r>
          </w:p>
        </w:tc>
        <w:tc>
          <w:tcPr>
            <w:tcW w:type="dxa" w:w="2160"/>
          </w:tcPr>
          <w:p>
            <w:r>
              <w:t>0.01116</w:t>
            </w:r>
          </w:p>
        </w:tc>
      </w:tr>
      <w:tr>
        <w:tc>
          <w:tcPr>
            <w:tcW w:type="dxa" w:w="2160"/>
          </w:tcPr>
          <w:p>
            <w:r>
              <w:t>2025-07</w:t>
            </w:r>
          </w:p>
        </w:tc>
        <w:tc>
          <w:tcPr>
            <w:tcW w:type="dxa" w:w="2160"/>
          </w:tcPr>
          <w:p>
            <w:r>
              <w:t>85.32829</w:t>
            </w:r>
          </w:p>
        </w:tc>
        <w:tc>
          <w:tcPr>
            <w:tcW w:type="dxa" w:w="2160"/>
          </w:tcPr>
          <w:p>
            <w:r>
              <w:t>0.009367</w:t>
            </w:r>
          </w:p>
        </w:tc>
        <w:tc>
          <w:tcPr>
            <w:tcW w:type="dxa" w:w="2160"/>
          </w:tcPr>
          <w:p>
            <w:r>
              <w:t>0.011167</w:t>
            </w:r>
          </w:p>
        </w:tc>
      </w:tr>
      <w:tr>
        <w:tc>
          <w:tcPr>
            <w:tcW w:type="dxa" w:w="2160"/>
          </w:tcPr>
          <w:p>
            <w:r>
              <w:t>2025-08</w:t>
            </w:r>
          </w:p>
        </w:tc>
        <w:tc>
          <w:tcPr>
            <w:tcW w:type="dxa" w:w="2160"/>
          </w:tcPr>
          <w:p>
            <w:r>
              <w:t>85.544613</w:t>
            </w:r>
          </w:p>
        </w:tc>
        <w:tc>
          <w:tcPr>
            <w:tcW w:type="dxa" w:w="2160"/>
          </w:tcPr>
          <w:p>
            <w:r>
              <w:t>0.009355</w:t>
            </w:r>
          </w:p>
        </w:tc>
        <w:tc>
          <w:tcPr>
            <w:tcW w:type="dxa" w:w="2160"/>
          </w:tcPr>
          <w:p>
            <w:r>
              <w:t>0.011173</w:t>
            </w:r>
          </w:p>
        </w:tc>
      </w:tr>
      <w:tr>
        <w:tc>
          <w:tcPr>
            <w:tcW w:type="dxa" w:w="2160"/>
          </w:tcPr>
          <w:p>
            <w:r>
              <w:t>2025-09</w:t>
            </w:r>
          </w:p>
        </w:tc>
        <w:tc>
          <w:tcPr>
            <w:tcW w:type="dxa" w:w="2160"/>
          </w:tcPr>
          <w:p>
            <w:r>
              <w:t>85.7587</w:t>
            </w:r>
          </w:p>
        </w:tc>
        <w:tc>
          <w:tcPr>
            <w:tcW w:type="dxa" w:w="2160"/>
          </w:tcPr>
          <w:p>
            <w:r>
              <w:t>0.009342</w:t>
            </w:r>
          </w:p>
        </w:tc>
        <w:tc>
          <w:tcPr>
            <w:tcW w:type="dxa" w:w="2160"/>
          </w:tcPr>
          <w:p>
            <w:r>
              <w:t>0.011179</w:t>
            </w:r>
          </w:p>
        </w:tc>
      </w:tr>
      <w:tr>
        <w:tc>
          <w:tcPr>
            <w:tcW w:type="dxa" w:w="2160"/>
          </w:tcPr>
          <w:p>
            <w:r>
              <w:t>2025-10</w:t>
            </w:r>
          </w:p>
        </w:tc>
        <w:tc>
          <w:tcPr>
            <w:tcW w:type="dxa" w:w="2160"/>
          </w:tcPr>
          <w:p>
            <w:r>
              <w:t>85.97229</w:t>
            </w:r>
          </w:p>
        </w:tc>
        <w:tc>
          <w:tcPr>
            <w:tcW w:type="dxa" w:w="2160"/>
          </w:tcPr>
          <w:p>
            <w:r>
              <w:t>0.00933</w:t>
            </w:r>
          </w:p>
        </w:tc>
        <w:tc>
          <w:tcPr>
            <w:tcW w:type="dxa" w:w="2160"/>
          </w:tcPr>
          <w:p>
            <w:r>
              <w:t>0.011185</w:t>
            </w:r>
          </w:p>
        </w:tc>
      </w:tr>
      <w:tr>
        <w:tc>
          <w:tcPr>
            <w:tcW w:type="dxa" w:w="2160"/>
          </w:tcPr>
          <w:p>
            <w:r>
              <w:t>2025-11</w:t>
            </w:r>
          </w:p>
        </w:tc>
        <w:tc>
          <w:tcPr>
            <w:tcW w:type="dxa" w:w="2160"/>
          </w:tcPr>
          <w:p>
            <w:r>
              <w:t>86.185</w:t>
            </w:r>
          </w:p>
        </w:tc>
        <w:tc>
          <w:tcPr>
            <w:tcW w:type="dxa" w:w="2160"/>
          </w:tcPr>
          <w:p>
            <w:r>
              <w:t>0.009318</w:t>
            </w:r>
          </w:p>
        </w:tc>
        <w:tc>
          <w:tcPr>
            <w:tcW w:type="dxa" w:w="2160"/>
          </w:tcPr>
          <w:p>
            <w:r>
              <w:t>0.011191</w:t>
            </w:r>
          </w:p>
        </w:tc>
      </w:tr>
      <w:tr>
        <w:tc>
          <w:tcPr>
            <w:tcW w:type="dxa" w:w="2160"/>
          </w:tcPr>
          <w:p>
            <w:r>
              <w:t>2025-12</w:t>
            </w:r>
          </w:p>
        </w:tc>
        <w:tc>
          <w:tcPr>
            <w:tcW w:type="dxa" w:w="2160"/>
          </w:tcPr>
          <w:p>
            <w:r>
              <w:t>86.39929</w:t>
            </w:r>
          </w:p>
        </w:tc>
        <w:tc>
          <w:tcPr>
            <w:tcW w:type="dxa" w:w="2160"/>
          </w:tcPr>
          <w:p>
            <w:r>
              <w:t>0.009306</w:t>
            </w:r>
          </w:p>
        </w:tc>
        <w:tc>
          <w:tcPr>
            <w:tcW w:type="dxa" w:w="2160"/>
          </w:tcPr>
          <w:p>
            <w:r>
              <w:t>0.011197</w:t>
            </w:r>
          </w:p>
        </w:tc>
      </w:tr>
      <w:tr>
        <w:tc>
          <w:tcPr>
            <w:tcW w:type="dxa" w:w="2160"/>
          </w:tcPr>
          <w:p>
            <w:r>
              <w:t>2026-01</w:t>
            </w:r>
          </w:p>
        </w:tc>
        <w:tc>
          <w:tcPr>
            <w:tcW w:type="dxa" w:w="2160"/>
          </w:tcPr>
          <w:p>
            <w:r>
              <w:t>86.616065</w:t>
            </w:r>
          </w:p>
        </w:tc>
        <w:tc>
          <w:tcPr>
            <w:tcW w:type="dxa" w:w="2160"/>
          </w:tcPr>
          <w:p>
            <w:r>
              <w:t>0.009293</w:t>
            </w:r>
          </w:p>
        </w:tc>
        <w:tc>
          <w:tcPr>
            <w:tcW w:type="dxa" w:w="2160"/>
          </w:tcPr>
          <w:p>
            <w:r>
              <w:t>0.011203</w:t>
            </w:r>
          </w:p>
        </w:tc>
      </w:tr>
      <w:tr>
        <w:tc>
          <w:tcPr>
            <w:tcW w:type="dxa" w:w="2160"/>
          </w:tcPr>
          <w:p>
            <w:r>
              <w:t>2026-02</w:t>
            </w:r>
          </w:p>
        </w:tc>
        <w:tc>
          <w:tcPr>
            <w:tcW w:type="dxa" w:w="2160"/>
          </w:tcPr>
          <w:p>
            <w:r>
              <w:t>86.8225</w:t>
            </w:r>
          </w:p>
        </w:tc>
        <w:tc>
          <w:tcPr>
            <w:tcW w:type="dxa" w:w="2160"/>
          </w:tcPr>
          <w:p>
            <w:r>
              <w:t>0.009282</w:t>
            </w:r>
          </w:p>
        </w:tc>
        <w:tc>
          <w:tcPr>
            <w:tcW w:type="dxa" w:w="2160"/>
          </w:tcPr>
          <w:p>
            <w:r>
              <w:t>0.011209</w:t>
            </w:r>
          </w:p>
        </w:tc>
      </w:tr>
      <w:tr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87.028839</w:t>
            </w:r>
          </w:p>
        </w:tc>
        <w:tc>
          <w:tcPr>
            <w:tcW w:type="dxa" w:w="2160"/>
          </w:tcPr>
          <w:p>
            <w:r>
              <w:t>0.00927</w:t>
            </w:r>
          </w:p>
        </w:tc>
        <w:tc>
          <w:tcPr>
            <w:tcW w:type="dxa" w:w="2160"/>
          </w:tcPr>
          <w:p>
            <w:r>
              <w:t>0.011215</w:t>
            </w:r>
          </w:p>
        </w:tc>
      </w:tr>
      <w:tr>
        <w:tc>
          <w:tcPr>
            <w:tcW w:type="dxa" w:w="2160"/>
          </w:tcPr>
          <w:p>
            <w:r>
              <w:t>2026-04</w:t>
            </w:r>
          </w:p>
        </w:tc>
        <w:tc>
          <w:tcPr>
            <w:tcW w:type="dxa" w:w="2160"/>
          </w:tcPr>
          <w:p>
            <w:r>
              <w:t>87.2427</w:t>
            </w:r>
          </w:p>
        </w:tc>
        <w:tc>
          <w:tcPr>
            <w:tcW w:type="dxa" w:w="2160"/>
          </w:tcPr>
          <w:p>
            <w:r>
              <w:t>0.009258</w:t>
            </w:r>
          </w:p>
        </w:tc>
        <w:tc>
          <w:tcPr>
            <w:tcW w:type="dxa" w:w="2160"/>
          </w:tcPr>
          <w:p>
            <w:r>
              <w:t>0.011221</w:t>
            </w:r>
          </w:p>
        </w:tc>
      </w:tr>
      <w:tr>
        <w:tc>
          <w:tcPr>
            <w:tcW w:type="dxa" w:w="2160"/>
          </w:tcPr>
          <w:p>
            <w:r>
              <w:t>2026-05</w:t>
            </w:r>
          </w:p>
        </w:tc>
        <w:tc>
          <w:tcPr>
            <w:tcW w:type="dxa" w:w="2160"/>
          </w:tcPr>
          <w:p>
            <w:r>
              <w:t>87.455613</w:t>
            </w:r>
          </w:p>
        </w:tc>
        <w:tc>
          <w:tcPr>
            <w:tcW w:type="dxa" w:w="2160"/>
          </w:tcPr>
          <w:p>
            <w:r>
              <w:t>0.009245</w:t>
            </w:r>
          </w:p>
        </w:tc>
        <w:tc>
          <w:tcPr>
            <w:tcW w:type="dxa" w:w="2160"/>
          </w:tcPr>
          <w:p>
            <w:r>
              <w:t>0.011227</w:t>
            </w:r>
          </w:p>
        </w:tc>
      </w:tr>
      <w:tr>
        <w:tc>
          <w:tcPr>
            <w:tcW w:type="dxa" w:w="2160"/>
          </w:tcPr>
          <w:p>
            <w:r>
              <w:t>2026-06</w:t>
            </w:r>
          </w:p>
        </w:tc>
        <w:tc>
          <w:tcPr>
            <w:tcW w:type="dxa" w:w="2160"/>
          </w:tcPr>
          <w:p>
            <w:r>
              <w:t>87.6697</w:t>
            </w:r>
          </w:p>
        </w:tc>
        <w:tc>
          <w:tcPr>
            <w:tcW w:type="dxa" w:w="2160"/>
          </w:tcPr>
          <w:p>
            <w:r>
              <w:t>0.009233</w:t>
            </w:r>
          </w:p>
        </w:tc>
        <w:tc>
          <w:tcPr>
            <w:tcW w:type="dxa" w:w="2160"/>
          </w:tcPr>
          <w:p>
            <w:r>
              <w:t>0.011233</w:t>
            </w:r>
          </w:p>
        </w:tc>
      </w:tr>
      <w:tr>
        <w:tc>
          <w:tcPr>
            <w:tcW w:type="dxa" w:w="2160"/>
          </w:tcPr>
          <w:p>
            <w:r>
              <w:t>2026-07</w:t>
            </w:r>
          </w:p>
        </w:tc>
        <w:tc>
          <w:tcPr>
            <w:tcW w:type="dxa" w:w="2160"/>
          </w:tcPr>
          <w:p>
            <w:r>
              <w:t>87.88329</w:t>
            </w:r>
          </w:p>
        </w:tc>
        <w:tc>
          <w:tcPr>
            <w:tcW w:type="dxa" w:w="2160"/>
          </w:tcPr>
          <w:p>
            <w:r>
              <w:t>0.009221</w:t>
            </w:r>
          </w:p>
        </w:tc>
        <w:tc>
          <w:tcPr>
            <w:tcW w:type="dxa" w:w="2160"/>
          </w:tcPr>
          <w:p>
            <w:r>
              <w:t>0.01124</w:t>
            </w:r>
          </w:p>
        </w:tc>
      </w:tr>
      <w:tr>
        <w:tc>
          <w:tcPr>
            <w:tcW w:type="dxa" w:w="2160"/>
          </w:tcPr>
          <w:p>
            <w:r>
              <w:t>2026-08</w:t>
            </w:r>
          </w:p>
        </w:tc>
        <w:tc>
          <w:tcPr>
            <w:tcW w:type="dxa" w:w="2160"/>
          </w:tcPr>
          <w:p>
            <w:r>
              <w:t>88.050294</w:t>
            </w:r>
          </w:p>
        </w:tc>
        <w:tc>
          <w:tcPr>
            <w:tcW w:type="dxa" w:w="2160"/>
          </w:tcPr>
          <w:p>
            <w:r>
              <w:t>0.009211</w:t>
            </w:r>
          </w:p>
        </w:tc>
        <w:tc>
          <w:tcPr>
            <w:tcW w:type="dxa" w:w="2160"/>
          </w:tcPr>
          <w:p>
            <w:r>
              <w:t>0.011244</w:t>
            </w:r>
          </w:p>
        </w:tc>
      </w:tr>
    </w:tbl>
    <w:p>
      <w:pPr>
        <w:pStyle w:val="Heading1"/>
      </w:pPr>
      <w:r>
        <w:t>Method and limits</w:t>
      </w:r>
    </w:p>
    <w:p>
      <w:pPr>
        <w:pStyle w:val="ListBullet"/>
      </w:pPr>
      <w:r>
        <w:t>Source: European Central Bank via Frankfurter (api.frankfurter.dev).</w:t>
      </w:r>
    </w:p>
    <w:p>
      <w:pPr>
        <w:pStyle w:val="ListBullet"/>
      </w:pPr>
      <w:r>
        <w:t>ECB reference rates via Frankfurter. Non-EUR pairs are crosses computed through EUR, suitable for trend analysis, not for pricing a transaction.</w:t>
      </w:r>
    </w:p>
    <w:p>
      <w:pPr>
        <w:pStyle w:val="ListBullet"/>
      </w:pPr>
      <w:r>
        <w:t>The window holds 521 published business days across 729 calendar days. The 208 non-publishing days carry the previous rate forward so the horizontal axis stays a real calendar.</w:t>
      </w:r>
    </w:p>
    <w:p>
      <w:pPr>
        <w:pStyle w:val="ListBullet"/>
      </w:pPr>
      <w:r>
        <w:t>The trend is ordinary least squares on rate against date. It describes the window it was fitted to and is not a forecast.</w:t>
      </w:r>
    </w:p>
    <w:p>
      <w:pPr>
        <w:pStyle w:val="ListBullet"/>
      </w:pPr>
      <w:r>
        <w:t>Where pairs are compared, charts plot an index set to 100 at the series start, because the underlying rates differ by orders of magnitude and would not share an axis.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