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7F458" w14:textId="68F505A3" w:rsidR="007A76B2" w:rsidRPr="00246BA0" w:rsidRDefault="007A76B2" w:rsidP="007A76B2">
      <w:pPr>
        <w:pStyle w:val="Heading1"/>
        <w:jc w:val="center"/>
        <w:rPr>
          <w:b/>
          <w:bCs/>
          <w:sz w:val="36"/>
          <w:szCs w:val="36"/>
        </w:rPr>
      </w:pPr>
      <w:r w:rsidRPr="00246BA0">
        <w:rPr>
          <w:b/>
          <w:bCs/>
          <w:sz w:val="36"/>
          <w:szCs w:val="36"/>
        </w:rPr>
        <w:t>COMPLIANCE AND REGULATORY AFFAIRS IN BANKING OPERATIONS</w:t>
      </w:r>
    </w:p>
    <w:p w14:paraId="220F4C5B" w14:textId="77777777" w:rsidR="007A76B2" w:rsidRPr="007A76B2" w:rsidRDefault="007A76B2" w:rsidP="007A76B2">
      <w:pPr>
        <w:spacing w:after="0"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pict w14:anchorId="0C2C8455">
          <v:rect id="_x0000_i1025" style="width:0;height:1.5pt" o:hralign="center" o:hrstd="t" o:hr="t" fillcolor="#a0a0a0" stroked="f"/>
        </w:pict>
      </w:r>
    </w:p>
    <w:p w14:paraId="198F83B4" w14:textId="7BF11E0D" w:rsidR="007A76B2" w:rsidRPr="007A76B2" w:rsidRDefault="007A76B2" w:rsidP="00246BA0">
      <w:pPr>
        <w:pStyle w:val="Heading1"/>
        <w:rPr>
          <w:rFonts w:eastAsia="Times New Roman"/>
          <w:lang w:eastAsia="en-IN"/>
        </w:rPr>
      </w:pPr>
      <w:r w:rsidRPr="007A76B2">
        <w:rPr>
          <w:rFonts w:eastAsia="Times New Roman"/>
          <w:lang w:eastAsia="en-IN"/>
        </w:rPr>
        <w:t>Introduction</w:t>
      </w:r>
    </w:p>
    <w:p w14:paraId="31BC4BA9"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Compliance</w:t>
      </w:r>
      <w:r w:rsidRPr="007A76B2">
        <w:rPr>
          <w:rFonts w:eastAsia="Times New Roman" w:cs="Times New Roman"/>
          <w:kern w:val="0"/>
          <w:sz w:val="24"/>
          <w:szCs w:val="24"/>
          <w:lang w:eastAsia="en-IN"/>
          <w14:ligatures w14:val="none"/>
        </w:rPr>
        <w:t xml:space="preserve"> in banking refers to the adherence to laws, regulations, guidelines, and specifications relevant to the business. It ensures that banks operate within the legal frameworks established by regulatory bodies, maintain the integrity of financial systems, and protect consumers.</w:t>
      </w:r>
    </w:p>
    <w:p w14:paraId="1FAF5FDF"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Regulatory affairs</w:t>
      </w:r>
      <w:r w:rsidRPr="007A76B2">
        <w:rPr>
          <w:rFonts w:eastAsia="Times New Roman" w:cs="Times New Roman"/>
          <w:kern w:val="0"/>
          <w:sz w:val="24"/>
          <w:szCs w:val="24"/>
          <w:lang w:eastAsia="en-IN"/>
          <w14:ligatures w14:val="none"/>
        </w:rPr>
        <w:t xml:space="preserve"> involve managing the bank's relationship with regulatory authorities, ensuring compliance with existing regulations, staying informed about regulatory changes, and advocating for the bank's interests in the regulatory process.</w:t>
      </w:r>
    </w:p>
    <w:p w14:paraId="25FDC0CF"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Both compliance and regulatory affairs are crucial for preventing financial crimes, protecting customer interests, and maintaining the stability and reputation of the banking sector.</w:t>
      </w:r>
    </w:p>
    <w:p w14:paraId="12DA9407" w14:textId="64390E94" w:rsidR="007A76B2" w:rsidRPr="007A76B2" w:rsidRDefault="007A76B2" w:rsidP="007A76B2">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7A76B2">
        <w:rPr>
          <w:rFonts w:eastAsia="Times New Roman" w:cs="Times New Roman"/>
          <w:b/>
          <w:bCs/>
          <w:kern w:val="0"/>
          <w:sz w:val="24"/>
          <w:szCs w:val="24"/>
          <w:lang w:eastAsia="en-IN"/>
          <w14:ligatures w14:val="none"/>
        </w:rPr>
        <w:t>Regulatory Framework</w:t>
      </w:r>
    </w:p>
    <w:p w14:paraId="666D8750"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Key Regulations Governing Banking Operations:</w:t>
      </w:r>
    </w:p>
    <w:p w14:paraId="12ECFFCD" w14:textId="77777777" w:rsidR="007A76B2" w:rsidRPr="007A76B2" w:rsidRDefault="007A76B2" w:rsidP="007A76B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Anti-Money Laundering (AML)</w:t>
      </w:r>
      <w:r w:rsidRPr="007A76B2">
        <w:rPr>
          <w:rFonts w:eastAsia="Times New Roman" w:cs="Times New Roman"/>
          <w:kern w:val="0"/>
          <w:sz w:val="24"/>
          <w:szCs w:val="24"/>
          <w:lang w:eastAsia="en-IN"/>
          <w14:ligatures w14:val="none"/>
        </w:rPr>
        <w:t>:</w:t>
      </w:r>
    </w:p>
    <w:p w14:paraId="291E18FE"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Aim: Prevent money laundering and terrorist financing.</w:t>
      </w:r>
    </w:p>
    <w:p w14:paraId="02B180A0"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Key Requirements: Customer due diligence, monitoring transactions, reporting suspicious activities.</w:t>
      </w:r>
    </w:p>
    <w:p w14:paraId="6EA01E03"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The Bank Secrecy Act (BSA) in the U.S.</w:t>
      </w:r>
    </w:p>
    <w:p w14:paraId="0FAC5986" w14:textId="77777777" w:rsidR="007A76B2" w:rsidRPr="007A76B2" w:rsidRDefault="007A76B2" w:rsidP="007A76B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Know Your Customer (KYC)</w:t>
      </w:r>
      <w:r w:rsidRPr="007A76B2">
        <w:rPr>
          <w:rFonts w:eastAsia="Times New Roman" w:cs="Times New Roman"/>
          <w:kern w:val="0"/>
          <w:sz w:val="24"/>
          <w:szCs w:val="24"/>
          <w:lang w:eastAsia="en-IN"/>
          <w14:ligatures w14:val="none"/>
        </w:rPr>
        <w:t>:</w:t>
      </w:r>
    </w:p>
    <w:p w14:paraId="61F31A9B"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Aim: Verify the identity of clients to prevent fraud and illicit activities.</w:t>
      </w:r>
    </w:p>
    <w:p w14:paraId="46509D9A"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Key Requirements: Collecting and verifying customer information, ongoing monitoring.</w:t>
      </w:r>
    </w:p>
    <w:p w14:paraId="1DBAE900"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Customer Identification Program (CIP) requirements.</w:t>
      </w:r>
    </w:p>
    <w:p w14:paraId="2689667D" w14:textId="77777777" w:rsidR="007A76B2" w:rsidRPr="007A76B2" w:rsidRDefault="007A76B2" w:rsidP="007A76B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Data Protection</w:t>
      </w:r>
      <w:r w:rsidRPr="007A76B2">
        <w:rPr>
          <w:rFonts w:eastAsia="Times New Roman" w:cs="Times New Roman"/>
          <w:kern w:val="0"/>
          <w:sz w:val="24"/>
          <w:szCs w:val="24"/>
          <w:lang w:eastAsia="en-IN"/>
          <w14:ligatures w14:val="none"/>
        </w:rPr>
        <w:t>:</w:t>
      </w:r>
    </w:p>
    <w:p w14:paraId="002D99D0"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Aim: Ensure customer data privacy and security.</w:t>
      </w:r>
    </w:p>
    <w:p w14:paraId="70727037"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Key Requirements: Secure handling of personal data, consent for data processing, rights of data subjects.</w:t>
      </w:r>
    </w:p>
    <w:p w14:paraId="7147DBE6"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General Data Protection Regulation (GDPR) in the EU.</w:t>
      </w:r>
    </w:p>
    <w:p w14:paraId="6CCC00C3" w14:textId="77777777" w:rsidR="007A76B2" w:rsidRPr="007A76B2" w:rsidRDefault="007A76B2" w:rsidP="007A76B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Capital Requirements</w:t>
      </w:r>
      <w:r w:rsidRPr="007A76B2">
        <w:rPr>
          <w:rFonts w:eastAsia="Times New Roman" w:cs="Times New Roman"/>
          <w:kern w:val="0"/>
          <w:sz w:val="24"/>
          <w:szCs w:val="24"/>
          <w:lang w:eastAsia="en-IN"/>
          <w14:ligatures w14:val="none"/>
        </w:rPr>
        <w:t>:</w:t>
      </w:r>
    </w:p>
    <w:p w14:paraId="69461C91"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Aim: Ensure banks maintain adequate capital reserves to cover risks.</w:t>
      </w:r>
    </w:p>
    <w:p w14:paraId="41C2DDE3"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Key Requirements: Minimum capital ratios, risk-weighted assets calculation.</w:t>
      </w:r>
    </w:p>
    <w:p w14:paraId="0A03F601" w14:textId="57634003"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Basel III framework.</w:t>
      </w:r>
    </w:p>
    <w:p w14:paraId="522D4DA7" w14:textId="1EAA657C" w:rsidR="007A76B2" w:rsidRPr="007A76B2" w:rsidRDefault="007A76B2" w:rsidP="007A76B2">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Consumer Protection</w:t>
      </w:r>
      <w:r w:rsidRPr="007A76B2">
        <w:rPr>
          <w:rFonts w:eastAsia="Times New Roman" w:cs="Times New Roman"/>
          <w:kern w:val="0"/>
          <w:sz w:val="24"/>
          <w:szCs w:val="24"/>
          <w:lang w:eastAsia="en-IN"/>
          <w14:ligatures w14:val="none"/>
        </w:rPr>
        <w:t>:</w:t>
      </w:r>
    </w:p>
    <w:p w14:paraId="2F08EDBD"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lastRenderedPageBreak/>
        <w:t>Aim: Protect consumer rights and ensure fair treatment.</w:t>
      </w:r>
    </w:p>
    <w:p w14:paraId="04953EFC"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Key Requirements: Transparent disclosures, fair lending practices, complaint resolution.</w:t>
      </w:r>
    </w:p>
    <w:p w14:paraId="6C9DFC6C" w14:textId="77777777" w:rsidR="007A76B2" w:rsidRPr="007A76B2" w:rsidRDefault="007A76B2" w:rsidP="007A76B2">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Dodd-Frank Act in the U.S.</w:t>
      </w:r>
    </w:p>
    <w:p w14:paraId="03E9A1E4"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Major Regulatory Bodies:</w:t>
      </w:r>
    </w:p>
    <w:p w14:paraId="34F4559C" w14:textId="77777777" w:rsidR="007A76B2" w:rsidRPr="007A76B2" w:rsidRDefault="007A76B2" w:rsidP="007A76B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Federal Reserve (Fed)</w:t>
      </w:r>
      <w:r w:rsidRPr="007A76B2">
        <w:rPr>
          <w:rFonts w:eastAsia="Times New Roman" w:cs="Times New Roman"/>
          <w:kern w:val="0"/>
          <w:sz w:val="24"/>
          <w:szCs w:val="24"/>
          <w:lang w:eastAsia="en-IN"/>
          <w14:ligatures w14:val="none"/>
        </w:rPr>
        <w:t>:</w:t>
      </w:r>
    </w:p>
    <w:p w14:paraId="1C851AD7" w14:textId="77777777" w:rsidR="007A76B2" w:rsidRPr="007A76B2" w:rsidRDefault="007A76B2" w:rsidP="007A76B2">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Role: Oversees the U.S. banking system, implements monetary policy, ensures financial stability.</w:t>
      </w:r>
    </w:p>
    <w:p w14:paraId="3963636D" w14:textId="77777777" w:rsidR="007A76B2" w:rsidRPr="007A76B2" w:rsidRDefault="007A76B2" w:rsidP="007A76B2">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Key Functions: Supervising and regulating banks, providing financial services, conducting national monetary policy.</w:t>
      </w:r>
    </w:p>
    <w:p w14:paraId="34EA24B7" w14:textId="77777777" w:rsidR="007A76B2" w:rsidRPr="007A76B2" w:rsidRDefault="007A76B2" w:rsidP="007A76B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Office of the Comptroller of the Currency (OCC)</w:t>
      </w:r>
      <w:r w:rsidRPr="007A76B2">
        <w:rPr>
          <w:rFonts w:eastAsia="Times New Roman" w:cs="Times New Roman"/>
          <w:kern w:val="0"/>
          <w:sz w:val="24"/>
          <w:szCs w:val="24"/>
          <w:lang w:eastAsia="en-IN"/>
          <w14:ligatures w14:val="none"/>
        </w:rPr>
        <w:t>:</w:t>
      </w:r>
    </w:p>
    <w:p w14:paraId="158F4B56" w14:textId="77777777" w:rsidR="007A76B2" w:rsidRPr="007A76B2" w:rsidRDefault="007A76B2" w:rsidP="007A76B2">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Role: Regulates and supervises national banks and federal savings associations.</w:t>
      </w:r>
    </w:p>
    <w:p w14:paraId="3549E754" w14:textId="77777777" w:rsidR="007A76B2" w:rsidRPr="007A76B2" w:rsidRDefault="007A76B2" w:rsidP="007A76B2">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Key Functions: Ensuring safe and sound banking practices, compliance with laws, fair access to financial services.</w:t>
      </w:r>
    </w:p>
    <w:p w14:paraId="6F3C471F" w14:textId="77777777" w:rsidR="007A76B2" w:rsidRPr="007A76B2" w:rsidRDefault="007A76B2" w:rsidP="007A76B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Financial Conduct Authority (FCA)</w:t>
      </w:r>
      <w:r w:rsidRPr="007A76B2">
        <w:rPr>
          <w:rFonts w:eastAsia="Times New Roman" w:cs="Times New Roman"/>
          <w:kern w:val="0"/>
          <w:sz w:val="24"/>
          <w:szCs w:val="24"/>
          <w:lang w:eastAsia="en-IN"/>
          <w14:ligatures w14:val="none"/>
        </w:rPr>
        <w:t>:</w:t>
      </w:r>
    </w:p>
    <w:p w14:paraId="768166A5" w14:textId="77777777" w:rsidR="007A76B2" w:rsidRPr="007A76B2" w:rsidRDefault="007A76B2" w:rsidP="007A76B2">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Role: Regulates financial services firms in the UK to ensure market integrity.</w:t>
      </w:r>
    </w:p>
    <w:p w14:paraId="5D4BC7D8" w14:textId="77777777" w:rsidR="007A76B2" w:rsidRPr="007A76B2" w:rsidRDefault="007A76B2" w:rsidP="007A76B2">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Key Functions: Protecting consumers, enhancing market integrity, promoting competition.</w:t>
      </w:r>
    </w:p>
    <w:p w14:paraId="3F3E85B5" w14:textId="77777777" w:rsidR="007A76B2" w:rsidRPr="007A76B2" w:rsidRDefault="007A76B2" w:rsidP="007A76B2">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European Central Bank (ECB)</w:t>
      </w:r>
      <w:r w:rsidRPr="007A76B2">
        <w:rPr>
          <w:rFonts w:eastAsia="Times New Roman" w:cs="Times New Roman"/>
          <w:kern w:val="0"/>
          <w:sz w:val="24"/>
          <w:szCs w:val="24"/>
          <w:lang w:eastAsia="en-IN"/>
          <w14:ligatures w14:val="none"/>
        </w:rPr>
        <w:t>:</w:t>
      </w:r>
    </w:p>
    <w:p w14:paraId="5C9C3B3B" w14:textId="77777777" w:rsidR="007A76B2" w:rsidRPr="007A76B2" w:rsidRDefault="007A76B2" w:rsidP="007A76B2">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Role: Manages monetary policy and supervises banks within the Eurozone.</w:t>
      </w:r>
    </w:p>
    <w:p w14:paraId="70993566" w14:textId="77777777" w:rsidR="007A76B2" w:rsidRPr="007A76B2" w:rsidRDefault="007A76B2" w:rsidP="007A76B2">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Key Functions: Ensuring price stability, supervising significant banks, conducting economic research.</w:t>
      </w:r>
    </w:p>
    <w:p w14:paraId="40A28AA2" w14:textId="1D6B191C" w:rsidR="007A76B2" w:rsidRPr="007A76B2" w:rsidRDefault="007A76B2" w:rsidP="007A76B2">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7A76B2">
        <w:rPr>
          <w:rFonts w:eastAsia="Times New Roman" w:cs="Times New Roman"/>
          <w:b/>
          <w:bCs/>
          <w:kern w:val="0"/>
          <w:sz w:val="24"/>
          <w:szCs w:val="24"/>
          <w:lang w:eastAsia="en-IN"/>
          <w14:ligatures w14:val="none"/>
        </w:rPr>
        <w:t>Compliance Programs</w:t>
      </w:r>
    </w:p>
    <w:p w14:paraId="36AD3701"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Components of an Effective Compliance Program:</w:t>
      </w:r>
    </w:p>
    <w:p w14:paraId="2E23E626" w14:textId="77777777" w:rsidR="007A76B2" w:rsidRPr="007A76B2" w:rsidRDefault="007A76B2" w:rsidP="007A76B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Policies and Procedures</w:t>
      </w:r>
      <w:r w:rsidRPr="007A76B2">
        <w:rPr>
          <w:rFonts w:eastAsia="Times New Roman" w:cs="Times New Roman"/>
          <w:kern w:val="0"/>
          <w:sz w:val="24"/>
          <w:szCs w:val="24"/>
          <w:lang w:eastAsia="en-IN"/>
          <w14:ligatures w14:val="none"/>
        </w:rPr>
        <w:t>:</w:t>
      </w:r>
    </w:p>
    <w:p w14:paraId="32410FE7" w14:textId="77777777" w:rsidR="007A76B2" w:rsidRPr="007A76B2" w:rsidRDefault="007A76B2" w:rsidP="007A76B2">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Development of comprehensive policies and procedures that reflect regulatory requirements.</w:t>
      </w:r>
    </w:p>
    <w:p w14:paraId="050BF16E" w14:textId="77777777" w:rsidR="007A76B2" w:rsidRPr="007A76B2" w:rsidRDefault="007A76B2" w:rsidP="007A76B2">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Regular updates to align with changing regulations.</w:t>
      </w:r>
    </w:p>
    <w:p w14:paraId="3639BAA4" w14:textId="77777777" w:rsidR="007A76B2" w:rsidRPr="007A76B2" w:rsidRDefault="007A76B2" w:rsidP="007A76B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Training and Education</w:t>
      </w:r>
      <w:r w:rsidRPr="007A76B2">
        <w:rPr>
          <w:rFonts w:eastAsia="Times New Roman" w:cs="Times New Roman"/>
          <w:kern w:val="0"/>
          <w:sz w:val="24"/>
          <w:szCs w:val="24"/>
          <w:lang w:eastAsia="en-IN"/>
          <w14:ligatures w14:val="none"/>
        </w:rPr>
        <w:t>:</w:t>
      </w:r>
    </w:p>
    <w:p w14:paraId="5FB9E976" w14:textId="77777777" w:rsidR="007A76B2" w:rsidRPr="007A76B2" w:rsidRDefault="007A76B2" w:rsidP="007A76B2">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Ongoing training programs for employees on compliance issues and ethical conduct.</w:t>
      </w:r>
    </w:p>
    <w:p w14:paraId="7A3E436F" w14:textId="77777777" w:rsidR="007A76B2" w:rsidRPr="007A76B2" w:rsidRDefault="007A76B2" w:rsidP="007A76B2">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Specialized training for high-risk areas such as AML and cybersecurity.</w:t>
      </w:r>
    </w:p>
    <w:p w14:paraId="41ADE4EC" w14:textId="77777777" w:rsidR="007A76B2" w:rsidRPr="007A76B2" w:rsidRDefault="007A76B2" w:rsidP="007A76B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Monitoring and Auditing</w:t>
      </w:r>
      <w:r w:rsidRPr="007A76B2">
        <w:rPr>
          <w:rFonts w:eastAsia="Times New Roman" w:cs="Times New Roman"/>
          <w:kern w:val="0"/>
          <w:sz w:val="24"/>
          <w:szCs w:val="24"/>
          <w:lang w:eastAsia="en-IN"/>
          <w14:ligatures w14:val="none"/>
        </w:rPr>
        <w:t>:</w:t>
      </w:r>
    </w:p>
    <w:p w14:paraId="47340548" w14:textId="77777777" w:rsidR="007A76B2" w:rsidRPr="007A76B2" w:rsidRDefault="007A76B2" w:rsidP="007A76B2">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Continuous monitoring of banking operations to identify and address compliance issues.</w:t>
      </w:r>
    </w:p>
    <w:p w14:paraId="31BB62F0" w14:textId="77777777" w:rsidR="007A76B2" w:rsidRPr="007A76B2" w:rsidRDefault="007A76B2" w:rsidP="007A76B2">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Regular internal audits to ensure adherence to policies and regulations.</w:t>
      </w:r>
    </w:p>
    <w:p w14:paraId="7CCF6B79" w14:textId="77777777" w:rsidR="007A76B2" w:rsidRPr="007A76B2" w:rsidRDefault="007A76B2" w:rsidP="007A76B2">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Reporting Mechanisms</w:t>
      </w:r>
      <w:r w:rsidRPr="007A76B2">
        <w:rPr>
          <w:rFonts w:eastAsia="Times New Roman" w:cs="Times New Roman"/>
          <w:kern w:val="0"/>
          <w:sz w:val="24"/>
          <w:szCs w:val="24"/>
          <w:lang w:eastAsia="en-IN"/>
          <w14:ligatures w14:val="none"/>
        </w:rPr>
        <w:t>:</w:t>
      </w:r>
    </w:p>
    <w:p w14:paraId="3C5AFC70" w14:textId="77777777" w:rsidR="007A76B2" w:rsidRPr="007A76B2" w:rsidRDefault="007A76B2" w:rsidP="007A76B2">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Establishing channels for employees to report compliance concerns anonymously.</w:t>
      </w:r>
    </w:p>
    <w:p w14:paraId="09933BB8" w14:textId="77777777" w:rsidR="007A76B2" w:rsidRPr="007A76B2" w:rsidRDefault="007A76B2" w:rsidP="007A76B2">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lastRenderedPageBreak/>
        <w:t>Ensuring timely reporting of compliance issues to regulatory authorities.</w:t>
      </w:r>
    </w:p>
    <w:p w14:paraId="7066ABF3"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Implementation and Monitoring:</w:t>
      </w:r>
    </w:p>
    <w:p w14:paraId="2DDF8CA1" w14:textId="77777777" w:rsidR="007A76B2" w:rsidRPr="007A76B2" w:rsidRDefault="007A76B2" w:rsidP="007A76B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Banks develop internal policies based on regulatory requirements, which are communicated to all employees.</w:t>
      </w:r>
    </w:p>
    <w:p w14:paraId="7422BFFF" w14:textId="77777777" w:rsidR="007A76B2" w:rsidRPr="007A76B2" w:rsidRDefault="007A76B2" w:rsidP="007A76B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Compliance teams perform regular risk assessments and compliance reviews.</w:t>
      </w:r>
    </w:p>
    <w:p w14:paraId="742C8CB9" w14:textId="77777777" w:rsidR="007A76B2" w:rsidRPr="007A76B2" w:rsidRDefault="007A76B2" w:rsidP="007A76B2">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Advanced technology, such as automated compliance software, is used to track and manage compliance tasks, identify suspicious activities, and generate compliance reports.</w:t>
      </w:r>
    </w:p>
    <w:p w14:paraId="6C1F9568"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Role of Technology:</w:t>
      </w:r>
    </w:p>
    <w:p w14:paraId="12B3AEE5" w14:textId="77777777" w:rsidR="007A76B2" w:rsidRPr="007A76B2" w:rsidRDefault="007A76B2" w:rsidP="007A76B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Automated Monitoring Systems</w:t>
      </w:r>
      <w:r w:rsidRPr="007A76B2">
        <w:rPr>
          <w:rFonts w:eastAsia="Times New Roman" w:cs="Times New Roman"/>
          <w:kern w:val="0"/>
          <w:sz w:val="24"/>
          <w:szCs w:val="24"/>
          <w:lang w:eastAsia="en-IN"/>
          <w14:ligatures w14:val="none"/>
        </w:rPr>
        <w:t>:</w:t>
      </w:r>
    </w:p>
    <w:p w14:paraId="12494144" w14:textId="77777777" w:rsidR="007A76B2" w:rsidRPr="007A76B2" w:rsidRDefault="007A76B2" w:rsidP="007A76B2">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Use of software to track transactions and flag suspicious activities in real-time.</w:t>
      </w:r>
    </w:p>
    <w:p w14:paraId="1F59786A" w14:textId="77777777" w:rsidR="007A76B2" w:rsidRPr="007A76B2" w:rsidRDefault="007A76B2" w:rsidP="007A76B2">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Transaction monitoring systems for AML compliance.</w:t>
      </w:r>
    </w:p>
    <w:p w14:paraId="466D4284" w14:textId="77777777" w:rsidR="007A76B2" w:rsidRPr="007A76B2" w:rsidRDefault="007A76B2" w:rsidP="007A76B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Data Analytics</w:t>
      </w:r>
      <w:r w:rsidRPr="007A76B2">
        <w:rPr>
          <w:rFonts w:eastAsia="Times New Roman" w:cs="Times New Roman"/>
          <w:kern w:val="0"/>
          <w:sz w:val="24"/>
          <w:szCs w:val="24"/>
          <w:lang w:eastAsia="en-IN"/>
          <w14:ligatures w14:val="none"/>
        </w:rPr>
        <w:t>:</w:t>
      </w:r>
    </w:p>
    <w:p w14:paraId="689D8AC8" w14:textId="77777777" w:rsidR="007A76B2" w:rsidRPr="007A76B2" w:rsidRDefault="007A76B2" w:rsidP="007A76B2">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7A76B2">
        <w:rPr>
          <w:rFonts w:eastAsia="Times New Roman" w:cs="Times New Roman"/>
          <w:kern w:val="0"/>
          <w:sz w:val="24"/>
          <w:szCs w:val="24"/>
          <w:lang w:eastAsia="en-IN"/>
          <w14:ligatures w14:val="none"/>
        </w:rPr>
        <w:t>Analyzing</w:t>
      </w:r>
      <w:proofErr w:type="spellEnd"/>
      <w:r w:rsidRPr="007A76B2">
        <w:rPr>
          <w:rFonts w:eastAsia="Times New Roman" w:cs="Times New Roman"/>
          <w:kern w:val="0"/>
          <w:sz w:val="24"/>
          <w:szCs w:val="24"/>
          <w:lang w:eastAsia="en-IN"/>
          <w14:ligatures w14:val="none"/>
        </w:rPr>
        <w:t xml:space="preserve"> customer data to detect patterns indicating potential compliance risks.</w:t>
      </w:r>
    </w:p>
    <w:p w14:paraId="7EE209C5" w14:textId="77777777" w:rsidR="007A76B2" w:rsidRPr="007A76B2" w:rsidRDefault="007A76B2" w:rsidP="007A76B2">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Predictive analytics to identify high-risk customers or transactions.</w:t>
      </w:r>
    </w:p>
    <w:p w14:paraId="409DD915" w14:textId="77777777" w:rsidR="007A76B2" w:rsidRPr="007A76B2" w:rsidRDefault="007A76B2" w:rsidP="007A76B2">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Regulatory Technology (</w:t>
      </w:r>
      <w:proofErr w:type="spellStart"/>
      <w:r w:rsidRPr="007A76B2">
        <w:rPr>
          <w:rFonts w:eastAsia="Times New Roman" w:cs="Times New Roman"/>
          <w:b/>
          <w:bCs/>
          <w:kern w:val="0"/>
          <w:sz w:val="24"/>
          <w:szCs w:val="24"/>
          <w:lang w:eastAsia="en-IN"/>
          <w14:ligatures w14:val="none"/>
        </w:rPr>
        <w:t>RegTech</w:t>
      </w:r>
      <w:proofErr w:type="spellEnd"/>
      <w:r w:rsidRPr="007A76B2">
        <w:rPr>
          <w:rFonts w:eastAsia="Times New Roman" w:cs="Times New Roman"/>
          <w:b/>
          <w:bCs/>
          <w:kern w:val="0"/>
          <w:sz w:val="24"/>
          <w:szCs w:val="24"/>
          <w:lang w:eastAsia="en-IN"/>
          <w14:ligatures w14:val="none"/>
        </w:rPr>
        <w:t>)</w:t>
      </w:r>
      <w:r w:rsidRPr="007A76B2">
        <w:rPr>
          <w:rFonts w:eastAsia="Times New Roman" w:cs="Times New Roman"/>
          <w:kern w:val="0"/>
          <w:sz w:val="24"/>
          <w:szCs w:val="24"/>
          <w:lang w:eastAsia="en-IN"/>
          <w14:ligatures w14:val="none"/>
        </w:rPr>
        <w:t>:</w:t>
      </w:r>
    </w:p>
    <w:p w14:paraId="029DC0B1" w14:textId="77777777" w:rsidR="007A76B2" w:rsidRPr="007A76B2" w:rsidRDefault="007A76B2" w:rsidP="007A76B2">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Tools to streamline compliance processes, reduce manual efforts, and improve accuracy.</w:t>
      </w:r>
    </w:p>
    <w:p w14:paraId="78F5F368" w14:textId="77777777" w:rsidR="007A76B2" w:rsidRPr="007A76B2" w:rsidRDefault="007A76B2" w:rsidP="007A76B2">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AI-driven tools for regulatory reporting and compliance management.</w:t>
      </w:r>
    </w:p>
    <w:p w14:paraId="0E87C3F7" w14:textId="7A9FEC4C" w:rsidR="007A76B2" w:rsidRPr="007A76B2" w:rsidRDefault="007A76B2" w:rsidP="007A76B2">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7A76B2">
        <w:rPr>
          <w:rFonts w:eastAsia="Times New Roman" w:cs="Times New Roman"/>
          <w:b/>
          <w:bCs/>
          <w:kern w:val="0"/>
          <w:sz w:val="24"/>
          <w:szCs w:val="24"/>
          <w:lang w:eastAsia="en-IN"/>
          <w14:ligatures w14:val="none"/>
        </w:rPr>
        <w:t>Case Study Analysis</w:t>
      </w:r>
    </w:p>
    <w:p w14:paraId="0975836C"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Case Study: Wells Fargo Unauthorized Accounts Scandal</w:t>
      </w:r>
    </w:p>
    <w:p w14:paraId="7C3F6B8C"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Overview:</w:t>
      </w:r>
    </w:p>
    <w:p w14:paraId="280DC53C" w14:textId="77777777" w:rsidR="007A76B2" w:rsidRPr="007A76B2" w:rsidRDefault="007A76B2" w:rsidP="007A76B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Bank</w:t>
      </w:r>
      <w:r w:rsidRPr="007A76B2">
        <w:rPr>
          <w:rFonts w:eastAsia="Times New Roman" w:cs="Times New Roman"/>
          <w:kern w:val="0"/>
          <w:sz w:val="24"/>
          <w:szCs w:val="24"/>
          <w:lang w:eastAsia="en-IN"/>
          <w14:ligatures w14:val="none"/>
        </w:rPr>
        <w:t>: Wells Fargo</w:t>
      </w:r>
    </w:p>
    <w:p w14:paraId="33544D83" w14:textId="77777777" w:rsidR="007A76B2" w:rsidRPr="007A76B2" w:rsidRDefault="007A76B2" w:rsidP="007A76B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Compliance Issue</w:t>
      </w:r>
      <w:r w:rsidRPr="007A76B2">
        <w:rPr>
          <w:rFonts w:eastAsia="Times New Roman" w:cs="Times New Roman"/>
          <w:kern w:val="0"/>
          <w:sz w:val="24"/>
          <w:szCs w:val="24"/>
          <w:lang w:eastAsia="en-IN"/>
          <w14:ligatures w14:val="none"/>
        </w:rPr>
        <w:t>: Employees created millions of unauthorized bank and credit card accounts to meet aggressive sales targets.</w:t>
      </w:r>
    </w:p>
    <w:p w14:paraId="442E75B4" w14:textId="77777777" w:rsidR="007A76B2" w:rsidRPr="007A76B2" w:rsidRDefault="007A76B2" w:rsidP="007A76B2">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Regulatory Response</w:t>
      </w:r>
      <w:r w:rsidRPr="007A76B2">
        <w:rPr>
          <w:rFonts w:eastAsia="Times New Roman" w:cs="Times New Roman"/>
          <w:kern w:val="0"/>
          <w:sz w:val="24"/>
          <w:szCs w:val="24"/>
          <w:lang w:eastAsia="en-IN"/>
          <w14:ligatures w14:val="none"/>
        </w:rPr>
        <w:t>: The Consumer Financial Protection Bureau (CFPB) fined Wells Fargo $185 million, and other regulatory bodies imposed additional penalties.</w:t>
      </w:r>
    </w:p>
    <w:p w14:paraId="45664F6F"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Root Causes:</w:t>
      </w:r>
    </w:p>
    <w:p w14:paraId="01023563" w14:textId="77777777" w:rsidR="007A76B2" w:rsidRPr="007A76B2" w:rsidRDefault="007A76B2" w:rsidP="007A76B2">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 xml:space="preserve">Aggressive sales culture incentivizing unethical </w:t>
      </w:r>
      <w:proofErr w:type="spellStart"/>
      <w:r w:rsidRPr="007A76B2">
        <w:rPr>
          <w:rFonts w:eastAsia="Times New Roman" w:cs="Times New Roman"/>
          <w:kern w:val="0"/>
          <w:sz w:val="24"/>
          <w:szCs w:val="24"/>
          <w:lang w:eastAsia="en-IN"/>
          <w14:ligatures w14:val="none"/>
        </w:rPr>
        <w:t>behavior</w:t>
      </w:r>
      <w:proofErr w:type="spellEnd"/>
      <w:r w:rsidRPr="007A76B2">
        <w:rPr>
          <w:rFonts w:eastAsia="Times New Roman" w:cs="Times New Roman"/>
          <w:kern w:val="0"/>
          <w:sz w:val="24"/>
          <w:szCs w:val="24"/>
          <w:lang w:eastAsia="en-IN"/>
          <w14:ligatures w14:val="none"/>
        </w:rPr>
        <w:t>.</w:t>
      </w:r>
    </w:p>
    <w:p w14:paraId="4CC6C532" w14:textId="77777777" w:rsidR="007A76B2" w:rsidRPr="007A76B2" w:rsidRDefault="007A76B2" w:rsidP="007A76B2">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Lack of adequate oversight and internal controls to detect and prevent misconduct.</w:t>
      </w:r>
    </w:p>
    <w:p w14:paraId="0087EBC8" w14:textId="77777777" w:rsidR="007A76B2" w:rsidRPr="007A76B2" w:rsidRDefault="007A76B2" w:rsidP="007A76B2">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Pressure on employees to meet unrealistic sales targets.</w:t>
      </w:r>
    </w:p>
    <w:p w14:paraId="796D03B6"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lastRenderedPageBreak/>
        <w:t>Regulatory Actions and Impact:</w:t>
      </w:r>
    </w:p>
    <w:p w14:paraId="663455D3" w14:textId="77777777" w:rsidR="007A76B2" w:rsidRPr="007A76B2" w:rsidRDefault="007A76B2" w:rsidP="007A76B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Heavy fines and penalties were imposed by the CFPB, OCC, and other regulators.</w:t>
      </w:r>
    </w:p>
    <w:p w14:paraId="00CD7D03" w14:textId="77777777" w:rsidR="007A76B2" w:rsidRPr="007A76B2" w:rsidRDefault="007A76B2" w:rsidP="007A76B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Significant reputational damage, loss of customer trust, and decline in stock value.</w:t>
      </w:r>
    </w:p>
    <w:p w14:paraId="66418B25" w14:textId="77777777" w:rsidR="007A76B2" w:rsidRPr="007A76B2" w:rsidRDefault="007A76B2" w:rsidP="007A76B2">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Wells Fargo was required to implement comprehensive compliance reforms, including changes to its sales practices and compensation structures.</w:t>
      </w:r>
    </w:p>
    <w:p w14:paraId="7B83E6FA"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Lessons Learned:</w:t>
      </w:r>
    </w:p>
    <w:p w14:paraId="0E40F6A4" w14:textId="77777777" w:rsidR="007A76B2" w:rsidRPr="007A76B2" w:rsidRDefault="007A76B2" w:rsidP="007A76B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Importance of fostering an ethical corporate culture that prioritizes customer interests over sales targets.</w:t>
      </w:r>
    </w:p>
    <w:p w14:paraId="6D42A1C1" w14:textId="77777777" w:rsidR="007A76B2" w:rsidRPr="007A76B2" w:rsidRDefault="007A76B2" w:rsidP="007A76B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Need for strong internal controls, regular audits, and oversight mechanisms to detect and prevent compliance breaches.</w:t>
      </w:r>
    </w:p>
    <w:p w14:paraId="30446173" w14:textId="77777777" w:rsidR="007A76B2" w:rsidRPr="007A76B2" w:rsidRDefault="007A76B2" w:rsidP="007A76B2">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Importance of transparent communication with regulators and swift action to address compliance issues.</w:t>
      </w:r>
    </w:p>
    <w:p w14:paraId="4A5B47D4"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Improvements in Compliance Practices:</w:t>
      </w:r>
    </w:p>
    <w:p w14:paraId="2ADF5BB2" w14:textId="77777777" w:rsidR="007A76B2" w:rsidRPr="007A76B2" w:rsidRDefault="007A76B2" w:rsidP="007A76B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Wells Fargo overhauled its sales practices, eliminating product sales goals for retail banking.</w:t>
      </w:r>
    </w:p>
    <w:p w14:paraId="55CD80AC" w14:textId="77777777" w:rsidR="007A76B2" w:rsidRPr="007A76B2" w:rsidRDefault="007A76B2" w:rsidP="007A76B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Enhanced internal monitoring and compliance programs, including the establishment of an independent risk management function.</w:t>
      </w:r>
    </w:p>
    <w:p w14:paraId="47CE2B7D" w14:textId="77777777" w:rsidR="007A76B2" w:rsidRPr="007A76B2" w:rsidRDefault="007A76B2" w:rsidP="007A76B2">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Increased transparency and communication with regulators, customers, and the public.</w:t>
      </w:r>
    </w:p>
    <w:p w14:paraId="4B672E8E" w14:textId="54974CF4" w:rsidR="007A76B2" w:rsidRPr="007A76B2" w:rsidRDefault="007A76B2" w:rsidP="007A76B2">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7A76B2">
        <w:rPr>
          <w:rFonts w:eastAsia="Times New Roman" w:cs="Times New Roman"/>
          <w:b/>
          <w:bCs/>
          <w:kern w:val="0"/>
          <w:sz w:val="24"/>
          <w:szCs w:val="24"/>
          <w:lang w:eastAsia="en-IN"/>
          <w14:ligatures w14:val="none"/>
        </w:rPr>
        <w:t>Challenges and Future Trends</w:t>
      </w:r>
    </w:p>
    <w:p w14:paraId="5071D6C0"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Common Challenges:</w:t>
      </w:r>
    </w:p>
    <w:p w14:paraId="3A48636F" w14:textId="77777777" w:rsidR="007A76B2" w:rsidRPr="007A76B2" w:rsidRDefault="007A76B2" w:rsidP="007A76B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Evolving Regulations</w:t>
      </w:r>
      <w:r w:rsidRPr="007A76B2">
        <w:rPr>
          <w:rFonts w:eastAsia="Times New Roman" w:cs="Times New Roman"/>
          <w:kern w:val="0"/>
          <w:sz w:val="24"/>
          <w:szCs w:val="24"/>
          <w:lang w:eastAsia="en-IN"/>
          <w14:ligatures w14:val="none"/>
        </w:rPr>
        <w:t>:</w:t>
      </w:r>
    </w:p>
    <w:p w14:paraId="061B7172" w14:textId="77777777" w:rsidR="007A76B2" w:rsidRPr="007A76B2" w:rsidRDefault="007A76B2" w:rsidP="007A76B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Keeping up with frequent changes in regulations and ensuring timely compliance.</w:t>
      </w:r>
    </w:p>
    <w:p w14:paraId="65DBC6E7" w14:textId="77777777" w:rsidR="007A76B2" w:rsidRPr="007A76B2" w:rsidRDefault="007A76B2" w:rsidP="007A76B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Adapting to new data privacy laws like the GDPR.</w:t>
      </w:r>
    </w:p>
    <w:p w14:paraId="3B6A775E" w14:textId="77777777" w:rsidR="007A76B2" w:rsidRPr="007A76B2" w:rsidRDefault="007A76B2" w:rsidP="007A76B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Complexity</w:t>
      </w:r>
      <w:r w:rsidRPr="007A76B2">
        <w:rPr>
          <w:rFonts w:eastAsia="Times New Roman" w:cs="Times New Roman"/>
          <w:kern w:val="0"/>
          <w:sz w:val="24"/>
          <w:szCs w:val="24"/>
          <w:lang w:eastAsia="en-IN"/>
          <w14:ligatures w14:val="none"/>
        </w:rPr>
        <w:t>:</w:t>
      </w:r>
    </w:p>
    <w:p w14:paraId="7E7216C1" w14:textId="77777777" w:rsidR="007A76B2" w:rsidRPr="007A76B2" w:rsidRDefault="007A76B2" w:rsidP="007A76B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Navigating complex and sometimes conflicting regulations across different jurisdictions.</w:t>
      </w:r>
    </w:p>
    <w:p w14:paraId="79DFE07F" w14:textId="77777777" w:rsidR="007A76B2" w:rsidRPr="007A76B2" w:rsidRDefault="007A76B2" w:rsidP="007A76B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Complying with both local and international AML regulations.</w:t>
      </w:r>
    </w:p>
    <w:p w14:paraId="1CB4680B" w14:textId="77777777" w:rsidR="007A76B2" w:rsidRPr="007A76B2" w:rsidRDefault="007A76B2" w:rsidP="007A76B2">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Resource Allocation</w:t>
      </w:r>
      <w:r w:rsidRPr="007A76B2">
        <w:rPr>
          <w:rFonts w:eastAsia="Times New Roman" w:cs="Times New Roman"/>
          <w:kern w:val="0"/>
          <w:sz w:val="24"/>
          <w:szCs w:val="24"/>
          <w:lang w:eastAsia="en-IN"/>
          <w14:ligatures w14:val="none"/>
        </w:rPr>
        <w:t>:</w:t>
      </w:r>
    </w:p>
    <w:p w14:paraId="500823DE" w14:textId="77777777" w:rsidR="007A76B2" w:rsidRPr="007A76B2" w:rsidRDefault="007A76B2" w:rsidP="007A76B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Ensuring adequate resources, including skilled personnel and technology, for effective compliance functions.</w:t>
      </w:r>
    </w:p>
    <w:p w14:paraId="6354EC7D" w14:textId="77777777" w:rsidR="007A76B2" w:rsidRPr="007A76B2" w:rsidRDefault="007A76B2" w:rsidP="007A76B2">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Investing in advanced compliance management systems.</w:t>
      </w:r>
    </w:p>
    <w:p w14:paraId="4C016661"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Emerging Trends:</w:t>
      </w:r>
    </w:p>
    <w:p w14:paraId="6CC17173" w14:textId="77777777" w:rsidR="007A76B2" w:rsidRPr="007A76B2" w:rsidRDefault="007A76B2" w:rsidP="007A76B2">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FinTech and Digital Banking</w:t>
      </w:r>
      <w:r w:rsidRPr="007A76B2">
        <w:rPr>
          <w:rFonts w:eastAsia="Times New Roman" w:cs="Times New Roman"/>
          <w:kern w:val="0"/>
          <w:sz w:val="24"/>
          <w:szCs w:val="24"/>
          <w:lang w:eastAsia="en-IN"/>
          <w14:ligatures w14:val="none"/>
        </w:rPr>
        <w:t>:</w:t>
      </w:r>
    </w:p>
    <w:p w14:paraId="542A3D4A" w14:textId="77777777" w:rsidR="007A76B2" w:rsidRPr="007A76B2" w:rsidRDefault="007A76B2" w:rsidP="007A76B2">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lastRenderedPageBreak/>
        <w:t>New technologies and business models introducing novel compliance challenges.</w:t>
      </w:r>
    </w:p>
    <w:p w14:paraId="737E2B1A" w14:textId="77777777" w:rsidR="007A76B2" w:rsidRPr="007A76B2" w:rsidRDefault="007A76B2" w:rsidP="007A76B2">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Ensuring compliance for digital-only banks and online lending platforms.</w:t>
      </w:r>
    </w:p>
    <w:p w14:paraId="4A4881E0" w14:textId="77777777" w:rsidR="007A76B2" w:rsidRPr="007A76B2" w:rsidRDefault="007A76B2" w:rsidP="007A76B2">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Cryptocurrencies</w:t>
      </w:r>
      <w:r w:rsidRPr="007A76B2">
        <w:rPr>
          <w:rFonts w:eastAsia="Times New Roman" w:cs="Times New Roman"/>
          <w:kern w:val="0"/>
          <w:sz w:val="24"/>
          <w:szCs w:val="24"/>
          <w:lang w:eastAsia="en-IN"/>
          <w14:ligatures w14:val="none"/>
        </w:rPr>
        <w:t>:</w:t>
      </w:r>
    </w:p>
    <w:p w14:paraId="5AAB4AE9" w14:textId="77777777" w:rsidR="007A76B2" w:rsidRPr="007A76B2" w:rsidRDefault="007A76B2" w:rsidP="007A76B2">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Regulatory uncertainty and evolving frameworks around digital assets and blockchain technology.</w:t>
      </w:r>
    </w:p>
    <w:p w14:paraId="7865B2FE" w14:textId="77777777" w:rsidR="007A76B2" w:rsidRPr="007A76B2" w:rsidRDefault="007A76B2" w:rsidP="007A76B2">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AML and KYC compliance for cryptocurrency exchanges.</w:t>
      </w:r>
    </w:p>
    <w:p w14:paraId="7090BF1E" w14:textId="77777777" w:rsidR="007A76B2" w:rsidRPr="007A76B2" w:rsidRDefault="007A76B2" w:rsidP="007A76B2">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Artificial Intelligence (AI)</w:t>
      </w:r>
      <w:r w:rsidRPr="007A76B2">
        <w:rPr>
          <w:rFonts w:eastAsia="Times New Roman" w:cs="Times New Roman"/>
          <w:kern w:val="0"/>
          <w:sz w:val="24"/>
          <w:szCs w:val="24"/>
          <w:lang w:eastAsia="en-IN"/>
          <w14:ligatures w14:val="none"/>
        </w:rPr>
        <w:t>:</w:t>
      </w:r>
    </w:p>
    <w:p w14:paraId="7C00E40C" w14:textId="77777777" w:rsidR="007A76B2" w:rsidRPr="007A76B2" w:rsidRDefault="007A76B2" w:rsidP="007A76B2">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AI-driven compliance tools improving efficiency, accuracy, and real-time monitoring.</w:t>
      </w:r>
    </w:p>
    <w:p w14:paraId="49398DD4" w14:textId="77777777" w:rsidR="007A76B2" w:rsidRPr="007A76B2" w:rsidRDefault="007A76B2" w:rsidP="007A76B2">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AI-based transaction monitoring and risk assessment.</w:t>
      </w:r>
    </w:p>
    <w:p w14:paraId="4002E664"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Future Shaping Trends:</w:t>
      </w:r>
    </w:p>
    <w:p w14:paraId="4A4D6524" w14:textId="77777777" w:rsidR="007A76B2" w:rsidRPr="007A76B2" w:rsidRDefault="007A76B2" w:rsidP="007A76B2">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 xml:space="preserve">Increased Use of </w:t>
      </w:r>
      <w:proofErr w:type="spellStart"/>
      <w:r w:rsidRPr="007A76B2">
        <w:rPr>
          <w:rFonts w:eastAsia="Times New Roman" w:cs="Times New Roman"/>
          <w:b/>
          <w:bCs/>
          <w:kern w:val="0"/>
          <w:sz w:val="24"/>
          <w:szCs w:val="24"/>
          <w:lang w:eastAsia="en-IN"/>
          <w14:ligatures w14:val="none"/>
        </w:rPr>
        <w:t>RegTech</w:t>
      </w:r>
      <w:proofErr w:type="spellEnd"/>
      <w:r w:rsidRPr="007A76B2">
        <w:rPr>
          <w:rFonts w:eastAsia="Times New Roman" w:cs="Times New Roman"/>
          <w:b/>
          <w:bCs/>
          <w:kern w:val="0"/>
          <w:sz w:val="24"/>
          <w:szCs w:val="24"/>
          <w:lang w:eastAsia="en-IN"/>
          <w14:ligatures w14:val="none"/>
        </w:rPr>
        <w:t xml:space="preserve"> Solutions</w:t>
      </w:r>
      <w:r w:rsidRPr="007A76B2">
        <w:rPr>
          <w:rFonts w:eastAsia="Times New Roman" w:cs="Times New Roman"/>
          <w:kern w:val="0"/>
          <w:sz w:val="24"/>
          <w:szCs w:val="24"/>
          <w:lang w:eastAsia="en-IN"/>
          <w14:ligatures w14:val="none"/>
        </w:rPr>
        <w:t>:</w:t>
      </w:r>
    </w:p>
    <w:p w14:paraId="162DF59D" w14:textId="77777777" w:rsidR="007A76B2" w:rsidRPr="007A76B2" w:rsidRDefault="007A76B2" w:rsidP="007A76B2">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Adoption of advanced regulatory technology to streamline compliance processes and reduce costs.</w:t>
      </w:r>
    </w:p>
    <w:p w14:paraId="7C345236" w14:textId="77777777" w:rsidR="007A76B2" w:rsidRPr="007A76B2" w:rsidRDefault="007A76B2" w:rsidP="007A76B2">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Blockchain for secure and transparent regulatory reporting.</w:t>
      </w:r>
    </w:p>
    <w:p w14:paraId="7E42DB13" w14:textId="77777777" w:rsidR="007A76B2" w:rsidRPr="007A76B2" w:rsidRDefault="007A76B2" w:rsidP="007A76B2">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Greater Regulatory Focus on Data Privacy and Cybersecurity</w:t>
      </w:r>
      <w:r w:rsidRPr="007A76B2">
        <w:rPr>
          <w:rFonts w:eastAsia="Times New Roman" w:cs="Times New Roman"/>
          <w:kern w:val="0"/>
          <w:sz w:val="24"/>
          <w:szCs w:val="24"/>
          <w:lang w:eastAsia="en-IN"/>
          <w14:ligatures w14:val="none"/>
        </w:rPr>
        <w:t>:</w:t>
      </w:r>
    </w:p>
    <w:p w14:paraId="65DB52AC" w14:textId="77777777" w:rsidR="007A76B2" w:rsidRPr="007A76B2" w:rsidRDefault="007A76B2" w:rsidP="007A76B2">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Enhanced regulations and scrutiny on data protection and cybersecurity measures.</w:t>
      </w:r>
    </w:p>
    <w:p w14:paraId="29FF8A8B" w14:textId="77777777" w:rsidR="007A76B2" w:rsidRPr="007A76B2" w:rsidRDefault="007A76B2" w:rsidP="007A76B2">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Compliance with emerging cybersecurity frameworks and guidelines.</w:t>
      </w:r>
    </w:p>
    <w:p w14:paraId="4B72CC37" w14:textId="77777777" w:rsidR="007A76B2" w:rsidRPr="007A76B2" w:rsidRDefault="007A76B2" w:rsidP="007A76B2">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Enhanced Collaboration Between Banks and Regulators</w:t>
      </w:r>
      <w:r w:rsidRPr="007A76B2">
        <w:rPr>
          <w:rFonts w:eastAsia="Times New Roman" w:cs="Times New Roman"/>
          <w:kern w:val="0"/>
          <w:sz w:val="24"/>
          <w:szCs w:val="24"/>
          <w:lang w:eastAsia="en-IN"/>
          <w14:ligatures w14:val="none"/>
        </w:rPr>
        <w:t>:</w:t>
      </w:r>
    </w:p>
    <w:p w14:paraId="0E112C08" w14:textId="77777777" w:rsidR="007A76B2" w:rsidRPr="007A76B2" w:rsidRDefault="007A76B2" w:rsidP="007A76B2">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Closer cooperation to develop effective regulatory frameworks and address emerging risks.</w:t>
      </w:r>
    </w:p>
    <w:p w14:paraId="43D2DE69" w14:textId="77777777" w:rsidR="007A76B2" w:rsidRPr="007A76B2" w:rsidRDefault="007A76B2" w:rsidP="007A76B2">
      <w:pPr>
        <w:numPr>
          <w:ilvl w:val="1"/>
          <w:numId w:val="13"/>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Example: Joint initiatives to combat financial crimes and improve regulatory compliance.</w:t>
      </w:r>
    </w:p>
    <w:p w14:paraId="00F5C6E5" w14:textId="77777777" w:rsidR="00C81A6F" w:rsidRDefault="00C81A6F">
      <w:pPr>
        <w:rPr>
          <w:rFonts w:asciiTheme="majorHAnsi" w:eastAsia="Times New Roman" w:hAnsiTheme="majorHAnsi" w:cs="Times New Roman"/>
          <w:color w:val="0F4761" w:themeColor="accent1" w:themeShade="BF"/>
          <w:kern w:val="0"/>
          <w:sz w:val="32"/>
          <w:szCs w:val="32"/>
          <w:lang w:eastAsia="en-IN"/>
          <w14:ligatures w14:val="none"/>
        </w:rPr>
      </w:pPr>
      <w:r>
        <w:rPr>
          <w:rFonts w:eastAsia="Times New Roman" w:cs="Times New Roman"/>
          <w:kern w:val="0"/>
          <w:lang w:eastAsia="en-IN"/>
          <w14:ligatures w14:val="none"/>
        </w:rPr>
        <w:br w:type="page"/>
      </w:r>
    </w:p>
    <w:p w14:paraId="0BFD06B3" w14:textId="781962F2" w:rsidR="00C81A6F" w:rsidRDefault="00C81A6F" w:rsidP="00C81A6F">
      <w:pPr>
        <w:pStyle w:val="Heading2"/>
        <w:rPr>
          <w:rFonts w:eastAsia="Times New Roman" w:cs="Times New Roman"/>
          <w:kern w:val="0"/>
          <w:lang w:eastAsia="en-IN"/>
          <w14:ligatures w14:val="none"/>
        </w:rPr>
      </w:pPr>
      <w:r w:rsidRPr="00C81A6F">
        <w:rPr>
          <w:rFonts w:eastAsia="Times New Roman" w:cs="Times New Roman"/>
          <w:kern w:val="0"/>
          <w:lang w:eastAsia="en-IN"/>
          <w14:ligatures w14:val="none"/>
        </w:rPr>
        <w:lastRenderedPageBreak/>
        <w:t>Data Tables related to Compliance and Regulatory Affairs in Banking Operations</w:t>
      </w:r>
    </w:p>
    <w:p w14:paraId="41EF7BB8" w14:textId="77777777" w:rsidR="00C81A6F" w:rsidRPr="00C81A6F" w:rsidRDefault="00C81A6F" w:rsidP="00C81A6F">
      <w:pPr>
        <w:spacing w:after="0" w:line="240" w:lineRule="auto"/>
        <w:rPr>
          <w:rFonts w:ascii="Aptos Narrow" w:eastAsia="Times New Roman" w:hAnsi="Aptos Narrow" w:cs="Times New Roman"/>
          <w:b/>
          <w:bCs/>
          <w:color w:val="000000"/>
          <w:kern w:val="0"/>
          <w:sz w:val="28"/>
          <w:szCs w:val="28"/>
          <w:lang w:eastAsia="en-IN"/>
          <w14:ligatures w14:val="none"/>
        </w:rPr>
      </w:pPr>
      <w:r w:rsidRPr="00C81A6F">
        <w:rPr>
          <w:rFonts w:ascii="Aptos Narrow" w:eastAsia="Times New Roman" w:hAnsi="Aptos Narrow" w:cs="Times New Roman"/>
          <w:b/>
          <w:bCs/>
          <w:color w:val="000000"/>
          <w:kern w:val="0"/>
          <w:sz w:val="28"/>
          <w:szCs w:val="28"/>
          <w:lang w:eastAsia="en-IN"/>
          <w14:ligatures w14:val="none"/>
        </w:rPr>
        <w:t>Key Regulatory Fines Imposed on Banks (2018-2022)</w:t>
      </w:r>
    </w:p>
    <w:p w14:paraId="3E6B14C0" w14:textId="77777777" w:rsidR="00C81A6F" w:rsidRPr="00C81A6F" w:rsidRDefault="00C81A6F" w:rsidP="00C81A6F">
      <w:pPr>
        <w:rPr>
          <w:lang w:eastAsia="en-IN"/>
        </w:rPr>
      </w:pPr>
    </w:p>
    <w:tbl>
      <w:tblPr>
        <w:tblStyle w:val="TableGrid"/>
        <w:tblW w:w="8402" w:type="dxa"/>
        <w:tblLook w:val="04A0" w:firstRow="1" w:lastRow="0" w:firstColumn="1" w:lastColumn="0" w:noHBand="0" w:noVBand="1"/>
      </w:tblPr>
      <w:tblGrid>
        <w:gridCol w:w="1827"/>
        <w:gridCol w:w="1035"/>
        <w:gridCol w:w="1451"/>
        <w:gridCol w:w="1934"/>
        <w:gridCol w:w="2155"/>
      </w:tblGrid>
      <w:tr w:rsidR="00C81A6F" w:rsidRPr="00C81A6F" w14:paraId="09747625" w14:textId="77777777" w:rsidTr="00C81A6F">
        <w:trPr>
          <w:trHeight w:val="195"/>
        </w:trPr>
        <w:tc>
          <w:tcPr>
            <w:tcW w:w="1827" w:type="dxa"/>
            <w:hideMark/>
          </w:tcPr>
          <w:p w14:paraId="7CE1EE34" w14:textId="77777777" w:rsidR="00C81A6F" w:rsidRPr="00C81A6F" w:rsidRDefault="00C81A6F" w:rsidP="00C81A6F">
            <w:pPr>
              <w:jc w:val="center"/>
              <w:rPr>
                <w:rFonts w:ascii="Aptos Narrow" w:eastAsia="Times New Roman" w:hAnsi="Aptos Narrow" w:cs="Times New Roman"/>
                <w:b/>
                <w:bCs/>
                <w:color w:val="000000"/>
                <w:kern w:val="0"/>
                <w:lang w:eastAsia="en-IN"/>
                <w14:ligatures w14:val="none"/>
              </w:rPr>
            </w:pPr>
            <w:r w:rsidRPr="00C81A6F">
              <w:rPr>
                <w:rFonts w:ascii="Aptos Narrow" w:eastAsia="Times New Roman" w:hAnsi="Aptos Narrow" w:cs="Times New Roman"/>
                <w:b/>
                <w:bCs/>
                <w:color w:val="000000"/>
                <w:kern w:val="0"/>
                <w:lang w:eastAsia="en-IN"/>
                <w14:ligatures w14:val="none"/>
              </w:rPr>
              <w:t>Bank</w:t>
            </w:r>
          </w:p>
        </w:tc>
        <w:tc>
          <w:tcPr>
            <w:tcW w:w="1035" w:type="dxa"/>
            <w:hideMark/>
          </w:tcPr>
          <w:p w14:paraId="027C3B1A" w14:textId="77777777" w:rsidR="00C81A6F" w:rsidRPr="00C81A6F" w:rsidRDefault="00C81A6F" w:rsidP="00C81A6F">
            <w:pPr>
              <w:jc w:val="center"/>
              <w:rPr>
                <w:rFonts w:ascii="Aptos Narrow" w:eastAsia="Times New Roman" w:hAnsi="Aptos Narrow" w:cs="Times New Roman"/>
                <w:b/>
                <w:bCs/>
                <w:color w:val="000000"/>
                <w:kern w:val="0"/>
                <w:lang w:eastAsia="en-IN"/>
                <w14:ligatures w14:val="none"/>
              </w:rPr>
            </w:pPr>
            <w:r w:rsidRPr="00C81A6F">
              <w:rPr>
                <w:rFonts w:ascii="Aptos Narrow" w:eastAsia="Times New Roman" w:hAnsi="Aptos Narrow" w:cs="Times New Roman"/>
                <w:b/>
                <w:bCs/>
                <w:color w:val="000000"/>
                <w:kern w:val="0"/>
                <w:lang w:eastAsia="en-IN"/>
                <w14:ligatures w14:val="none"/>
              </w:rPr>
              <w:t>Year</w:t>
            </w:r>
          </w:p>
        </w:tc>
        <w:tc>
          <w:tcPr>
            <w:tcW w:w="1451" w:type="dxa"/>
            <w:hideMark/>
          </w:tcPr>
          <w:p w14:paraId="72F411CF" w14:textId="77777777" w:rsidR="00C81A6F" w:rsidRPr="00C81A6F" w:rsidRDefault="00C81A6F" w:rsidP="00C81A6F">
            <w:pPr>
              <w:jc w:val="center"/>
              <w:rPr>
                <w:rFonts w:ascii="Aptos Narrow" w:eastAsia="Times New Roman" w:hAnsi="Aptos Narrow" w:cs="Times New Roman"/>
                <w:b/>
                <w:bCs/>
                <w:color w:val="000000"/>
                <w:kern w:val="0"/>
                <w:lang w:eastAsia="en-IN"/>
                <w14:ligatures w14:val="none"/>
              </w:rPr>
            </w:pPr>
            <w:r w:rsidRPr="00C81A6F">
              <w:rPr>
                <w:rFonts w:ascii="Aptos Narrow" w:eastAsia="Times New Roman" w:hAnsi="Aptos Narrow" w:cs="Times New Roman"/>
                <w:b/>
                <w:bCs/>
                <w:color w:val="000000"/>
                <w:kern w:val="0"/>
                <w:lang w:eastAsia="en-IN"/>
                <w14:ligatures w14:val="none"/>
              </w:rPr>
              <w:t>Fine Amount (USD)</w:t>
            </w:r>
          </w:p>
        </w:tc>
        <w:tc>
          <w:tcPr>
            <w:tcW w:w="1934" w:type="dxa"/>
            <w:hideMark/>
          </w:tcPr>
          <w:p w14:paraId="185C2957" w14:textId="77777777" w:rsidR="00C81A6F" w:rsidRPr="00C81A6F" w:rsidRDefault="00C81A6F" w:rsidP="00C81A6F">
            <w:pPr>
              <w:jc w:val="center"/>
              <w:rPr>
                <w:rFonts w:ascii="Aptos Narrow" w:eastAsia="Times New Roman" w:hAnsi="Aptos Narrow" w:cs="Times New Roman"/>
                <w:b/>
                <w:bCs/>
                <w:color w:val="000000"/>
                <w:kern w:val="0"/>
                <w:lang w:eastAsia="en-IN"/>
                <w14:ligatures w14:val="none"/>
              </w:rPr>
            </w:pPr>
            <w:r w:rsidRPr="00C81A6F">
              <w:rPr>
                <w:rFonts w:ascii="Aptos Narrow" w:eastAsia="Times New Roman" w:hAnsi="Aptos Narrow" w:cs="Times New Roman"/>
                <w:b/>
                <w:bCs/>
                <w:color w:val="000000"/>
                <w:kern w:val="0"/>
                <w:lang w:eastAsia="en-IN"/>
                <w14:ligatures w14:val="none"/>
              </w:rPr>
              <w:t>Regulatory Body</w:t>
            </w:r>
          </w:p>
        </w:tc>
        <w:tc>
          <w:tcPr>
            <w:tcW w:w="2155" w:type="dxa"/>
            <w:hideMark/>
          </w:tcPr>
          <w:p w14:paraId="22AAB1D1" w14:textId="77777777" w:rsidR="00C81A6F" w:rsidRPr="00C81A6F" w:rsidRDefault="00C81A6F" w:rsidP="00C81A6F">
            <w:pPr>
              <w:jc w:val="center"/>
              <w:rPr>
                <w:rFonts w:ascii="Aptos Narrow" w:eastAsia="Times New Roman" w:hAnsi="Aptos Narrow" w:cs="Times New Roman"/>
                <w:b/>
                <w:bCs/>
                <w:color w:val="000000"/>
                <w:kern w:val="0"/>
                <w:lang w:eastAsia="en-IN"/>
                <w14:ligatures w14:val="none"/>
              </w:rPr>
            </w:pPr>
            <w:r w:rsidRPr="00C81A6F">
              <w:rPr>
                <w:rFonts w:ascii="Aptos Narrow" w:eastAsia="Times New Roman" w:hAnsi="Aptos Narrow" w:cs="Times New Roman"/>
                <w:b/>
                <w:bCs/>
                <w:color w:val="000000"/>
                <w:kern w:val="0"/>
                <w:lang w:eastAsia="en-IN"/>
                <w14:ligatures w14:val="none"/>
              </w:rPr>
              <w:t>Reason</w:t>
            </w:r>
          </w:p>
        </w:tc>
      </w:tr>
      <w:tr w:rsidR="00C81A6F" w:rsidRPr="00C81A6F" w14:paraId="544FCDFB" w14:textId="77777777" w:rsidTr="00C81A6F">
        <w:trPr>
          <w:trHeight w:val="261"/>
        </w:trPr>
        <w:tc>
          <w:tcPr>
            <w:tcW w:w="1827" w:type="dxa"/>
            <w:hideMark/>
          </w:tcPr>
          <w:p w14:paraId="53E52D67"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Wells Fargo</w:t>
            </w:r>
          </w:p>
        </w:tc>
        <w:tc>
          <w:tcPr>
            <w:tcW w:w="1035" w:type="dxa"/>
            <w:hideMark/>
          </w:tcPr>
          <w:p w14:paraId="1A0B9898" w14:textId="77777777" w:rsidR="00C81A6F" w:rsidRPr="00C81A6F" w:rsidRDefault="00C81A6F" w:rsidP="00C81A6F">
            <w:pPr>
              <w:jc w:val="right"/>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2018</w:t>
            </w:r>
          </w:p>
        </w:tc>
        <w:tc>
          <w:tcPr>
            <w:tcW w:w="1451" w:type="dxa"/>
            <w:hideMark/>
          </w:tcPr>
          <w:p w14:paraId="49E9C055"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$1 billion</w:t>
            </w:r>
          </w:p>
        </w:tc>
        <w:tc>
          <w:tcPr>
            <w:tcW w:w="1934" w:type="dxa"/>
            <w:hideMark/>
          </w:tcPr>
          <w:p w14:paraId="278450CD"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CFPB, OCC</w:t>
            </w:r>
          </w:p>
        </w:tc>
        <w:tc>
          <w:tcPr>
            <w:tcW w:w="2155" w:type="dxa"/>
            <w:hideMark/>
          </w:tcPr>
          <w:p w14:paraId="1A1C8CBC"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Auto loan and mortgage abuses</w:t>
            </w:r>
          </w:p>
        </w:tc>
      </w:tr>
      <w:tr w:rsidR="00C81A6F" w:rsidRPr="00C81A6F" w14:paraId="5AC363DB" w14:textId="77777777" w:rsidTr="00C81A6F">
        <w:trPr>
          <w:trHeight w:val="326"/>
        </w:trPr>
        <w:tc>
          <w:tcPr>
            <w:tcW w:w="1827" w:type="dxa"/>
            <w:hideMark/>
          </w:tcPr>
          <w:p w14:paraId="149DED2E"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Danske Bank</w:t>
            </w:r>
          </w:p>
        </w:tc>
        <w:tc>
          <w:tcPr>
            <w:tcW w:w="1035" w:type="dxa"/>
            <w:hideMark/>
          </w:tcPr>
          <w:p w14:paraId="09A0ACC5" w14:textId="77777777" w:rsidR="00C81A6F" w:rsidRPr="00C81A6F" w:rsidRDefault="00C81A6F" w:rsidP="00C81A6F">
            <w:pPr>
              <w:jc w:val="right"/>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2018</w:t>
            </w:r>
          </w:p>
        </w:tc>
        <w:tc>
          <w:tcPr>
            <w:tcW w:w="1451" w:type="dxa"/>
            <w:hideMark/>
          </w:tcPr>
          <w:p w14:paraId="7410B7BD"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$2 billion</w:t>
            </w:r>
          </w:p>
        </w:tc>
        <w:tc>
          <w:tcPr>
            <w:tcW w:w="1934" w:type="dxa"/>
            <w:hideMark/>
          </w:tcPr>
          <w:p w14:paraId="4065B403"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Danish FSA</w:t>
            </w:r>
          </w:p>
        </w:tc>
        <w:tc>
          <w:tcPr>
            <w:tcW w:w="2155" w:type="dxa"/>
            <w:hideMark/>
          </w:tcPr>
          <w:p w14:paraId="18B7B5BA"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Money laundering through Estonian branch</w:t>
            </w:r>
          </w:p>
        </w:tc>
      </w:tr>
      <w:tr w:rsidR="00C81A6F" w:rsidRPr="00C81A6F" w14:paraId="69865E15" w14:textId="77777777" w:rsidTr="00C81A6F">
        <w:trPr>
          <w:trHeight w:val="326"/>
        </w:trPr>
        <w:tc>
          <w:tcPr>
            <w:tcW w:w="1827" w:type="dxa"/>
            <w:hideMark/>
          </w:tcPr>
          <w:p w14:paraId="14DAA6BF"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Deutsche Bank</w:t>
            </w:r>
          </w:p>
        </w:tc>
        <w:tc>
          <w:tcPr>
            <w:tcW w:w="1035" w:type="dxa"/>
            <w:hideMark/>
          </w:tcPr>
          <w:p w14:paraId="233BAD3A" w14:textId="77777777" w:rsidR="00C81A6F" w:rsidRPr="00C81A6F" w:rsidRDefault="00C81A6F" w:rsidP="00C81A6F">
            <w:pPr>
              <w:jc w:val="right"/>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2020</w:t>
            </w:r>
          </w:p>
        </w:tc>
        <w:tc>
          <w:tcPr>
            <w:tcW w:w="1451" w:type="dxa"/>
            <w:hideMark/>
          </w:tcPr>
          <w:p w14:paraId="43715A9E"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$150 million</w:t>
            </w:r>
          </w:p>
        </w:tc>
        <w:tc>
          <w:tcPr>
            <w:tcW w:w="1934" w:type="dxa"/>
            <w:hideMark/>
          </w:tcPr>
          <w:p w14:paraId="6EAE435A"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New York State Dept. of Financial Services</w:t>
            </w:r>
          </w:p>
        </w:tc>
        <w:tc>
          <w:tcPr>
            <w:tcW w:w="2155" w:type="dxa"/>
            <w:hideMark/>
          </w:tcPr>
          <w:p w14:paraId="2E5AB960"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AML violations related to Jeffrey Epstein</w:t>
            </w:r>
          </w:p>
        </w:tc>
      </w:tr>
      <w:tr w:rsidR="00C81A6F" w:rsidRPr="00C81A6F" w14:paraId="28E6F6DD" w14:textId="77777777" w:rsidTr="00C81A6F">
        <w:trPr>
          <w:trHeight w:val="130"/>
        </w:trPr>
        <w:tc>
          <w:tcPr>
            <w:tcW w:w="1827" w:type="dxa"/>
            <w:hideMark/>
          </w:tcPr>
          <w:p w14:paraId="62D42D09"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Goldman Sachs</w:t>
            </w:r>
          </w:p>
        </w:tc>
        <w:tc>
          <w:tcPr>
            <w:tcW w:w="1035" w:type="dxa"/>
            <w:hideMark/>
          </w:tcPr>
          <w:p w14:paraId="00D09135" w14:textId="77777777" w:rsidR="00C81A6F" w:rsidRPr="00C81A6F" w:rsidRDefault="00C81A6F" w:rsidP="00C81A6F">
            <w:pPr>
              <w:jc w:val="right"/>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2020</w:t>
            </w:r>
          </w:p>
        </w:tc>
        <w:tc>
          <w:tcPr>
            <w:tcW w:w="1451" w:type="dxa"/>
            <w:hideMark/>
          </w:tcPr>
          <w:p w14:paraId="5C5F570C"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$2.9 billion</w:t>
            </w:r>
          </w:p>
        </w:tc>
        <w:tc>
          <w:tcPr>
            <w:tcW w:w="1934" w:type="dxa"/>
            <w:hideMark/>
          </w:tcPr>
          <w:p w14:paraId="509B5B6C"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DOJ, SEC</w:t>
            </w:r>
          </w:p>
        </w:tc>
        <w:tc>
          <w:tcPr>
            <w:tcW w:w="2155" w:type="dxa"/>
            <w:hideMark/>
          </w:tcPr>
          <w:p w14:paraId="730F3165"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1MDB scandal</w:t>
            </w:r>
          </w:p>
        </w:tc>
      </w:tr>
      <w:tr w:rsidR="00C81A6F" w:rsidRPr="00C81A6F" w14:paraId="1013BDDE" w14:textId="77777777" w:rsidTr="00C81A6F">
        <w:trPr>
          <w:trHeight w:val="261"/>
        </w:trPr>
        <w:tc>
          <w:tcPr>
            <w:tcW w:w="1827" w:type="dxa"/>
            <w:hideMark/>
          </w:tcPr>
          <w:p w14:paraId="3F9949D6"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JPMorgan Chase</w:t>
            </w:r>
          </w:p>
        </w:tc>
        <w:tc>
          <w:tcPr>
            <w:tcW w:w="1035" w:type="dxa"/>
            <w:hideMark/>
          </w:tcPr>
          <w:p w14:paraId="76B27081" w14:textId="77777777" w:rsidR="00C81A6F" w:rsidRPr="00C81A6F" w:rsidRDefault="00C81A6F" w:rsidP="00C81A6F">
            <w:pPr>
              <w:jc w:val="right"/>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2020</w:t>
            </w:r>
          </w:p>
        </w:tc>
        <w:tc>
          <w:tcPr>
            <w:tcW w:w="1451" w:type="dxa"/>
            <w:hideMark/>
          </w:tcPr>
          <w:p w14:paraId="3692F5EE"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$920 million</w:t>
            </w:r>
          </w:p>
        </w:tc>
        <w:tc>
          <w:tcPr>
            <w:tcW w:w="1934" w:type="dxa"/>
            <w:hideMark/>
          </w:tcPr>
          <w:p w14:paraId="3EF1890C"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CFTC, SEC</w:t>
            </w:r>
          </w:p>
        </w:tc>
        <w:tc>
          <w:tcPr>
            <w:tcW w:w="2155" w:type="dxa"/>
            <w:hideMark/>
          </w:tcPr>
          <w:p w14:paraId="5323662D"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Market manipulation (spoofing)</w:t>
            </w:r>
          </w:p>
        </w:tc>
      </w:tr>
      <w:tr w:rsidR="00C81A6F" w:rsidRPr="00C81A6F" w14:paraId="395273BE" w14:textId="77777777" w:rsidTr="00C81A6F">
        <w:trPr>
          <w:trHeight w:val="326"/>
        </w:trPr>
        <w:tc>
          <w:tcPr>
            <w:tcW w:w="1827" w:type="dxa"/>
            <w:hideMark/>
          </w:tcPr>
          <w:p w14:paraId="6067A83E"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Citibank</w:t>
            </w:r>
          </w:p>
        </w:tc>
        <w:tc>
          <w:tcPr>
            <w:tcW w:w="1035" w:type="dxa"/>
            <w:hideMark/>
          </w:tcPr>
          <w:p w14:paraId="03AE2E04" w14:textId="77777777" w:rsidR="00C81A6F" w:rsidRPr="00C81A6F" w:rsidRDefault="00C81A6F" w:rsidP="00C81A6F">
            <w:pPr>
              <w:jc w:val="right"/>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2020</w:t>
            </w:r>
          </w:p>
        </w:tc>
        <w:tc>
          <w:tcPr>
            <w:tcW w:w="1451" w:type="dxa"/>
            <w:hideMark/>
          </w:tcPr>
          <w:p w14:paraId="4C27FA9D"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$400 million</w:t>
            </w:r>
          </w:p>
        </w:tc>
        <w:tc>
          <w:tcPr>
            <w:tcW w:w="1934" w:type="dxa"/>
            <w:hideMark/>
          </w:tcPr>
          <w:p w14:paraId="34C6247D"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OCC</w:t>
            </w:r>
          </w:p>
        </w:tc>
        <w:tc>
          <w:tcPr>
            <w:tcW w:w="2155" w:type="dxa"/>
            <w:hideMark/>
          </w:tcPr>
          <w:p w14:paraId="3072A5E1"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Risk management deficiencies</w:t>
            </w:r>
          </w:p>
        </w:tc>
      </w:tr>
      <w:tr w:rsidR="00C81A6F" w:rsidRPr="00C81A6F" w14:paraId="63D44A0F" w14:textId="77777777" w:rsidTr="00C81A6F">
        <w:trPr>
          <w:trHeight w:val="195"/>
        </w:trPr>
        <w:tc>
          <w:tcPr>
            <w:tcW w:w="1827" w:type="dxa"/>
            <w:hideMark/>
          </w:tcPr>
          <w:p w14:paraId="2B2F130C"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HSBC</w:t>
            </w:r>
          </w:p>
        </w:tc>
        <w:tc>
          <w:tcPr>
            <w:tcW w:w="1035" w:type="dxa"/>
            <w:hideMark/>
          </w:tcPr>
          <w:p w14:paraId="47FA70BA" w14:textId="77777777" w:rsidR="00C81A6F" w:rsidRPr="00C81A6F" w:rsidRDefault="00C81A6F" w:rsidP="00C81A6F">
            <w:pPr>
              <w:jc w:val="right"/>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2021</w:t>
            </w:r>
          </w:p>
        </w:tc>
        <w:tc>
          <w:tcPr>
            <w:tcW w:w="1451" w:type="dxa"/>
            <w:hideMark/>
          </w:tcPr>
          <w:p w14:paraId="6DC36057"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$85 million</w:t>
            </w:r>
          </w:p>
        </w:tc>
        <w:tc>
          <w:tcPr>
            <w:tcW w:w="1934" w:type="dxa"/>
            <w:hideMark/>
          </w:tcPr>
          <w:p w14:paraId="7B53E276"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UK FCA</w:t>
            </w:r>
          </w:p>
        </w:tc>
        <w:tc>
          <w:tcPr>
            <w:tcW w:w="2155" w:type="dxa"/>
            <w:hideMark/>
          </w:tcPr>
          <w:p w14:paraId="5C23C89E"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AML program failures</w:t>
            </w:r>
          </w:p>
        </w:tc>
      </w:tr>
      <w:tr w:rsidR="00C81A6F" w:rsidRPr="00C81A6F" w14:paraId="17A5CC60" w14:textId="77777777" w:rsidTr="00C81A6F">
        <w:trPr>
          <w:trHeight w:val="457"/>
        </w:trPr>
        <w:tc>
          <w:tcPr>
            <w:tcW w:w="1827" w:type="dxa"/>
            <w:hideMark/>
          </w:tcPr>
          <w:p w14:paraId="622A1A88"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Credit Suisse</w:t>
            </w:r>
          </w:p>
        </w:tc>
        <w:tc>
          <w:tcPr>
            <w:tcW w:w="1035" w:type="dxa"/>
            <w:hideMark/>
          </w:tcPr>
          <w:p w14:paraId="0448C1A1" w14:textId="77777777" w:rsidR="00C81A6F" w:rsidRPr="00C81A6F" w:rsidRDefault="00C81A6F" w:rsidP="00C81A6F">
            <w:pPr>
              <w:jc w:val="right"/>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2021</w:t>
            </w:r>
          </w:p>
        </w:tc>
        <w:tc>
          <w:tcPr>
            <w:tcW w:w="1451" w:type="dxa"/>
            <w:hideMark/>
          </w:tcPr>
          <w:p w14:paraId="7638F861"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$547 million</w:t>
            </w:r>
          </w:p>
        </w:tc>
        <w:tc>
          <w:tcPr>
            <w:tcW w:w="1934" w:type="dxa"/>
            <w:hideMark/>
          </w:tcPr>
          <w:p w14:paraId="029D989A"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DOJ, Swiss Financial Market Supervisory Authority</w:t>
            </w:r>
          </w:p>
        </w:tc>
        <w:tc>
          <w:tcPr>
            <w:tcW w:w="2155" w:type="dxa"/>
            <w:hideMark/>
          </w:tcPr>
          <w:p w14:paraId="72F40D0E"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Mozambique "tuna bonds" scandal</w:t>
            </w:r>
          </w:p>
        </w:tc>
      </w:tr>
      <w:tr w:rsidR="00C81A6F" w:rsidRPr="00C81A6F" w14:paraId="0DF3E488" w14:textId="77777777" w:rsidTr="00C81A6F">
        <w:trPr>
          <w:trHeight w:val="457"/>
        </w:trPr>
        <w:tc>
          <w:tcPr>
            <w:tcW w:w="1827" w:type="dxa"/>
            <w:hideMark/>
          </w:tcPr>
          <w:p w14:paraId="4E9E33D9"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Robinhood</w:t>
            </w:r>
          </w:p>
        </w:tc>
        <w:tc>
          <w:tcPr>
            <w:tcW w:w="1035" w:type="dxa"/>
            <w:hideMark/>
          </w:tcPr>
          <w:p w14:paraId="2637F5C8" w14:textId="77777777" w:rsidR="00C81A6F" w:rsidRPr="00C81A6F" w:rsidRDefault="00C81A6F" w:rsidP="00C81A6F">
            <w:pPr>
              <w:jc w:val="right"/>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2021</w:t>
            </w:r>
          </w:p>
        </w:tc>
        <w:tc>
          <w:tcPr>
            <w:tcW w:w="1451" w:type="dxa"/>
            <w:hideMark/>
          </w:tcPr>
          <w:p w14:paraId="4BDCCD5A"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$70 million</w:t>
            </w:r>
          </w:p>
        </w:tc>
        <w:tc>
          <w:tcPr>
            <w:tcW w:w="1934" w:type="dxa"/>
            <w:hideMark/>
          </w:tcPr>
          <w:p w14:paraId="70BECB69"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FINRA</w:t>
            </w:r>
          </w:p>
        </w:tc>
        <w:tc>
          <w:tcPr>
            <w:tcW w:w="2155" w:type="dxa"/>
            <w:hideMark/>
          </w:tcPr>
          <w:p w14:paraId="628E738D" w14:textId="77777777" w:rsidR="00C81A6F" w:rsidRPr="00C81A6F" w:rsidRDefault="00C81A6F" w:rsidP="00C81A6F">
            <w:pPr>
              <w:rPr>
                <w:rFonts w:ascii="Aptos Narrow" w:eastAsia="Times New Roman" w:hAnsi="Aptos Narrow" w:cs="Times New Roman"/>
                <w:color w:val="000000"/>
                <w:kern w:val="0"/>
                <w:lang w:eastAsia="en-IN"/>
                <w14:ligatures w14:val="none"/>
              </w:rPr>
            </w:pPr>
            <w:r w:rsidRPr="00C81A6F">
              <w:rPr>
                <w:rFonts w:ascii="Aptos Narrow" w:eastAsia="Times New Roman" w:hAnsi="Aptos Narrow" w:cs="Times New Roman"/>
                <w:color w:val="000000"/>
                <w:kern w:val="0"/>
                <w:lang w:eastAsia="en-IN"/>
                <w14:ligatures w14:val="none"/>
              </w:rPr>
              <w:t>Systemic failures and misleading customers</w:t>
            </w:r>
          </w:p>
        </w:tc>
      </w:tr>
    </w:tbl>
    <w:p w14:paraId="7F7A306E" w14:textId="77777777" w:rsidR="00C81A6F" w:rsidRDefault="00C81A6F" w:rsidP="00C81A6F">
      <w:pPr>
        <w:pStyle w:val="Heading3"/>
        <w:spacing w:line="276" w:lineRule="auto"/>
      </w:pPr>
      <w:r>
        <w:t>Interpretation of Regulatory Fines on Banks (2018-2021)</w:t>
      </w:r>
    </w:p>
    <w:p w14:paraId="0DA0E8DF" w14:textId="77777777" w:rsidR="00C81A6F" w:rsidRPr="00C81A6F" w:rsidRDefault="00C81A6F" w:rsidP="00C81A6F">
      <w:pPr>
        <w:pStyle w:val="NormalWeb"/>
        <w:numPr>
          <w:ilvl w:val="0"/>
          <w:numId w:val="17"/>
        </w:numPr>
        <w:spacing w:line="276" w:lineRule="auto"/>
        <w:rPr>
          <w:rFonts w:asciiTheme="minorHAnsi" w:hAnsiTheme="minorHAnsi"/>
        </w:rPr>
      </w:pPr>
      <w:r w:rsidRPr="00C81A6F">
        <w:rPr>
          <w:rStyle w:val="Strong"/>
          <w:rFonts w:asciiTheme="minorHAnsi" w:eastAsiaTheme="majorEastAsia" w:hAnsiTheme="minorHAnsi"/>
        </w:rPr>
        <w:t>Wells Fargo (2018)</w:t>
      </w:r>
      <w:r w:rsidRPr="00C81A6F">
        <w:rPr>
          <w:rFonts w:asciiTheme="minorHAnsi" w:hAnsiTheme="minorHAnsi"/>
        </w:rPr>
        <w:t>:</w:t>
      </w:r>
    </w:p>
    <w:p w14:paraId="71125EB1"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Fine Amount</w:t>
      </w:r>
      <w:r w:rsidRPr="00C81A6F">
        <w:rPr>
          <w:sz w:val="24"/>
          <w:szCs w:val="24"/>
        </w:rPr>
        <w:t>: $1 billion</w:t>
      </w:r>
    </w:p>
    <w:p w14:paraId="68C7A888"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Regulatory Body</w:t>
      </w:r>
      <w:r w:rsidRPr="00C81A6F">
        <w:rPr>
          <w:sz w:val="24"/>
          <w:szCs w:val="24"/>
        </w:rPr>
        <w:t>: CFPB, OCC</w:t>
      </w:r>
    </w:p>
    <w:p w14:paraId="4E99498A"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Reason</w:t>
      </w:r>
      <w:r w:rsidRPr="00C81A6F">
        <w:rPr>
          <w:sz w:val="24"/>
          <w:szCs w:val="24"/>
        </w:rPr>
        <w:t>: Auto loan and mortgage abuses. Wells Fargo was penalized for inappropriate practices in its auto loan and mortgage divisions, reflecting a significant compliance failure.</w:t>
      </w:r>
    </w:p>
    <w:p w14:paraId="69A70EB1" w14:textId="77777777" w:rsidR="00C81A6F" w:rsidRPr="00C81A6F" w:rsidRDefault="00C81A6F" w:rsidP="00C81A6F">
      <w:pPr>
        <w:pStyle w:val="NormalWeb"/>
        <w:numPr>
          <w:ilvl w:val="0"/>
          <w:numId w:val="17"/>
        </w:numPr>
        <w:spacing w:line="276" w:lineRule="auto"/>
        <w:rPr>
          <w:rFonts w:asciiTheme="minorHAnsi" w:hAnsiTheme="minorHAnsi"/>
        </w:rPr>
      </w:pPr>
      <w:r w:rsidRPr="00C81A6F">
        <w:rPr>
          <w:rStyle w:val="Strong"/>
          <w:rFonts w:asciiTheme="minorHAnsi" w:eastAsiaTheme="majorEastAsia" w:hAnsiTheme="minorHAnsi"/>
        </w:rPr>
        <w:t>Danske Bank (2018)</w:t>
      </w:r>
      <w:r w:rsidRPr="00C81A6F">
        <w:rPr>
          <w:rFonts w:asciiTheme="minorHAnsi" w:hAnsiTheme="minorHAnsi"/>
        </w:rPr>
        <w:t>:</w:t>
      </w:r>
    </w:p>
    <w:p w14:paraId="48EB9B27"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Fine Amount</w:t>
      </w:r>
      <w:r w:rsidRPr="00C81A6F">
        <w:rPr>
          <w:sz w:val="24"/>
          <w:szCs w:val="24"/>
        </w:rPr>
        <w:t>: $2 billion</w:t>
      </w:r>
    </w:p>
    <w:p w14:paraId="11AC14DE"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Regulatory Body</w:t>
      </w:r>
      <w:r w:rsidRPr="00C81A6F">
        <w:rPr>
          <w:sz w:val="24"/>
          <w:szCs w:val="24"/>
        </w:rPr>
        <w:t>: Danish FSA</w:t>
      </w:r>
    </w:p>
    <w:p w14:paraId="11A93921"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Reason</w:t>
      </w:r>
      <w:r w:rsidRPr="00C81A6F">
        <w:rPr>
          <w:sz w:val="24"/>
          <w:szCs w:val="24"/>
        </w:rPr>
        <w:t>: Money laundering through Estonian branch. This substantial fine highlights severe AML compliance breaches, underscoring the importance of stringent AML controls.</w:t>
      </w:r>
    </w:p>
    <w:p w14:paraId="24016E79" w14:textId="77777777" w:rsidR="00C81A6F" w:rsidRPr="00C81A6F" w:rsidRDefault="00C81A6F" w:rsidP="00C81A6F">
      <w:pPr>
        <w:pStyle w:val="NormalWeb"/>
        <w:numPr>
          <w:ilvl w:val="0"/>
          <w:numId w:val="17"/>
        </w:numPr>
        <w:spacing w:line="276" w:lineRule="auto"/>
        <w:rPr>
          <w:rFonts w:asciiTheme="minorHAnsi" w:hAnsiTheme="minorHAnsi"/>
        </w:rPr>
      </w:pPr>
      <w:r w:rsidRPr="00C81A6F">
        <w:rPr>
          <w:rStyle w:val="Strong"/>
          <w:rFonts w:asciiTheme="minorHAnsi" w:eastAsiaTheme="majorEastAsia" w:hAnsiTheme="minorHAnsi"/>
        </w:rPr>
        <w:t>Deutsche Bank (2020)</w:t>
      </w:r>
      <w:r w:rsidRPr="00C81A6F">
        <w:rPr>
          <w:rFonts w:asciiTheme="minorHAnsi" w:hAnsiTheme="minorHAnsi"/>
        </w:rPr>
        <w:t>:</w:t>
      </w:r>
    </w:p>
    <w:p w14:paraId="65F7D65F"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Fine Amount</w:t>
      </w:r>
      <w:r w:rsidRPr="00C81A6F">
        <w:rPr>
          <w:sz w:val="24"/>
          <w:szCs w:val="24"/>
        </w:rPr>
        <w:t>: $150 million</w:t>
      </w:r>
    </w:p>
    <w:p w14:paraId="6FE7E01D"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Regulatory Body</w:t>
      </w:r>
      <w:r w:rsidRPr="00C81A6F">
        <w:rPr>
          <w:sz w:val="24"/>
          <w:szCs w:val="24"/>
        </w:rPr>
        <w:t>: New York State Dept. of Financial Services</w:t>
      </w:r>
    </w:p>
    <w:p w14:paraId="2D8D9E10"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lastRenderedPageBreak/>
        <w:t>Reason</w:t>
      </w:r>
      <w:r w:rsidRPr="00C81A6F">
        <w:rPr>
          <w:sz w:val="24"/>
          <w:szCs w:val="24"/>
        </w:rPr>
        <w:t>: AML violations related to Jeffrey Epstein. Deutsche Bank faced penalties for inadequate AML practices, particularly concerning high-risk clients.</w:t>
      </w:r>
    </w:p>
    <w:p w14:paraId="2CF5AA73" w14:textId="77777777" w:rsidR="00C81A6F" w:rsidRPr="00C81A6F" w:rsidRDefault="00C81A6F" w:rsidP="00C81A6F">
      <w:pPr>
        <w:pStyle w:val="NormalWeb"/>
        <w:numPr>
          <w:ilvl w:val="0"/>
          <w:numId w:val="17"/>
        </w:numPr>
        <w:spacing w:line="276" w:lineRule="auto"/>
        <w:rPr>
          <w:rFonts w:asciiTheme="minorHAnsi" w:hAnsiTheme="minorHAnsi"/>
        </w:rPr>
      </w:pPr>
      <w:r w:rsidRPr="00C81A6F">
        <w:rPr>
          <w:rStyle w:val="Strong"/>
          <w:rFonts w:asciiTheme="minorHAnsi" w:eastAsiaTheme="majorEastAsia" w:hAnsiTheme="minorHAnsi"/>
        </w:rPr>
        <w:t>Goldman Sachs (2020)</w:t>
      </w:r>
      <w:r w:rsidRPr="00C81A6F">
        <w:rPr>
          <w:rFonts w:asciiTheme="minorHAnsi" w:hAnsiTheme="minorHAnsi"/>
        </w:rPr>
        <w:t>:</w:t>
      </w:r>
    </w:p>
    <w:p w14:paraId="6798C110"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Fine Amount</w:t>
      </w:r>
      <w:r w:rsidRPr="00C81A6F">
        <w:rPr>
          <w:sz w:val="24"/>
          <w:szCs w:val="24"/>
        </w:rPr>
        <w:t>: $2.9 billion</w:t>
      </w:r>
    </w:p>
    <w:p w14:paraId="6A3360FF"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Regulatory Body</w:t>
      </w:r>
      <w:r w:rsidRPr="00C81A6F">
        <w:rPr>
          <w:sz w:val="24"/>
          <w:szCs w:val="24"/>
        </w:rPr>
        <w:t>: DOJ, SEC</w:t>
      </w:r>
    </w:p>
    <w:p w14:paraId="501CFCD7"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Reason</w:t>
      </w:r>
      <w:r w:rsidRPr="00C81A6F">
        <w:rPr>
          <w:sz w:val="24"/>
          <w:szCs w:val="24"/>
        </w:rPr>
        <w:t>: 1MDB scandal. This massive fine for Goldman Sachs was due to its involvement in the Malaysian 1MDB corruption scandal, highlighting severe compliance and ethical lapses.</w:t>
      </w:r>
    </w:p>
    <w:p w14:paraId="031C94A8" w14:textId="77777777" w:rsidR="00C81A6F" w:rsidRPr="00C81A6F" w:rsidRDefault="00C81A6F" w:rsidP="00C81A6F">
      <w:pPr>
        <w:pStyle w:val="NormalWeb"/>
        <w:numPr>
          <w:ilvl w:val="0"/>
          <w:numId w:val="17"/>
        </w:numPr>
        <w:spacing w:line="276" w:lineRule="auto"/>
        <w:rPr>
          <w:rFonts w:asciiTheme="minorHAnsi" w:hAnsiTheme="minorHAnsi"/>
        </w:rPr>
      </w:pPr>
      <w:r w:rsidRPr="00C81A6F">
        <w:rPr>
          <w:rStyle w:val="Strong"/>
          <w:rFonts w:asciiTheme="minorHAnsi" w:eastAsiaTheme="majorEastAsia" w:hAnsiTheme="minorHAnsi"/>
        </w:rPr>
        <w:t>JPMorgan Chase (2020)</w:t>
      </w:r>
      <w:r w:rsidRPr="00C81A6F">
        <w:rPr>
          <w:rFonts w:asciiTheme="minorHAnsi" w:hAnsiTheme="minorHAnsi"/>
        </w:rPr>
        <w:t>:</w:t>
      </w:r>
    </w:p>
    <w:p w14:paraId="7A7FAE9E"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Fine Amount</w:t>
      </w:r>
      <w:r w:rsidRPr="00C81A6F">
        <w:rPr>
          <w:sz w:val="24"/>
          <w:szCs w:val="24"/>
        </w:rPr>
        <w:t>: $920 million</w:t>
      </w:r>
    </w:p>
    <w:p w14:paraId="0F5AEF72"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Regulatory Body</w:t>
      </w:r>
      <w:r w:rsidRPr="00C81A6F">
        <w:rPr>
          <w:sz w:val="24"/>
          <w:szCs w:val="24"/>
        </w:rPr>
        <w:t>: CFTC, SEC</w:t>
      </w:r>
    </w:p>
    <w:p w14:paraId="2EA09F30"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Reason</w:t>
      </w:r>
      <w:r w:rsidRPr="00C81A6F">
        <w:rPr>
          <w:sz w:val="24"/>
          <w:szCs w:val="24"/>
        </w:rPr>
        <w:t>: Market manipulation (spoofing). JPMorgan Chase was fined for market manipulation tactics, demonstrating the importance of maintaining market integrity.</w:t>
      </w:r>
    </w:p>
    <w:p w14:paraId="6307C5CF" w14:textId="77777777" w:rsidR="00C81A6F" w:rsidRPr="00C81A6F" w:rsidRDefault="00C81A6F" w:rsidP="00C81A6F">
      <w:pPr>
        <w:pStyle w:val="NormalWeb"/>
        <w:numPr>
          <w:ilvl w:val="0"/>
          <w:numId w:val="17"/>
        </w:numPr>
        <w:spacing w:line="276" w:lineRule="auto"/>
        <w:rPr>
          <w:rFonts w:asciiTheme="minorHAnsi" w:hAnsiTheme="minorHAnsi"/>
        </w:rPr>
      </w:pPr>
      <w:r w:rsidRPr="00C81A6F">
        <w:rPr>
          <w:rStyle w:val="Strong"/>
          <w:rFonts w:asciiTheme="minorHAnsi" w:eastAsiaTheme="majorEastAsia" w:hAnsiTheme="minorHAnsi"/>
        </w:rPr>
        <w:t>Citibank (2020)</w:t>
      </w:r>
      <w:r w:rsidRPr="00C81A6F">
        <w:rPr>
          <w:rFonts w:asciiTheme="minorHAnsi" w:hAnsiTheme="minorHAnsi"/>
        </w:rPr>
        <w:t>:</w:t>
      </w:r>
    </w:p>
    <w:p w14:paraId="3C3C7A14"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Fine Amount</w:t>
      </w:r>
      <w:r w:rsidRPr="00C81A6F">
        <w:rPr>
          <w:sz w:val="24"/>
          <w:szCs w:val="24"/>
        </w:rPr>
        <w:t>: $400 million</w:t>
      </w:r>
    </w:p>
    <w:p w14:paraId="77242FF9"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Regulatory Body</w:t>
      </w:r>
      <w:r w:rsidRPr="00C81A6F">
        <w:rPr>
          <w:sz w:val="24"/>
          <w:szCs w:val="24"/>
        </w:rPr>
        <w:t>: OCC</w:t>
      </w:r>
    </w:p>
    <w:p w14:paraId="42515413"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Reason</w:t>
      </w:r>
      <w:r w:rsidRPr="00C81A6F">
        <w:rPr>
          <w:sz w:val="24"/>
          <w:szCs w:val="24"/>
        </w:rPr>
        <w:t xml:space="preserve">: Risk management deficiencies. </w:t>
      </w:r>
      <w:proofErr w:type="gramStart"/>
      <w:r w:rsidRPr="00C81A6F">
        <w:rPr>
          <w:sz w:val="24"/>
          <w:szCs w:val="24"/>
        </w:rPr>
        <w:t>This fine underscores</w:t>
      </w:r>
      <w:proofErr w:type="gramEnd"/>
      <w:r w:rsidRPr="00C81A6F">
        <w:rPr>
          <w:sz w:val="24"/>
          <w:szCs w:val="24"/>
        </w:rPr>
        <w:t xml:space="preserve"> the need for robust risk management frameworks in banking operations.</w:t>
      </w:r>
    </w:p>
    <w:p w14:paraId="4513370B" w14:textId="77777777" w:rsidR="00C81A6F" w:rsidRPr="00C81A6F" w:rsidRDefault="00C81A6F" w:rsidP="00C81A6F">
      <w:pPr>
        <w:pStyle w:val="NormalWeb"/>
        <w:numPr>
          <w:ilvl w:val="0"/>
          <w:numId w:val="17"/>
        </w:numPr>
        <w:spacing w:line="276" w:lineRule="auto"/>
        <w:rPr>
          <w:rFonts w:asciiTheme="minorHAnsi" w:hAnsiTheme="minorHAnsi"/>
        </w:rPr>
      </w:pPr>
      <w:r w:rsidRPr="00C81A6F">
        <w:rPr>
          <w:rStyle w:val="Strong"/>
          <w:rFonts w:asciiTheme="minorHAnsi" w:eastAsiaTheme="majorEastAsia" w:hAnsiTheme="minorHAnsi"/>
        </w:rPr>
        <w:t>HSBC (2021)</w:t>
      </w:r>
      <w:r w:rsidRPr="00C81A6F">
        <w:rPr>
          <w:rFonts w:asciiTheme="minorHAnsi" w:hAnsiTheme="minorHAnsi"/>
        </w:rPr>
        <w:t>:</w:t>
      </w:r>
    </w:p>
    <w:p w14:paraId="0D33682E"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Fine Amount</w:t>
      </w:r>
      <w:r w:rsidRPr="00C81A6F">
        <w:rPr>
          <w:sz w:val="24"/>
          <w:szCs w:val="24"/>
        </w:rPr>
        <w:t>: $85 million</w:t>
      </w:r>
    </w:p>
    <w:p w14:paraId="0830759F"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Regulatory Body</w:t>
      </w:r>
      <w:r w:rsidRPr="00C81A6F">
        <w:rPr>
          <w:sz w:val="24"/>
          <w:szCs w:val="24"/>
        </w:rPr>
        <w:t>: UK FCA</w:t>
      </w:r>
    </w:p>
    <w:p w14:paraId="461CFE1F"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Reason</w:t>
      </w:r>
      <w:r w:rsidRPr="00C81A6F">
        <w:rPr>
          <w:sz w:val="24"/>
          <w:szCs w:val="24"/>
        </w:rPr>
        <w:t>: AML program failures. HSBC's penalty reflects ongoing challenges in maintaining effective AML programs.</w:t>
      </w:r>
    </w:p>
    <w:p w14:paraId="614DCF4A" w14:textId="77777777" w:rsidR="00C81A6F" w:rsidRPr="00C81A6F" w:rsidRDefault="00C81A6F" w:rsidP="00C81A6F">
      <w:pPr>
        <w:pStyle w:val="NormalWeb"/>
        <w:numPr>
          <w:ilvl w:val="0"/>
          <w:numId w:val="17"/>
        </w:numPr>
        <w:spacing w:line="276" w:lineRule="auto"/>
        <w:rPr>
          <w:rFonts w:asciiTheme="minorHAnsi" w:hAnsiTheme="minorHAnsi"/>
        </w:rPr>
      </w:pPr>
      <w:r w:rsidRPr="00C81A6F">
        <w:rPr>
          <w:rStyle w:val="Strong"/>
          <w:rFonts w:asciiTheme="minorHAnsi" w:eastAsiaTheme="majorEastAsia" w:hAnsiTheme="minorHAnsi"/>
        </w:rPr>
        <w:t>Credit Suisse (2021)</w:t>
      </w:r>
      <w:r w:rsidRPr="00C81A6F">
        <w:rPr>
          <w:rFonts w:asciiTheme="minorHAnsi" w:hAnsiTheme="minorHAnsi"/>
        </w:rPr>
        <w:t>:</w:t>
      </w:r>
    </w:p>
    <w:p w14:paraId="01163688"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Fine Amount</w:t>
      </w:r>
      <w:r w:rsidRPr="00C81A6F">
        <w:rPr>
          <w:sz w:val="24"/>
          <w:szCs w:val="24"/>
        </w:rPr>
        <w:t>: $547 million</w:t>
      </w:r>
    </w:p>
    <w:p w14:paraId="4C36C16B"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Regulatory Body</w:t>
      </w:r>
      <w:r w:rsidRPr="00C81A6F">
        <w:rPr>
          <w:sz w:val="24"/>
          <w:szCs w:val="24"/>
        </w:rPr>
        <w:t>: DOJ, Swiss Financial Market Supervisory Authority</w:t>
      </w:r>
    </w:p>
    <w:p w14:paraId="6BA700AF"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Reason</w:t>
      </w:r>
      <w:r w:rsidRPr="00C81A6F">
        <w:rPr>
          <w:sz w:val="24"/>
          <w:szCs w:val="24"/>
        </w:rPr>
        <w:t>: Mozambique "tuna bonds" scandal. The fine was due to fraudulent practices related to bond offerings, indicating serious compliance and governance issues.</w:t>
      </w:r>
    </w:p>
    <w:p w14:paraId="00D22493" w14:textId="77777777" w:rsidR="00C81A6F" w:rsidRPr="00C81A6F" w:rsidRDefault="00C81A6F" w:rsidP="00C81A6F">
      <w:pPr>
        <w:pStyle w:val="NormalWeb"/>
        <w:numPr>
          <w:ilvl w:val="0"/>
          <w:numId w:val="17"/>
        </w:numPr>
        <w:spacing w:line="276" w:lineRule="auto"/>
        <w:rPr>
          <w:rFonts w:asciiTheme="minorHAnsi" w:hAnsiTheme="minorHAnsi"/>
        </w:rPr>
      </w:pPr>
      <w:r w:rsidRPr="00C81A6F">
        <w:rPr>
          <w:rStyle w:val="Strong"/>
          <w:rFonts w:asciiTheme="minorHAnsi" w:eastAsiaTheme="majorEastAsia" w:hAnsiTheme="minorHAnsi"/>
        </w:rPr>
        <w:t>Robinhood (2021)</w:t>
      </w:r>
      <w:r w:rsidRPr="00C81A6F">
        <w:rPr>
          <w:rFonts w:asciiTheme="minorHAnsi" w:hAnsiTheme="minorHAnsi"/>
        </w:rPr>
        <w:t>:</w:t>
      </w:r>
    </w:p>
    <w:p w14:paraId="18D1DD91"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Fine Amount</w:t>
      </w:r>
      <w:r w:rsidRPr="00C81A6F">
        <w:rPr>
          <w:sz w:val="24"/>
          <w:szCs w:val="24"/>
        </w:rPr>
        <w:t>: $70 million</w:t>
      </w:r>
    </w:p>
    <w:p w14:paraId="462DC610"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Regulatory Body</w:t>
      </w:r>
      <w:r w:rsidRPr="00C81A6F">
        <w:rPr>
          <w:sz w:val="24"/>
          <w:szCs w:val="24"/>
        </w:rPr>
        <w:t>: FINRA</w:t>
      </w:r>
    </w:p>
    <w:p w14:paraId="6514369B" w14:textId="77777777" w:rsidR="00C81A6F" w:rsidRPr="00C81A6F" w:rsidRDefault="00C81A6F" w:rsidP="00C81A6F">
      <w:pPr>
        <w:numPr>
          <w:ilvl w:val="1"/>
          <w:numId w:val="17"/>
        </w:numPr>
        <w:spacing w:before="100" w:beforeAutospacing="1" w:after="100" w:afterAutospacing="1" w:line="276" w:lineRule="auto"/>
        <w:rPr>
          <w:sz w:val="24"/>
          <w:szCs w:val="24"/>
        </w:rPr>
      </w:pPr>
      <w:r w:rsidRPr="00C81A6F">
        <w:rPr>
          <w:rStyle w:val="Strong"/>
          <w:sz w:val="24"/>
          <w:szCs w:val="24"/>
        </w:rPr>
        <w:t>Reason</w:t>
      </w:r>
      <w:r w:rsidRPr="00C81A6F">
        <w:rPr>
          <w:sz w:val="24"/>
          <w:szCs w:val="24"/>
        </w:rPr>
        <w:t xml:space="preserve">: Systemic failures and misleading customers. </w:t>
      </w:r>
      <w:proofErr w:type="gramStart"/>
      <w:r w:rsidRPr="00C81A6F">
        <w:rPr>
          <w:sz w:val="24"/>
          <w:szCs w:val="24"/>
        </w:rPr>
        <w:t>This fine highlights</w:t>
      </w:r>
      <w:proofErr w:type="gramEnd"/>
      <w:r w:rsidRPr="00C81A6F">
        <w:rPr>
          <w:sz w:val="24"/>
          <w:szCs w:val="24"/>
        </w:rPr>
        <w:t xml:space="preserve"> the critical importance of reliable systems and transparent communication with customers.</w:t>
      </w:r>
    </w:p>
    <w:p w14:paraId="537FB1EC" w14:textId="77777777" w:rsidR="00C81A6F" w:rsidRDefault="00C81A6F" w:rsidP="00C81A6F">
      <w:pPr>
        <w:pStyle w:val="Heading3"/>
      </w:pPr>
      <w:r>
        <w:lastRenderedPageBreak/>
        <w:t>Key Takeaways:</w:t>
      </w:r>
    </w:p>
    <w:p w14:paraId="64D98DDD" w14:textId="52AB7990" w:rsidR="00C81A6F" w:rsidRPr="00246BA0" w:rsidRDefault="00C81A6F" w:rsidP="00C81A6F">
      <w:pPr>
        <w:numPr>
          <w:ilvl w:val="0"/>
          <w:numId w:val="18"/>
        </w:numPr>
        <w:spacing w:before="100" w:beforeAutospacing="1" w:after="100" w:afterAutospacing="1" w:line="240" w:lineRule="auto"/>
        <w:rPr>
          <w:sz w:val="24"/>
          <w:szCs w:val="24"/>
        </w:rPr>
      </w:pPr>
      <w:r w:rsidRPr="00246BA0">
        <w:rPr>
          <w:sz w:val="24"/>
          <w:szCs w:val="24"/>
        </w:rPr>
        <w:t>Regulatory fines are imposed for a range of violations, including AML failures, market manipulation, risk management deficiencies, and unethical practices.</w:t>
      </w:r>
    </w:p>
    <w:p w14:paraId="09243D0B" w14:textId="77777777" w:rsidR="00C81A6F" w:rsidRPr="00246BA0" w:rsidRDefault="00C81A6F" w:rsidP="00C81A6F">
      <w:pPr>
        <w:numPr>
          <w:ilvl w:val="0"/>
          <w:numId w:val="18"/>
        </w:numPr>
        <w:spacing w:before="100" w:beforeAutospacing="1" w:after="100" w:afterAutospacing="1" w:line="240" w:lineRule="auto"/>
        <w:rPr>
          <w:sz w:val="24"/>
          <w:szCs w:val="24"/>
        </w:rPr>
      </w:pPr>
      <w:r w:rsidRPr="00246BA0">
        <w:rPr>
          <w:sz w:val="24"/>
          <w:szCs w:val="24"/>
        </w:rPr>
        <w:t>Significant fines, such as those on Goldman Sachs and Danske Bank, reflect the serious nature of compliance breaches and the substantial impact on financial institutions.</w:t>
      </w:r>
    </w:p>
    <w:p w14:paraId="4E4675BC" w14:textId="77777777" w:rsidR="00C81A6F" w:rsidRPr="00246BA0" w:rsidRDefault="00C81A6F" w:rsidP="00C81A6F">
      <w:pPr>
        <w:numPr>
          <w:ilvl w:val="0"/>
          <w:numId w:val="18"/>
        </w:numPr>
        <w:spacing w:before="100" w:beforeAutospacing="1" w:after="100" w:afterAutospacing="1" w:line="240" w:lineRule="auto"/>
        <w:rPr>
          <w:sz w:val="24"/>
          <w:szCs w:val="24"/>
        </w:rPr>
      </w:pPr>
      <w:r w:rsidRPr="00246BA0">
        <w:rPr>
          <w:sz w:val="24"/>
          <w:szCs w:val="24"/>
        </w:rPr>
        <w:t>Banks must prioritize robust compliance and risk management frameworks to avoid such penalties and maintain their reputation and operational integrity.</w:t>
      </w:r>
    </w:p>
    <w:p w14:paraId="5F0DDC29" w14:textId="77777777" w:rsidR="00C81A6F" w:rsidRDefault="00C81A6F" w:rsidP="00C81A6F">
      <w:pPr>
        <w:spacing w:after="0" w:line="240" w:lineRule="auto"/>
        <w:rPr>
          <w:rFonts w:ascii="Aptos Narrow" w:eastAsia="Times New Roman" w:hAnsi="Aptos Narrow" w:cs="Times New Roman"/>
          <w:b/>
          <w:bCs/>
          <w:color w:val="000000"/>
          <w:kern w:val="0"/>
          <w:sz w:val="28"/>
          <w:szCs w:val="28"/>
          <w:lang w:eastAsia="en-IN"/>
          <w14:ligatures w14:val="none"/>
        </w:rPr>
      </w:pPr>
      <w:r w:rsidRPr="00C81A6F">
        <w:rPr>
          <w:rFonts w:ascii="Aptos Narrow" w:eastAsia="Times New Roman" w:hAnsi="Aptos Narrow" w:cs="Times New Roman"/>
          <w:b/>
          <w:bCs/>
          <w:color w:val="000000"/>
          <w:kern w:val="0"/>
          <w:sz w:val="28"/>
          <w:szCs w:val="28"/>
          <w:lang w:eastAsia="en-IN"/>
          <w14:ligatures w14:val="none"/>
        </w:rPr>
        <w:t>Compliance Program Costs for Major Banks (2022)</w:t>
      </w:r>
    </w:p>
    <w:p w14:paraId="1E693504" w14:textId="2C556501" w:rsidR="00C81A6F" w:rsidRPr="00C81A6F" w:rsidRDefault="00C81A6F" w:rsidP="00C81A6F">
      <w:pPr>
        <w:spacing w:after="0" w:line="240" w:lineRule="auto"/>
        <w:rPr>
          <w:rFonts w:ascii="Aptos Narrow" w:eastAsia="Times New Roman" w:hAnsi="Aptos Narrow" w:cs="Times New Roman"/>
          <w:b/>
          <w:bCs/>
          <w:color w:val="000000"/>
          <w:kern w:val="0"/>
          <w:sz w:val="28"/>
          <w:szCs w:val="28"/>
          <w:lang w:eastAsia="en-IN"/>
          <w14:ligatures w14:val="none"/>
        </w:rPr>
      </w:pPr>
    </w:p>
    <w:tbl>
      <w:tblPr>
        <w:tblStyle w:val="TableGrid"/>
        <w:tblW w:w="9130" w:type="dxa"/>
        <w:tblLook w:val="04A0" w:firstRow="1" w:lastRow="0" w:firstColumn="1" w:lastColumn="0" w:noHBand="0" w:noVBand="1"/>
      </w:tblPr>
      <w:tblGrid>
        <w:gridCol w:w="1920"/>
        <w:gridCol w:w="3069"/>
        <w:gridCol w:w="4141"/>
      </w:tblGrid>
      <w:tr w:rsidR="00C81A6F" w:rsidRPr="00C81A6F" w14:paraId="135FE620" w14:textId="77777777" w:rsidTr="00246BA0">
        <w:trPr>
          <w:trHeight w:val="640"/>
        </w:trPr>
        <w:tc>
          <w:tcPr>
            <w:tcW w:w="1920" w:type="dxa"/>
            <w:hideMark/>
          </w:tcPr>
          <w:p w14:paraId="48A902D5" w14:textId="77777777" w:rsidR="00C81A6F" w:rsidRPr="00C81A6F" w:rsidRDefault="00C81A6F" w:rsidP="00C81A6F">
            <w:pPr>
              <w:jc w:val="center"/>
              <w:rPr>
                <w:rFonts w:ascii="Aptos Narrow" w:eastAsia="Times New Roman" w:hAnsi="Aptos Narrow" w:cs="Times New Roman"/>
                <w:b/>
                <w:bCs/>
                <w:color w:val="000000"/>
                <w:kern w:val="0"/>
                <w:sz w:val="24"/>
                <w:szCs w:val="24"/>
                <w:lang w:eastAsia="en-IN"/>
                <w14:ligatures w14:val="none"/>
              </w:rPr>
            </w:pPr>
            <w:r w:rsidRPr="00C81A6F">
              <w:rPr>
                <w:rFonts w:ascii="Aptos Narrow" w:eastAsia="Times New Roman" w:hAnsi="Aptos Narrow" w:cs="Times New Roman"/>
                <w:b/>
                <w:bCs/>
                <w:color w:val="000000"/>
                <w:kern w:val="0"/>
                <w:sz w:val="24"/>
                <w:szCs w:val="24"/>
                <w:lang w:eastAsia="en-IN"/>
                <w14:ligatures w14:val="none"/>
              </w:rPr>
              <w:t>Bank</w:t>
            </w:r>
          </w:p>
        </w:tc>
        <w:tc>
          <w:tcPr>
            <w:tcW w:w="3069" w:type="dxa"/>
            <w:hideMark/>
          </w:tcPr>
          <w:p w14:paraId="16DE782D" w14:textId="77777777" w:rsidR="00C81A6F" w:rsidRPr="00C81A6F" w:rsidRDefault="00C81A6F" w:rsidP="00C81A6F">
            <w:pPr>
              <w:jc w:val="center"/>
              <w:rPr>
                <w:rFonts w:ascii="Aptos Narrow" w:eastAsia="Times New Roman" w:hAnsi="Aptos Narrow" w:cs="Times New Roman"/>
                <w:b/>
                <w:bCs/>
                <w:color w:val="000000"/>
                <w:kern w:val="0"/>
                <w:sz w:val="24"/>
                <w:szCs w:val="24"/>
                <w:lang w:eastAsia="en-IN"/>
                <w14:ligatures w14:val="none"/>
              </w:rPr>
            </w:pPr>
            <w:r w:rsidRPr="00C81A6F">
              <w:rPr>
                <w:rFonts w:ascii="Aptos Narrow" w:eastAsia="Times New Roman" w:hAnsi="Aptos Narrow" w:cs="Times New Roman"/>
                <w:b/>
                <w:bCs/>
                <w:color w:val="000000"/>
                <w:kern w:val="0"/>
                <w:sz w:val="24"/>
                <w:szCs w:val="24"/>
                <w:lang w:eastAsia="en-IN"/>
                <w14:ligatures w14:val="none"/>
              </w:rPr>
              <w:t>Compliance Budget (USD million)</w:t>
            </w:r>
          </w:p>
        </w:tc>
        <w:tc>
          <w:tcPr>
            <w:tcW w:w="4141" w:type="dxa"/>
            <w:hideMark/>
          </w:tcPr>
          <w:p w14:paraId="6FB5252B" w14:textId="77777777" w:rsidR="00C81A6F" w:rsidRPr="00C81A6F" w:rsidRDefault="00C81A6F" w:rsidP="00C81A6F">
            <w:pPr>
              <w:jc w:val="center"/>
              <w:rPr>
                <w:rFonts w:ascii="Aptos Narrow" w:eastAsia="Times New Roman" w:hAnsi="Aptos Narrow" w:cs="Times New Roman"/>
                <w:b/>
                <w:bCs/>
                <w:color w:val="000000"/>
                <w:kern w:val="0"/>
                <w:sz w:val="24"/>
                <w:szCs w:val="24"/>
                <w:lang w:eastAsia="en-IN"/>
                <w14:ligatures w14:val="none"/>
              </w:rPr>
            </w:pPr>
            <w:r w:rsidRPr="00C81A6F">
              <w:rPr>
                <w:rFonts w:ascii="Aptos Narrow" w:eastAsia="Times New Roman" w:hAnsi="Aptos Narrow" w:cs="Times New Roman"/>
                <w:b/>
                <w:bCs/>
                <w:color w:val="000000"/>
                <w:kern w:val="0"/>
                <w:sz w:val="24"/>
                <w:szCs w:val="24"/>
                <w:lang w:eastAsia="en-IN"/>
                <w14:ligatures w14:val="none"/>
              </w:rPr>
              <w:t>Percentage of Operating Expenses (%)</w:t>
            </w:r>
          </w:p>
        </w:tc>
      </w:tr>
      <w:tr w:rsidR="00C81A6F" w:rsidRPr="00C81A6F" w14:paraId="38B0B666" w14:textId="77777777" w:rsidTr="00246BA0">
        <w:trPr>
          <w:trHeight w:val="389"/>
        </w:trPr>
        <w:tc>
          <w:tcPr>
            <w:tcW w:w="1920" w:type="dxa"/>
            <w:hideMark/>
          </w:tcPr>
          <w:p w14:paraId="610C04B5" w14:textId="77777777" w:rsidR="00C81A6F" w:rsidRPr="00C81A6F" w:rsidRDefault="00C81A6F" w:rsidP="00C81A6F">
            <w:pPr>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JPMorgan Chase</w:t>
            </w:r>
          </w:p>
        </w:tc>
        <w:tc>
          <w:tcPr>
            <w:tcW w:w="3069" w:type="dxa"/>
            <w:hideMark/>
          </w:tcPr>
          <w:p w14:paraId="251D7E9B"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2,000</w:t>
            </w:r>
          </w:p>
        </w:tc>
        <w:tc>
          <w:tcPr>
            <w:tcW w:w="4141" w:type="dxa"/>
            <w:hideMark/>
          </w:tcPr>
          <w:p w14:paraId="778EB488"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3.50%</w:t>
            </w:r>
          </w:p>
        </w:tc>
      </w:tr>
      <w:tr w:rsidR="00C81A6F" w:rsidRPr="00C81A6F" w14:paraId="68225EE4" w14:textId="77777777" w:rsidTr="00246BA0">
        <w:trPr>
          <w:trHeight w:val="389"/>
        </w:trPr>
        <w:tc>
          <w:tcPr>
            <w:tcW w:w="1920" w:type="dxa"/>
            <w:hideMark/>
          </w:tcPr>
          <w:p w14:paraId="6E523D98" w14:textId="77777777" w:rsidR="00C81A6F" w:rsidRPr="00C81A6F" w:rsidRDefault="00C81A6F" w:rsidP="00C81A6F">
            <w:pPr>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Bank of America</w:t>
            </w:r>
          </w:p>
        </w:tc>
        <w:tc>
          <w:tcPr>
            <w:tcW w:w="3069" w:type="dxa"/>
            <w:hideMark/>
          </w:tcPr>
          <w:p w14:paraId="6411E88D"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1,800</w:t>
            </w:r>
          </w:p>
        </w:tc>
        <w:tc>
          <w:tcPr>
            <w:tcW w:w="4141" w:type="dxa"/>
            <w:hideMark/>
          </w:tcPr>
          <w:p w14:paraId="1E135EA3"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3.80%</w:t>
            </w:r>
          </w:p>
        </w:tc>
      </w:tr>
      <w:tr w:rsidR="00C81A6F" w:rsidRPr="00C81A6F" w14:paraId="1250F864" w14:textId="77777777" w:rsidTr="00246BA0">
        <w:trPr>
          <w:trHeight w:val="389"/>
        </w:trPr>
        <w:tc>
          <w:tcPr>
            <w:tcW w:w="1920" w:type="dxa"/>
            <w:hideMark/>
          </w:tcPr>
          <w:p w14:paraId="099F3C34" w14:textId="77777777" w:rsidR="00C81A6F" w:rsidRPr="00C81A6F" w:rsidRDefault="00C81A6F" w:rsidP="00C81A6F">
            <w:pPr>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Wells Fargo</w:t>
            </w:r>
          </w:p>
        </w:tc>
        <w:tc>
          <w:tcPr>
            <w:tcW w:w="3069" w:type="dxa"/>
            <w:hideMark/>
          </w:tcPr>
          <w:p w14:paraId="3CD55588"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1,500</w:t>
            </w:r>
          </w:p>
        </w:tc>
        <w:tc>
          <w:tcPr>
            <w:tcW w:w="4141" w:type="dxa"/>
            <w:hideMark/>
          </w:tcPr>
          <w:p w14:paraId="5F3F168D"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3.20%</w:t>
            </w:r>
          </w:p>
        </w:tc>
      </w:tr>
      <w:tr w:rsidR="00C81A6F" w:rsidRPr="00C81A6F" w14:paraId="16FD8271" w14:textId="77777777" w:rsidTr="00246BA0">
        <w:trPr>
          <w:trHeight w:val="194"/>
        </w:trPr>
        <w:tc>
          <w:tcPr>
            <w:tcW w:w="1920" w:type="dxa"/>
            <w:hideMark/>
          </w:tcPr>
          <w:p w14:paraId="4755CDA6" w14:textId="77777777" w:rsidR="00C81A6F" w:rsidRPr="00C81A6F" w:rsidRDefault="00C81A6F" w:rsidP="00C81A6F">
            <w:pPr>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Citibank</w:t>
            </w:r>
          </w:p>
        </w:tc>
        <w:tc>
          <w:tcPr>
            <w:tcW w:w="3069" w:type="dxa"/>
            <w:hideMark/>
          </w:tcPr>
          <w:p w14:paraId="41BF316C"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1,200</w:t>
            </w:r>
          </w:p>
        </w:tc>
        <w:tc>
          <w:tcPr>
            <w:tcW w:w="4141" w:type="dxa"/>
            <w:hideMark/>
          </w:tcPr>
          <w:p w14:paraId="5ED7C716"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2.90%</w:t>
            </w:r>
          </w:p>
        </w:tc>
      </w:tr>
      <w:tr w:rsidR="00C81A6F" w:rsidRPr="00C81A6F" w14:paraId="7068D34E" w14:textId="77777777" w:rsidTr="00246BA0">
        <w:trPr>
          <w:trHeight w:val="194"/>
        </w:trPr>
        <w:tc>
          <w:tcPr>
            <w:tcW w:w="1920" w:type="dxa"/>
            <w:hideMark/>
          </w:tcPr>
          <w:p w14:paraId="1681EEA9" w14:textId="77777777" w:rsidR="00C81A6F" w:rsidRPr="00C81A6F" w:rsidRDefault="00C81A6F" w:rsidP="00C81A6F">
            <w:pPr>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HSBC</w:t>
            </w:r>
          </w:p>
        </w:tc>
        <w:tc>
          <w:tcPr>
            <w:tcW w:w="3069" w:type="dxa"/>
            <w:hideMark/>
          </w:tcPr>
          <w:p w14:paraId="11AD996C"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1,000</w:t>
            </w:r>
          </w:p>
        </w:tc>
        <w:tc>
          <w:tcPr>
            <w:tcW w:w="4141" w:type="dxa"/>
            <w:hideMark/>
          </w:tcPr>
          <w:p w14:paraId="4BE37769"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2.70%</w:t>
            </w:r>
          </w:p>
        </w:tc>
      </w:tr>
      <w:tr w:rsidR="00C81A6F" w:rsidRPr="00C81A6F" w14:paraId="0B3CDA44" w14:textId="77777777" w:rsidTr="00246BA0">
        <w:trPr>
          <w:trHeight w:val="389"/>
        </w:trPr>
        <w:tc>
          <w:tcPr>
            <w:tcW w:w="1920" w:type="dxa"/>
            <w:hideMark/>
          </w:tcPr>
          <w:p w14:paraId="007F4137" w14:textId="1B60F0A2" w:rsidR="00C81A6F" w:rsidRPr="00C81A6F" w:rsidRDefault="00C81A6F" w:rsidP="00C81A6F">
            <w:pPr>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Goldman Sachs</w:t>
            </w:r>
          </w:p>
        </w:tc>
        <w:tc>
          <w:tcPr>
            <w:tcW w:w="3069" w:type="dxa"/>
            <w:hideMark/>
          </w:tcPr>
          <w:p w14:paraId="2CF5816C"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900</w:t>
            </w:r>
          </w:p>
        </w:tc>
        <w:tc>
          <w:tcPr>
            <w:tcW w:w="4141" w:type="dxa"/>
            <w:hideMark/>
          </w:tcPr>
          <w:p w14:paraId="6172C6AE"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2.60%</w:t>
            </w:r>
          </w:p>
        </w:tc>
      </w:tr>
      <w:tr w:rsidR="00C81A6F" w:rsidRPr="00C81A6F" w14:paraId="6552B209" w14:textId="77777777" w:rsidTr="00246BA0">
        <w:trPr>
          <w:trHeight w:val="389"/>
        </w:trPr>
        <w:tc>
          <w:tcPr>
            <w:tcW w:w="1920" w:type="dxa"/>
            <w:hideMark/>
          </w:tcPr>
          <w:p w14:paraId="388E24CA" w14:textId="77777777" w:rsidR="00C81A6F" w:rsidRPr="00C81A6F" w:rsidRDefault="00C81A6F" w:rsidP="00C81A6F">
            <w:pPr>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Deutsche Bank</w:t>
            </w:r>
          </w:p>
        </w:tc>
        <w:tc>
          <w:tcPr>
            <w:tcW w:w="3069" w:type="dxa"/>
            <w:hideMark/>
          </w:tcPr>
          <w:p w14:paraId="40263B2A"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800</w:t>
            </w:r>
          </w:p>
        </w:tc>
        <w:tc>
          <w:tcPr>
            <w:tcW w:w="4141" w:type="dxa"/>
            <w:hideMark/>
          </w:tcPr>
          <w:p w14:paraId="15B895AC"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3.00%</w:t>
            </w:r>
          </w:p>
        </w:tc>
      </w:tr>
      <w:tr w:rsidR="00C81A6F" w:rsidRPr="00C81A6F" w14:paraId="7860E92E" w14:textId="77777777" w:rsidTr="00246BA0">
        <w:trPr>
          <w:trHeight w:val="194"/>
        </w:trPr>
        <w:tc>
          <w:tcPr>
            <w:tcW w:w="1920" w:type="dxa"/>
            <w:hideMark/>
          </w:tcPr>
          <w:p w14:paraId="3084F935" w14:textId="10E3A1F1" w:rsidR="00C81A6F" w:rsidRPr="00C81A6F" w:rsidRDefault="00C81A6F" w:rsidP="00C81A6F">
            <w:pPr>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Barclays</w:t>
            </w:r>
          </w:p>
        </w:tc>
        <w:tc>
          <w:tcPr>
            <w:tcW w:w="3069" w:type="dxa"/>
            <w:hideMark/>
          </w:tcPr>
          <w:p w14:paraId="78593C58"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750</w:t>
            </w:r>
          </w:p>
        </w:tc>
        <w:tc>
          <w:tcPr>
            <w:tcW w:w="4141" w:type="dxa"/>
            <w:hideMark/>
          </w:tcPr>
          <w:p w14:paraId="126CF0DC"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2.50%</w:t>
            </w:r>
          </w:p>
        </w:tc>
      </w:tr>
      <w:tr w:rsidR="00C81A6F" w:rsidRPr="00C81A6F" w14:paraId="2F9516A6" w14:textId="77777777" w:rsidTr="00246BA0">
        <w:trPr>
          <w:trHeight w:val="389"/>
        </w:trPr>
        <w:tc>
          <w:tcPr>
            <w:tcW w:w="1920" w:type="dxa"/>
            <w:hideMark/>
          </w:tcPr>
          <w:p w14:paraId="38DE91EE" w14:textId="77777777" w:rsidR="00C81A6F" w:rsidRPr="00C81A6F" w:rsidRDefault="00C81A6F" w:rsidP="00C81A6F">
            <w:pPr>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Credit Suisse</w:t>
            </w:r>
          </w:p>
        </w:tc>
        <w:tc>
          <w:tcPr>
            <w:tcW w:w="3069" w:type="dxa"/>
            <w:hideMark/>
          </w:tcPr>
          <w:p w14:paraId="4D9139FE"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700</w:t>
            </w:r>
          </w:p>
        </w:tc>
        <w:tc>
          <w:tcPr>
            <w:tcW w:w="4141" w:type="dxa"/>
            <w:hideMark/>
          </w:tcPr>
          <w:p w14:paraId="576A99A4"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2.40%</w:t>
            </w:r>
          </w:p>
        </w:tc>
      </w:tr>
      <w:tr w:rsidR="00C81A6F" w:rsidRPr="00C81A6F" w14:paraId="75777AAE" w14:textId="77777777" w:rsidTr="00246BA0">
        <w:trPr>
          <w:trHeight w:val="194"/>
        </w:trPr>
        <w:tc>
          <w:tcPr>
            <w:tcW w:w="1920" w:type="dxa"/>
            <w:hideMark/>
          </w:tcPr>
          <w:p w14:paraId="0592B1A1" w14:textId="208BCC9A" w:rsidR="00C81A6F" w:rsidRPr="00C81A6F" w:rsidRDefault="00C81A6F" w:rsidP="00C81A6F">
            <w:pPr>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UBS</w:t>
            </w:r>
          </w:p>
        </w:tc>
        <w:tc>
          <w:tcPr>
            <w:tcW w:w="3069" w:type="dxa"/>
            <w:hideMark/>
          </w:tcPr>
          <w:p w14:paraId="67B5205D"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650</w:t>
            </w:r>
          </w:p>
        </w:tc>
        <w:tc>
          <w:tcPr>
            <w:tcW w:w="4141" w:type="dxa"/>
            <w:hideMark/>
          </w:tcPr>
          <w:p w14:paraId="2AA77670"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2.30%</w:t>
            </w:r>
          </w:p>
        </w:tc>
      </w:tr>
    </w:tbl>
    <w:p w14:paraId="6A0B7E99" w14:textId="6310A3F0" w:rsidR="00C81A6F" w:rsidRDefault="00246BA0">
      <w:pPr>
        <w:rPr>
          <w:rFonts w:eastAsia="Times New Roman" w:cs="Times New Roman"/>
          <w:b/>
          <w:bCs/>
          <w:kern w:val="0"/>
          <w:sz w:val="24"/>
          <w:szCs w:val="24"/>
          <w:lang w:eastAsia="en-IN"/>
          <w14:ligatures w14:val="none"/>
        </w:rPr>
      </w:pPr>
      <w:r>
        <w:rPr>
          <w:noProof/>
        </w:rPr>
        <w:drawing>
          <wp:anchor distT="0" distB="0" distL="114300" distR="114300" simplePos="0" relativeHeight="251659264" behindDoc="0" locked="0" layoutInCell="1" allowOverlap="1" wp14:anchorId="62AD30B4" wp14:editId="42E61993">
            <wp:simplePos x="0" y="0"/>
            <wp:positionH relativeFrom="column">
              <wp:posOffset>-76200</wp:posOffset>
            </wp:positionH>
            <wp:positionV relativeFrom="paragraph">
              <wp:posOffset>311786</wp:posOffset>
            </wp:positionV>
            <wp:extent cx="5969000" cy="3048000"/>
            <wp:effectExtent l="0" t="0" r="12700" b="0"/>
            <wp:wrapNone/>
            <wp:docPr id="2145294316" name="Chart 1">
              <a:extLst xmlns:a="http://schemas.openxmlformats.org/drawingml/2006/main">
                <a:ext uri="{FF2B5EF4-FFF2-40B4-BE49-F238E27FC236}">
                  <a16:creationId xmlns:a16="http://schemas.microsoft.com/office/drawing/2014/main" id="{48EF087A-44B5-C549-EB0D-0090520324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C81A6F">
        <w:rPr>
          <w:rFonts w:eastAsia="Times New Roman" w:cs="Times New Roman"/>
          <w:b/>
          <w:bCs/>
          <w:kern w:val="0"/>
          <w:sz w:val="24"/>
          <w:szCs w:val="24"/>
          <w:lang w:eastAsia="en-IN"/>
          <w14:ligatures w14:val="none"/>
        </w:rPr>
        <w:br w:type="page"/>
      </w:r>
    </w:p>
    <w:p w14:paraId="38030590" w14:textId="77777777" w:rsidR="00C81A6F" w:rsidRDefault="00C81A6F" w:rsidP="00C81A6F">
      <w:pPr>
        <w:pStyle w:val="Heading3"/>
      </w:pPr>
      <w:r>
        <w:lastRenderedPageBreak/>
        <w:t>Interpretation of Compliance Budgets in Major Banks (2022)</w:t>
      </w:r>
    </w:p>
    <w:p w14:paraId="66F9375B" w14:textId="77777777" w:rsidR="00C81A6F" w:rsidRPr="00C81A6F" w:rsidRDefault="00C81A6F" w:rsidP="00C81A6F">
      <w:pPr>
        <w:pStyle w:val="NormalWeb"/>
        <w:numPr>
          <w:ilvl w:val="0"/>
          <w:numId w:val="19"/>
        </w:numPr>
        <w:spacing w:line="276" w:lineRule="auto"/>
        <w:rPr>
          <w:rFonts w:asciiTheme="minorHAnsi" w:hAnsiTheme="minorHAnsi"/>
        </w:rPr>
      </w:pPr>
      <w:r w:rsidRPr="00C81A6F">
        <w:rPr>
          <w:rStyle w:val="Strong"/>
          <w:rFonts w:asciiTheme="minorHAnsi" w:eastAsiaTheme="majorEastAsia" w:hAnsiTheme="minorHAnsi"/>
        </w:rPr>
        <w:t>JPMorgan Chase</w:t>
      </w:r>
      <w:r w:rsidRPr="00C81A6F">
        <w:rPr>
          <w:rFonts w:asciiTheme="minorHAnsi" w:hAnsiTheme="minorHAnsi"/>
        </w:rPr>
        <w:t>:</w:t>
      </w:r>
    </w:p>
    <w:p w14:paraId="01CD9A4B"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Compliance Budget</w:t>
      </w:r>
      <w:r w:rsidRPr="00C81A6F">
        <w:rPr>
          <w:sz w:val="24"/>
          <w:szCs w:val="24"/>
        </w:rPr>
        <w:t>: $2,000 million</w:t>
      </w:r>
    </w:p>
    <w:p w14:paraId="47A4E8DE"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Percentage of Operating Expenses</w:t>
      </w:r>
      <w:r w:rsidRPr="00C81A6F">
        <w:rPr>
          <w:sz w:val="24"/>
          <w:szCs w:val="24"/>
        </w:rPr>
        <w:t>: 3.50%</w:t>
      </w:r>
    </w:p>
    <w:p w14:paraId="1C865A47"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Insight</w:t>
      </w:r>
      <w:r w:rsidRPr="00C81A6F">
        <w:rPr>
          <w:sz w:val="24"/>
          <w:szCs w:val="24"/>
        </w:rPr>
        <w:t>: JPMorgan Chase allocates a substantial budget for compliance, reflecting a strong focus on regulatory adherence, with 3.5% of its operating expenses dedicated to compliance.</w:t>
      </w:r>
    </w:p>
    <w:p w14:paraId="6942272A" w14:textId="77777777" w:rsidR="00C81A6F" w:rsidRPr="00C81A6F" w:rsidRDefault="00C81A6F" w:rsidP="00C81A6F">
      <w:pPr>
        <w:pStyle w:val="NormalWeb"/>
        <w:numPr>
          <w:ilvl w:val="0"/>
          <w:numId w:val="19"/>
        </w:numPr>
        <w:spacing w:line="276" w:lineRule="auto"/>
        <w:rPr>
          <w:rFonts w:asciiTheme="minorHAnsi" w:hAnsiTheme="minorHAnsi"/>
        </w:rPr>
      </w:pPr>
      <w:r w:rsidRPr="00C81A6F">
        <w:rPr>
          <w:rStyle w:val="Strong"/>
          <w:rFonts w:asciiTheme="minorHAnsi" w:eastAsiaTheme="majorEastAsia" w:hAnsiTheme="minorHAnsi"/>
        </w:rPr>
        <w:t>Bank of America</w:t>
      </w:r>
      <w:r w:rsidRPr="00C81A6F">
        <w:rPr>
          <w:rFonts w:asciiTheme="minorHAnsi" w:hAnsiTheme="minorHAnsi"/>
        </w:rPr>
        <w:t>:</w:t>
      </w:r>
    </w:p>
    <w:p w14:paraId="29E55A24"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Compliance Budget</w:t>
      </w:r>
      <w:r w:rsidRPr="00C81A6F">
        <w:rPr>
          <w:sz w:val="24"/>
          <w:szCs w:val="24"/>
        </w:rPr>
        <w:t>: $1,800 million</w:t>
      </w:r>
    </w:p>
    <w:p w14:paraId="5EBFCF6C"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Percentage of Operating Expenses</w:t>
      </w:r>
      <w:r w:rsidRPr="00C81A6F">
        <w:rPr>
          <w:sz w:val="24"/>
          <w:szCs w:val="24"/>
        </w:rPr>
        <w:t>: 3.80%</w:t>
      </w:r>
    </w:p>
    <w:p w14:paraId="7F8552D9"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Insight</w:t>
      </w:r>
      <w:r w:rsidRPr="00C81A6F">
        <w:rPr>
          <w:sz w:val="24"/>
          <w:szCs w:val="24"/>
        </w:rPr>
        <w:t>: Bank of America has one of the highest percentages of operating expenses devoted to compliance, indicating a significant commitment to regulatory requirements.</w:t>
      </w:r>
    </w:p>
    <w:p w14:paraId="38C84F43" w14:textId="77777777" w:rsidR="00C81A6F" w:rsidRPr="00C81A6F" w:rsidRDefault="00C81A6F" w:rsidP="00C81A6F">
      <w:pPr>
        <w:pStyle w:val="NormalWeb"/>
        <w:numPr>
          <w:ilvl w:val="0"/>
          <w:numId w:val="19"/>
        </w:numPr>
        <w:spacing w:line="276" w:lineRule="auto"/>
        <w:rPr>
          <w:rFonts w:asciiTheme="minorHAnsi" w:hAnsiTheme="minorHAnsi"/>
        </w:rPr>
      </w:pPr>
      <w:r w:rsidRPr="00C81A6F">
        <w:rPr>
          <w:rStyle w:val="Strong"/>
          <w:rFonts w:asciiTheme="minorHAnsi" w:eastAsiaTheme="majorEastAsia" w:hAnsiTheme="minorHAnsi"/>
        </w:rPr>
        <w:t>Wells Fargo</w:t>
      </w:r>
      <w:r w:rsidRPr="00C81A6F">
        <w:rPr>
          <w:rFonts w:asciiTheme="minorHAnsi" w:hAnsiTheme="minorHAnsi"/>
        </w:rPr>
        <w:t>:</w:t>
      </w:r>
    </w:p>
    <w:p w14:paraId="77957DB3"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Compliance Budget</w:t>
      </w:r>
      <w:r w:rsidRPr="00C81A6F">
        <w:rPr>
          <w:sz w:val="24"/>
          <w:szCs w:val="24"/>
        </w:rPr>
        <w:t>: $1,500 million</w:t>
      </w:r>
    </w:p>
    <w:p w14:paraId="3D043D5B"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Percentage of Operating Expenses</w:t>
      </w:r>
      <w:r w:rsidRPr="00C81A6F">
        <w:rPr>
          <w:sz w:val="24"/>
          <w:szCs w:val="24"/>
        </w:rPr>
        <w:t>: 3.20%</w:t>
      </w:r>
    </w:p>
    <w:p w14:paraId="66B29350"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Insight</w:t>
      </w:r>
      <w:r w:rsidRPr="00C81A6F">
        <w:rPr>
          <w:sz w:val="24"/>
          <w:szCs w:val="24"/>
        </w:rPr>
        <w:t>: Despite past compliance issues, Wells Fargo maintains a high compliance budget to address and prevent future regulatory breaches.</w:t>
      </w:r>
    </w:p>
    <w:p w14:paraId="6BCA5A4C" w14:textId="77777777" w:rsidR="00C81A6F" w:rsidRPr="00C81A6F" w:rsidRDefault="00C81A6F" w:rsidP="00C81A6F">
      <w:pPr>
        <w:pStyle w:val="NormalWeb"/>
        <w:numPr>
          <w:ilvl w:val="0"/>
          <w:numId w:val="19"/>
        </w:numPr>
        <w:spacing w:line="276" w:lineRule="auto"/>
        <w:rPr>
          <w:rFonts w:asciiTheme="minorHAnsi" w:hAnsiTheme="minorHAnsi"/>
        </w:rPr>
      </w:pPr>
      <w:r w:rsidRPr="00C81A6F">
        <w:rPr>
          <w:rStyle w:val="Strong"/>
          <w:rFonts w:asciiTheme="minorHAnsi" w:eastAsiaTheme="majorEastAsia" w:hAnsiTheme="minorHAnsi"/>
        </w:rPr>
        <w:t>Citibank</w:t>
      </w:r>
      <w:r w:rsidRPr="00C81A6F">
        <w:rPr>
          <w:rFonts w:asciiTheme="minorHAnsi" w:hAnsiTheme="minorHAnsi"/>
        </w:rPr>
        <w:t>:</w:t>
      </w:r>
    </w:p>
    <w:p w14:paraId="4CF70793"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Compliance Budget</w:t>
      </w:r>
      <w:r w:rsidRPr="00C81A6F">
        <w:rPr>
          <w:sz w:val="24"/>
          <w:szCs w:val="24"/>
        </w:rPr>
        <w:t>: $1,200 million</w:t>
      </w:r>
    </w:p>
    <w:p w14:paraId="3BEA76E2"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Percentage of Operating Expenses</w:t>
      </w:r>
      <w:r w:rsidRPr="00C81A6F">
        <w:rPr>
          <w:sz w:val="24"/>
          <w:szCs w:val="24"/>
        </w:rPr>
        <w:t>: 2.90%</w:t>
      </w:r>
    </w:p>
    <w:p w14:paraId="2CDF85D5"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Insight</w:t>
      </w:r>
      <w:r w:rsidRPr="00C81A6F">
        <w:rPr>
          <w:sz w:val="24"/>
          <w:szCs w:val="24"/>
        </w:rPr>
        <w:t>: Citibank's compliance spending shows a balanced approach, investing considerably to ensure regulatory compliance.</w:t>
      </w:r>
    </w:p>
    <w:p w14:paraId="161E0C08" w14:textId="77777777" w:rsidR="00C81A6F" w:rsidRPr="00C81A6F" w:rsidRDefault="00C81A6F" w:rsidP="00C81A6F">
      <w:pPr>
        <w:pStyle w:val="NormalWeb"/>
        <w:numPr>
          <w:ilvl w:val="0"/>
          <w:numId w:val="19"/>
        </w:numPr>
        <w:spacing w:line="276" w:lineRule="auto"/>
        <w:rPr>
          <w:rFonts w:asciiTheme="minorHAnsi" w:hAnsiTheme="minorHAnsi"/>
        </w:rPr>
      </w:pPr>
      <w:r w:rsidRPr="00C81A6F">
        <w:rPr>
          <w:rStyle w:val="Strong"/>
          <w:rFonts w:asciiTheme="minorHAnsi" w:eastAsiaTheme="majorEastAsia" w:hAnsiTheme="minorHAnsi"/>
        </w:rPr>
        <w:t>HSBC</w:t>
      </w:r>
      <w:r w:rsidRPr="00C81A6F">
        <w:rPr>
          <w:rFonts w:asciiTheme="minorHAnsi" w:hAnsiTheme="minorHAnsi"/>
        </w:rPr>
        <w:t>:</w:t>
      </w:r>
    </w:p>
    <w:p w14:paraId="19C0459B"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Compliance Budget</w:t>
      </w:r>
      <w:r w:rsidRPr="00C81A6F">
        <w:rPr>
          <w:sz w:val="24"/>
          <w:szCs w:val="24"/>
        </w:rPr>
        <w:t>: $1,000 million</w:t>
      </w:r>
    </w:p>
    <w:p w14:paraId="003B15B7"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Percentage of Operating Expenses</w:t>
      </w:r>
      <w:r w:rsidRPr="00C81A6F">
        <w:rPr>
          <w:sz w:val="24"/>
          <w:szCs w:val="24"/>
        </w:rPr>
        <w:t>: 2.70%</w:t>
      </w:r>
    </w:p>
    <w:p w14:paraId="75BCCF1D"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Insight</w:t>
      </w:r>
      <w:r w:rsidRPr="00C81A6F">
        <w:rPr>
          <w:sz w:val="24"/>
          <w:szCs w:val="24"/>
        </w:rPr>
        <w:t>: HSBC's budget reflects a significant investment in compliance, which is crucial given its global operations and associated regulatory complexities.</w:t>
      </w:r>
    </w:p>
    <w:p w14:paraId="6762903C" w14:textId="77777777" w:rsidR="00C81A6F" w:rsidRPr="00C81A6F" w:rsidRDefault="00C81A6F" w:rsidP="00C81A6F">
      <w:pPr>
        <w:pStyle w:val="NormalWeb"/>
        <w:numPr>
          <w:ilvl w:val="0"/>
          <w:numId w:val="19"/>
        </w:numPr>
        <w:spacing w:line="276" w:lineRule="auto"/>
        <w:rPr>
          <w:rFonts w:asciiTheme="minorHAnsi" w:hAnsiTheme="minorHAnsi"/>
        </w:rPr>
      </w:pPr>
      <w:r w:rsidRPr="00C81A6F">
        <w:rPr>
          <w:rStyle w:val="Strong"/>
          <w:rFonts w:asciiTheme="minorHAnsi" w:eastAsiaTheme="majorEastAsia" w:hAnsiTheme="minorHAnsi"/>
        </w:rPr>
        <w:t>Goldman Sachs</w:t>
      </w:r>
      <w:r w:rsidRPr="00C81A6F">
        <w:rPr>
          <w:rFonts w:asciiTheme="minorHAnsi" w:hAnsiTheme="minorHAnsi"/>
        </w:rPr>
        <w:t>:</w:t>
      </w:r>
    </w:p>
    <w:p w14:paraId="4B442A09"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Compliance Budget</w:t>
      </w:r>
      <w:r w:rsidRPr="00C81A6F">
        <w:rPr>
          <w:sz w:val="24"/>
          <w:szCs w:val="24"/>
        </w:rPr>
        <w:t>: $900 million</w:t>
      </w:r>
    </w:p>
    <w:p w14:paraId="110D65C0"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Percentage of Operating Expenses</w:t>
      </w:r>
      <w:r w:rsidRPr="00C81A6F">
        <w:rPr>
          <w:sz w:val="24"/>
          <w:szCs w:val="24"/>
        </w:rPr>
        <w:t>: 2.60%</w:t>
      </w:r>
    </w:p>
    <w:p w14:paraId="4A053F5B"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Insight</w:t>
      </w:r>
      <w:r w:rsidRPr="00C81A6F">
        <w:rPr>
          <w:sz w:val="24"/>
          <w:szCs w:val="24"/>
        </w:rPr>
        <w:t>: Goldman Sachs dedicates a substantial portion of its operating expenses to compliance, which is essential for managing its extensive and complex financial activities.</w:t>
      </w:r>
    </w:p>
    <w:p w14:paraId="465C6046" w14:textId="77777777" w:rsidR="00C81A6F" w:rsidRPr="00C81A6F" w:rsidRDefault="00C81A6F" w:rsidP="00C81A6F">
      <w:pPr>
        <w:pStyle w:val="NormalWeb"/>
        <w:numPr>
          <w:ilvl w:val="0"/>
          <w:numId w:val="19"/>
        </w:numPr>
        <w:spacing w:line="276" w:lineRule="auto"/>
        <w:rPr>
          <w:rFonts w:asciiTheme="minorHAnsi" w:hAnsiTheme="minorHAnsi"/>
        </w:rPr>
      </w:pPr>
      <w:r w:rsidRPr="00C81A6F">
        <w:rPr>
          <w:rStyle w:val="Strong"/>
          <w:rFonts w:asciiTheme="minorHAnsi" w:eastAsiaTheme="majorEastAsia" w:hAnsiTheme="minorHAnsi"/>
        </w:rPr>
        <w:t>Deutsche Bank</w:t>
      </w:r>
      <w:r w:rsidRPr="00C81A6F">
        <w:rPr>
          <w:rFonts w:asciiTheme="minorHAnsi" w:hAnsiTheme="minorHAnsi"/>
        </w:rPr>
        <w:t>:</w:t>
      </w:r>
    </w:p>
    <w:p w14:paraId="60E62B94"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Compliance Budget</w:t>
      </w:r>
      <w:r w:rsidRPr="00C81A6F">
        <w:rPr>
          <w:sz w:val="24"/>
          <w:szCs w:val="24"/>
        </w:rPr>
        <w:t>: $800 million</w:t>
      </w:r>
    </w:p>
    <w:p w14:paraId="7922B7E9"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Percentage of Operating Expenses</w:t>
      </w:r>
      <w:r w:rsidRPr="00C81A6F">
        <w:rPr>
          <w:sz w:val="24"/>
          <w:szCs w:val="24"/>
        </w:rPr>
        <w:t>: 3.00%</w:t>
      </w:r>
    </w:p>
    <w:p w14:paraId="43F65C1B"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lastRenderedPageBreak/>
        <w:t>Insight</w:t>
      </w:r>
      <w:r w:rsidRPr="00C81A6F">
        <w:rPr>
          <w:sz w:val="24"/>
          <w:szCs w:val="24"/>
        </w:rPr>
        <w:t>: Deutsche Bank's allocation highlights its focus on compliance amid past regulatory challenges, representing 3% of its operating expenses.</w:t>
      </w:r>
    </w:p>
    <w:p w14:paraId="5D385864" w14:textId="77777777" w:rsidR="00C81A6F" w:rsidRPr="00C81A6F" w:rsidRDefault="00C81A6F" w:rsidP="00C81A6F">
      <w:pPr>
        <w:pStyle w:val="NormalWeb"/>
        <w:numPr>
          <w:ilvl w:val="0"/>
          <w:numId w:val="19"/>
        </w:numPr>
        <w:spacing w:line="276" w:lineRule="auto"/>
        <w:rPr>
          <w:rFonts w:asciiTheme="minorHAnsi" w:hAnsiTheme="minorHAnsi"/>
        </w:rPr>
      </w:pPr>
      <w:r w:rsidRPr="00C81A6F">
        <w:rPr>
          <w:rStyle w:val="Strong"/>
          <w:rFonts w:asciiTheme="minorHAnsi" w:eastAsiaTheme="majorEastAsia" w:hAnsiTheme="minorHAnsi"/>
        </w:rPr>
        <w:t>Barclays</w:t>
      </w:r>
      <w:r w:rsidRPr="00C81A6F">
        <w:rPr>
          <w:rFonts w:asciiTheme="minorHAnsi" w:hAnsiTheme="minorHAnsi"/>
        </w:rPr>
        <w:t>:</w:t>
      </w:r>
    </w:p>
    <w:p w14:paraId="55A3D356"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Compliance Budget</w:t>
      </w:r>
      <w:r w:rsidRPr="00C81A6F">
        <w:rPr>
          <w:sz w:val="24"/>
          <w:szCs w:val="24"/>
        </w:rPr>
        <w:t>: $750 million</w:t>
      </w:r>
    </w:p>
    <w:p w14:paraId="08EF7060"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Percentage of Operating Expenses</w:t>
      </w:r>
      <w:r w:rsidRPr="00C81A6F">
        <w:rPr>
          <w:sz w:val="24"/>
          <w:szCs w:val="24"/>
        </w:rPr>
        <w:t>: 2.50%</w:t>
      </w:r>
    </w:p>
    <w:p w14:paraId="64B6B617"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Insight</w:t>
      </w:r>
      <w:r w:rsidRPr="00C81A6F">
        <w:rPr>
          <w:sz w:val="24"/>
          <w:szCs w:val="24"/>
        </w:rPr>
        <w:t>: Barclays invests a significant amount in compliance, indicating its efforts to meet regulatory standards across its operations.</w:t>
      </w:r>
    </w:p>
    <w:p w14:paraId="5074786E" w14:textId="77777777" w:rsidR="00C81A6F" w:rsidRPr="00C81A6F" w:rsidRDefault="00C81A6F" w:rsidP="00C81A6F">
      <w:pPr>
        <w:pStyle w:val="NormalWeb"/>
        <w:numPr>
          <w:ilvl w:val="0"/>
          <w:numId w:val="19"/>
        </w:numPr>
        <w:spacing w:line="276" w:lineRule="auto"/>
        <w:rPr>
          <w:rFonts w:asciiTheme="minorHAnsi" w:hAnsiTheme="minorHAnsi"/>
        </w:rPr>
      </w:pPr>
      <w:r w:rsidRPr="00C81A6F">
        <w:rPr>
          <w:rStyle w:val="Strong"/>
          <w:rFonts w:asciiTheme="minorHAnsi" w:eastAsiaTheme="majorEastAsia" w:hAnsiTheme="minorHAnsi"/>
        </w:rPr>
        <w:t>Credit Suisse</w:t>
      </w:r>
      <w:r w:rsidRPr="00C81A6F">
        <w:rPr>
          <w:rFonts w:asciiTheme="minorHAnsi" w:hAnsiTheme="minorHAnsi"/>
        </w:rPr>
        <w:t>:</w:t>
      </w:r>
    </w:p>
    <w:p w14:paraId="1F3CF944"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Compliance Budget</w:t>
      </w:r>
      <w:r w:rsidRPr="00C81A6F">
        <w:rPr>
          <w:sz w:val="24"/>
          <w:szCs w:val="24"/>
        </w:rPr>
        <w:t>: $700 million</w:t>
      </w:r>
    </w:p>
    <w:p w14:paraId="01336F5D"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Percentage of Operating Expenses</w:t>
      </w:r>
      <w:r w:rsidRPr="00C81A6F">
        <w:rPr>
          <w:sz w:val="24"/>
          <w:szCs w:val="24"/>
        </w:rPr>
        <w:t>: 2.40%</w:t>
      </w:r>
    </w:p>
    <w:p w14:paraId="2D43E51B"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Insight</w:t>
      </w:r>
      <w:r w:rsidRPr="00C81A6F">
        <w:rPr>
          <w:sz w:val="24"/>
          <w:szCs w:val="24"/>
        </w:rPr>
        <w:t>: Credit Suisse's budget shows a strong focus on compliance, particularly important given its recent regulatory issues.</w:t>
      </w:r>
    </w:p>
    <w:p w14:paraId="20B8F7A1" w14:textId="77777777" w:rsidR="00C81A6F" w:rsidRPr="00C81A6F" w:rsidRDefault="00C81A6F" w:rsidP="00C81A6F">
      <w:pPr>
        <w:pStyle w:val="NormalWeb"/>
        <w:numPr>
          <w:ilvl w:val="0"/>
          <w:numId w:val="19"/>
        </w:numPr>
        <w:spacing w:line="276" w:lineRule="auto"/>
        <w:rPr>
          <w:rFonts w:asciiTheme="minorHAnsi" w:hAnsiTheme="minorHAnsi"/>
        </w:rPr>
      </w:pPr>
      <w:r w:rsidRPr="00C81A6F">
        <w:rPr>
          <w:rStyle w:val="Strong"/>
          <w:rFonts w:asciiTheme="minorHAnsi" w:eastAsiaTheme="majorEastAsia" w:hAnsiTheme="minorHAnsi"/>
        </w:rPr>
        <w:t>UBS</w:t>
      </w:r>
      <w:r w:rsidRPr="00C81A6F">
        <w:rPr>
          <w:rFonts w:asciiTheme="minorHAnsi" w:hAnsiTheme="minorHAnsi"/>
        </w:rPr>
        <w:t>:</w:t>
      </w:r>
    </w:p>
    <w:p w14:paraId="7300B104"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Compliance Budget</w:t>
      </w:r>
      <w:r w:rsidRPr="00C81A6F">
        <w:rPr>
          <w:sz w:val="24"/>
          <w:szCs w:val="24"/>
        </w:rPr>
        <w:t>: $650 million</w:t>
      </w:r>
    </w:p>
    <w:p w14:paraId="7C93E09F"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Percentage of Operating Expenses</w:t>
      </w:r>
      <w:r w:rsidRPr="00C81A6F">
        <w:rPr>
          <w:sz w:val="24"/>
          <w:szCs w:val="24"/>
        </w:rPr>
        <w:t>: 2.30%</w:t>
      </w:r>
    </w:p>
    <w:p w14:paraId="501D273A" w14:textId="77777777" w:rsidR="00C81A6F" w:rsidRPr="00C81A6F" w:rsidRDefault="00C81A6F" w:rsidP="00C81A6F">
      <w:pPr>
        <w:numPr>
          <w:ilvl w:val="1"/>
          <w:numId w:val="19"/>
        </w:numPr>
        <w:spacing w:before="100" w:beforeAutospacing="1" w:after="100" w:afterAutospacing="1" w:line="276" w:lineRule="auto"/>
        <w:rPr>
          <w:sz w:val="24"/>
          <w:szCs w:val="24"/>
        </w:rPr>
      </w:pPr>
      <w:r w:rsidRPr="00C81A6F">
        <w:rPr>
          <w:rStyle w:val="Strong"/>
          <w:sz w:val="24"/>
          <w:szCs w:val="24"/>
        </w:rPr>
        <w:t>Insight</w:t>
      </w:r>
      <w:r w:rsidRPr="00C81A6F">
        <w:rPr>
          <w:sz w:val="24"/>
          <w:szCs w:val="24"/>
        </w:rPr>
        <w:t>: UBS dedicates a considerable portion of its expenses to compliance, reflecting its commitment to maintaining robust regulatory adherence.</w:t>
      </w:r>
    </w:p>
    <w:p w14:paraId="0976B277" w14:textId="77777777" w:rsidR="00C81A6F" w:rsidRDefault="00C81A6F" w:rsidP="00C81A6F">
      <w:pPr>
        <w:pStyle w:val="Heading3"/>
      </w:pPr>
      <w:r>
        <w:t>Key Takeaways:</w:t>
      </w:r>
    </w:p>
    <w:p w14:paraId="29A94344" w14:textId="77777777" w:rsidR="00C81A6F" w:rsidRPr="00C81A6F" w:rsidRDefault="00C81A6F" w:rsidP="00C81A6F">
      <w:pPr>
        <w:numPr>
          <w:ilvl w:val="0"/>
          <w:numId w:val="20"/>
        </w:numPr>
        <w:spacing w:before="100" w:beforeAutospacing="1" w:after="100" w:afterAutospacing="1" w:line="240" w:lineRule="auto"/>
        <w:rPr>
          <w:sz w:val="24"/>
          <w:szCs w:val="24"/>
        </w:rPr>
      </w:pPr>
      <w:r w:rsidRPr="00C81A6F">
        <w:rPr>
          <w:rStyle w:val="Strong"/>
          <w:sz w:val="24"/>
          <w:szCs w:val="24"/>
        </w:rPr>
        <w:t>High Compliance Budgets</w:t>
      </w:r>
      <w:r w:rsidRPr="00C81A6F">
        <w:rPr>
          <w:sz w:val="24"/>
          <w:szCs w:val="24"/>
        </w:rPr>
        <w:t>: Banks like JPMorgan Chase, Bank of America, and Wells Fargo allocate significant funds to compliance, highlighting the importance of regulatory adherence in large financial institutions.</w:t>
      </w:r>
    </w:p>
    <w:p w14:paraId="5D865ED8" w14:textId="77777777" w:rsidR="00C81A6F" w:rsidRPr="00C81A6F" w:rsidRDefault="00C81A6F" w:rsidP="00C81A6F">
      <w:pPr>
        <w:numPr>
          <w:ilvl w:val="0"/>
          <w:numId w:val="20"/>
        </w:numPr>
        <w:spacing w:before="100" w:beforeAutospacing="1" w:after="100" w:afterAutospacing="1" w:line="240" w:lineRule="auto"/>
        <w:rPr>
          <w:sz w:val="24"/>
          <w:szCs w:val="24"/>
        </w:rPr>
      </w:pPr>
      <w:r w:rsidRPr="00C81A6F">
        <w:rPr>
          <w:rStyle w:val="Strong"/>
          <w:sz w:val="24"/>
          <w:szCs w:val="24"/>
        </w:rPr>
        <w:t>Percentage of Expenses</w:t>
      </w:r>
      <w:r w:rsidRPr="00C81A6F">
        <w:rPr>
          <w:sz w:val="24"/>
          <w:szCs w:val="24"/>
        </w:rPr>
        <w:t>: The percentage of operating expenses dedicated to compliance ranges from 2.30% to 3.80%, indicating a substantial commitment across major banks to meet regulatory requirements.</w:t>
      </w:r>
    </w:p>
    <w:p w14:paraId="53B16412" w14:textId="1A5810E9" w:rsidR="00C81A6F" w:rsidRDefault="00C81A6F" w:rsidP="00C81A6F">
      <w:pPr>
        <w:numPr>
          <w:ilvl w:val="0"/>
          <w:numId w:val="20"/>
        </w:numPr>
        <w:spacing w:before="100" w:beforeAutospacing="1" w:after="100" w:afterAutospacing="1" w:line="240" w:lineRule="auto"/>
        <w:rPr>
          <w:sz w:val="24"/>
          <w:szCs w:val="24"/>
        </w:rPr>
      </w:pPr>
      <w:r w:rsidRPr="00C81A6F">
        <w:rPr>
          <w:rStyle w:val="Strong"/>
          <w:sz w:val="24"/>
          <w:szCs w:val="24"/>
        </w:rPr>
        <w:t>Commitment to Compliance</w:t>
      </w:r>
      <w:r w:rsidRPr="00C81A6F">
        <w:rPr>
          <w:sz w:val="24"/>
          <w:szCs w:val="24"/>
        </w:rPr>
        <w:t>: These investments underscore the critical role of compliance in mitigating risks, avoiding fines, and maintaining operational integrity.</w:t>
      </w:r>
    </w:p>
    <w:p w14:paraId="30EBAF50" w14:textId="77777777" w:rsidR="00C81A6F" w:rsidRDefault="00C81A6F">
      <w:pPr>
        <w:rPr>
          <w:rFonts w:ascii="Aptos Narrow" w:eastAsia="Times New Roman" w:hAnsi="Aptos Narrow" w:cs="Times New Roman"/>
          <w:b/>
          <w:bCs/>
          <w:color w:val="000000"/>
          <w:kern w:val="0"/>
          <w:sz w:val="28"/>
          <w:szCs w:val="28"/>
          <w:lang w:eastAsia="en-IN"/>
          <w14:ligatures w14:val="none"/>
        </w:rPr>
      </w:pPr>
      <w:r>
        <w:rPr>
          <w:rFonts w:ascii="Aptos Narrow" w:eastAsia="Times New Roman" w:hAnsi="Aptos Narrow" w:cs="Times New Roman"/>
          <w:b/>
          <w:bCs/>
          <w:color w:val="000000"/>
          <w:kern w:val="0"/>
          <w:sz w:val="28"/>
          <w:szCs w:val="28"/>
          <w:lang w:eastAsia="en-IN"/>
          <w14:ligatures w14:val="none"/>
        </w:rPr>
        <w:br w:type="page"/>
      </w:r>
    </w:p>
    <w:p w14:paraId="5F63A0F6" w14:textId="40EBBB59" w:rsidR="00C81A6F" w:rsidRPr="00C81A6F" w:rsidRDefault="00C81A6F" w:rsidP="00C81A6F">
      <w:pPr>
        <w:spacing w:after="0" w:line="240" w:lineRule="auto"/>
        <w:rPr>
          <w:rFonts w:ascii="Aptos Narrow" w:eastAsia="Times New Roman" w:hAnsi="Aptos Narrow" w:cs="Times New Roman"/>
          <w:b/>
          <w:bCs/>
          <w:color w:val="000000"/>
          <w:kern w:val="0"/>
          <w:sz w:val="28"/>
          <w:szCs w:val="28"/>
          <w:lang w:eastAsia="en-IN"/>
          <w14:ligatures w14:val="none"/>
        </w:rPr>
      </w:pPr>
      <w:r w:rsidRPr="00C81A6F">
        <w:rPr>
          <w:rFonts w:ascii="Aptos Narrow" w:eastAsia="Times New Roman" w:hAnsi="Aptos Narrow" w:cs="Times New Roman"/>
          <w:b/>
          <w:bCs/>
          <w:color w:val="000000"/>
          <w:kern w:val="0"/>
          <w:sz w:val="28"/>
          <w:szCs w:val="28"/>
          <w:lang w:eastAsia="en-IN"/>
          <w14:ligatures w14:val="none"/>
        </w:rPr>
        <w:lastRenderedPageBreak/>
        <w:t>Anti-Money Laundering (AML) Suspicious Activity Reports (SARs) Filed (2018-2022)</w:t>
      </w:r>
    </w:p>
    <w:tbl>
      <w:tblPr>
        <w:tblStyle w:val="TableGrid"/>
        <w:tblpPr w:leftFromText="180" w:rightFromText="180" w:horzAnchor="margin" w:tblpXSpec="center" w:tblpY="1140"/>
        <w:tblW w:w="3826" w:type="dxa"/>
        <w:tblLook w:val="04A0" w:firstRow="1" w:lastRow="0" w:firstColumn="1" w:lastColumn="0" w:noHBand="0" w:noVBand="1"/>
      </w:tblPr>
      <w:tblGrid>
        <w:gridCol w:w="1610"/>
        <w:gridCol w:w="2216"/>
      </w:tblGrid>
      <w:tr w:rsidR="00C81A6F" w:rsidRPr="00C81A6F" w14:paraId="4F1D9749" w14:textId="77777777" w:rsidTr="00C81A6F">
        <w:trPr>
          <w:trHeight w:val="1008"/>
        </w:trPr>
        <w:tc>
          <w:tcPr>
            <w:tcW w:w="1610" w:type="dxa"/>
            <w:hideMark/>
          </w:tcPr>
          <w:p w14:paraId="17559751" w14:textId="77777777" w:rsidR="00C81A6F" w:rsidRPr="00C81A6F" w:rsidRDefault="00C81A6F" w:rsidP="00C81A6F">
            <w:pPr>
              <w:jc w:val="center"/>
              <w:rPr>
                <w:rFonts w:ascii="Aptos Narrow" w:eastAsia="Times New Roman" w:hAnsi="Aptos Narrow" w:cs="Times New Roman"/>
                <w:b/>
                <w:bCs/>
                <w:color w:val="000000"/>
                <w:kern w:val="0"/>
                <w:sz w:val="24"/>
                <w:szCs w:val="24"/>
                <w:lang w:eastAsia="en-IN"/>
                <w14:ligatures w14:val="none"/>
              </w:rPr>
            </w:pPr>
            <w:r w:rsidRPr="00C81A6F">
              <w:rPr>
                <w:rFonts w:ascii="Aptos Narrow" w:eastAsia="Times New Roman" w:hAnsi="Aptos Narrow" w:cs="Times New Roman"/>
                <w:b/>
                <w:bCs/>
                <w:color w:val="000000"/>
                <w:kern w:val="0"/>
                <w:sz w:val="24"/>
                <w:szCs w:val="24"/>
                <w:lang w:eastAsia="en-IN"/>
                <w14:ligatures w14:val="none"/>
              </w:rPr>
              <w:t>Year</w:t>
            </w:r>
          </w:p>
        </w:tc>
        <w:tc>
          <w:tcPr>
            <w:tcW w:w="2216" w:type="dxa"/>
            <w:hideMark/>
          </w:tcPr>
          <w:p w14:paraId="499AB4F9" w14:textId="77777777" w:rsidR="00C81A6F" w:rsidRPr="00C81A6F" w:rsidRDefault="00C81A6F" w:rsidP="00C81A6F">
            <w:pPr>
              <w:jc w:val="center"/>
              <w:rPr>
                <w:rFonts w:ascii="Aptos Narrow" w:eastAsia="Times New Roman" w:hAnsi="Aptos Narrow" w:cs="Times New Roman"/>
                <w:b/>
                <w:bCs/>
                <w:color w:val="000000"/>
                <w:kern w:val="0"/>
                <w:sz w:val="24"/>
                <w:szCs w:val="24"/>
                <w:lang w:eastAsia="en-IN"/>
                <w14:ligatures w14:val="none"/>
              </w:rPr>
            </w:pPr>
            <w:r w:rsidRPr="00C81A6F">
              <w:rPr>
                <w:rFonts w:ascii="Aptos Narrow" w:eastAsia="Times New Roman" w:hAnsi="Aptos Narrow" w:cs="Times New Roman"/>
                <w:b/>
                <w:bCs/>
                <w:color w:val="000000"/>
                <w:kern w:val="0"/>
                <w:sz w:val="24"/>
                <w:szCs w:val="24"/>
                <w:lang w:eastAsia="en-IN"/>
                <w14:ligatures w14:val="none"/>
              </w:rPr>
              <w:t>Number of SARs Filed</w:t>
            </w:r>
          </w:p>
        </w:tc>
      </w:tr>
      <w:tr w:rsidR="00C81A6F" w:rsidRPr="00C81A6F" w14:paraId="5D55FB6A" w14:textId="77777777" w:rsidTr="00C81A6F">
        <w:trPr>
          <w:trHeight w:val="336"/>
        </w:trPr>
        <w:tc>
          <w:tcPr>
            <w:tcW w:w="1610" w:type="dxa"/>
            <w:hideMark/>
          </w:tcPr>
          <w:p w14:paraId="3D41BBC3"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2018</w:t>
            </w:r>
          </w:p>
        </w:tc>
        <w:tc>
          <w:tcPr>
            <w:tcW w:w="2216" w:type="dxa"/>
            <w:hideMark/>
          </w:tcPr>
          <w:p w14:paraId="1DCD056D"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9,00,000</w:t>
            </w:r>
          </w:p>
        </w:tc>
      </w:tr>
      <w:tr w:rsidR="00C81A6F" w:rsidRPr="00C81A6F" w14:paraId="1889C034" w14:textId="77777777" w:rsidTr="00C81A6F">
        <w:trPr>
          <w:trHeight w:val="336"/>
        </w:trPr>
        <w:tc>
          <w:tcPr>
            <w:tcW w:w="1610" w:type="dxa"/>
            <w:hideMark/>
          </w:tcPr>
          <w:p w14:paraId="469B0306"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2019</w:t>
            </w:r>
          </w:p>
        </w:tc>
        <w:tc>
          <w:tcPr>
            <w:tcW w:w="2216" w:type="dxa"/>
            <w:hideMark/>
          </w:tcPr>
          <w:p w14:paraId="43CFDE23"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9,50,000</w:t>
            </w:r>
          </w:p>
        </w:tc>
      </w:tr>
      <w:tr w:rsidR="00C81A6F" w:rsidRPr="00C81A6F" w14:paraId="6D55C8E8" w14:textId="77777777" w:rsidTr="00C81A6F">
        <w:trPr>
          <w:trHeight w:val="336"/>
        </w:trPr>
        <w:tc>
          <w:tcPr>
            <w:tcW w:w="1610" w:type="dxa"/>
            <w:hideMark/>
          </w:tcPr>
          <w:p w14:paraId="779F5C69"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2020</w:t>
            </w:r>
          </w:p>
        </w:tc>
        <w:tc>
          <w:tcPr>
            <w:tcW w:w="2216" w:type="dxa"/>
            <w:hideMark/>
          </w:tcPr>
          <w:p w14:paraId="37A919F6"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11,00,000</w:t>
            </w:r>
          </w:p>
        </w:tc>
      </w:tr>
      <w:tr w:rsidR="00C81A6F" w:rsidRPr="00C81A6F" w14:paraId="3AFA9775" w14:textId="77777777" w:rsidTr="00C81A6F">
        <w:trPr>
          <w:trHeight w:val="336"/>
        </w:trPr>
        <w:tc>
          <w:tcPr>
            <w:tcW w:w="1610" w:type="dxa"/>
            <w:hideMark/>
          </w:tcPr>
          <w:p w14:paraId="0F09649F"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2021</w:t>
            </w:r>
          </w:p>
        </w:tc>
        <w:tc>
          <w:tcPr>
            <w:tcW w:w="2216" w:type="dxa"/>
            <w:hideMark/>
          </w:tcPr>
          <w:p w14:paraId="7665D072"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12,50,000</w:t>
            </w:r>
          </w:p>
        </w:tc>
      </w:tr>
      <w:tr w:rsidR="00C81A6F" w:rsidRPr="00C81A6F" w14:paraId="24E58526" w14:textId="77777777" w:rsidTr="00C81A6F">
        <w:trPr>
          <w:trHeight w:val="336"/>
        </w:trPr>
        <w:tc>
          <w:tcPr>
            <w:tcW w:w="1610" w:type="dxa"/>
            <w:hideMark/>
          </w:tcPr>
          <w:p w14:paraId="3A9128AA"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2022</w:t>
            </w:r>
          </w:p>
        </w:tc>
        <w:tc>
          <w:tcPr>
            <w:tcW w:w="2216" w:type="dxa"/>
            <w:hideMark/>
          </w:tcPr>
          <w:p w14:paraId="6DD1CE55" w14:textId="77777777" w:rsidR="00C81A6F" w:rsidRPr="00C81A6F" w:rsidRDefault="00C81A6F" w:rsidP="00C81A6F">
            <w:pPr>
              <w:jc w:val="right"/>
              <w:rPr>
                <w:rFonts w:ascii="Aptos Narrow" w:eastAsia="Times New Roman" w:hAnsi="Aptos Narrow" w:cs="Times New Roman"/>
                <w:color w:val="000000"/>
                <w:kern w:val="0"/>
                <w:sz w:val="24"/>
                <w:szCs w:val="24"/>
                <w:lang w:eastAsia="en-IN"/>
                <w14:ligatures w14:val="none"/>
              </w:rPr>
            </w:pPr>
            <w:r w:rsidRPr="00C81A6F">
              <w:rPr>
                <w:rFonts w:ascii="Aptos Narrow" w:eastAsia="Times New Roman" w:hAnsi="Aptos Narrow" w:cs="Times New Roman"/>
                <w:color w:val="000000"/>
                <w:kern w:val="0"/>
                <w:sz w:val="24"/>
                <w:szCs w:val="24"/>
                <w:lang w:eastAsia="en-IN"/>
                <w14:ligatures w14:val="none"/>
              </w:rPr>
              <w:t>14,00,000</w:t>
            </w:r>
          </w:p>
        </w:tc>
      </w:tr>
    </w:tbl>
    <w:p w14:paraId="3449F8F2" w14:textId="4079AC45" w:rsidR="00C81A6F" w:rsidRPr="00C81A6F" w:rsidRDefault="00C81A6F" w:rsidP="00C81A6F">
      <w:pPr>
        <w:spacing w:before="100" w:beforeAutospacing="1" w:after="100" w:afterAutospacing="1" w:line="240" w:lineRule="auto"/>
        <w:rPr>
          <w:sz w:val="24"/>
          <w:szCs w:val="24"/>
        </w:rPr>
      </w:pPr>
    </w:p>
    <w:p w14:paraId="7109D978" w14:textId="16D2B3F4" w:rsidR="00C81A6F" w:rsidRDefault="00C81A6F">
      <w:pPr>
        <w:rPr>
          <w:rFonts w:eastAsia="Times New Roman" w:cs="Times New Roman"/>
          <w:b/>
          <w:bCs/>
          <w:kern w:val="0"/>
          <w:sz w:val="24"/>
          <w:szCs w:val="24"/>
          <w:lang w:eastAsia="en-IN"/>
          <w14:ligatures w14:val="none"/>
        </w:rPr>
      </w:pPr>
      <w:r>
        <w:rPr>
          <w:noProof/>
        </w:rPr>
        <w:drawing>
          <wp:anchor distT="0" distB="0" distL="114300" distR="114300" simplePos="0" relativeHeight="251658240" behindDoc="0" locked="0" layoutInCell="1" allowOverlap="1" wp14:anchorId="1AD4D89A" wp14:editId="066BF882">
            <wp:simplePos x="0" y="0"/>
            <wp:positionH relativeFrom="margin">
              <wp:align>left</wp:align>
            </wp:positionH>
            <wp:positionV relativeFrom="paragraph">
              <wp:posOffset>2080895</wp:posOffset>
            </wp:positionV>
            <wp:extent cx="5715000" cy="4343400"/>
            <wp:effectExtent l="0" t="0" r="0" b="0"/>
            <wp:wrapTopAndBottom/>
            <wp:docPr id="681481366" name="Chart 1">
              <a:extLst xmlns:a="http://schemas.openxmlformats.org/drawingml/2006/main">
                <a:ext uri="{FF2B5EF4-FFF2-40B4-BE49-F238E27FC236}">
                  <a16:creationId xmlns:a16="http://schemas.microsoft.com/office/drawing/2014/main" id="{EC79B8F3-F1F4-86EA-FAF2-1B8659228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rFonts w:eastAsia="Times New Roman" w:cs="Times New Roman"/>
          <w:b/>
          <w:bCs/>
          <w:kern w:val="0"/>
          <w:sz w:val="24"/>
          <w:szCs w:val="24"/>
          <w:lang w:eastAsia="en-IN"/>
          <w14:ligatures w14:val="none"/>
        </w:rPr>
        <w:br w:type="page"/>
      </w:r>
    </w:p>
    <w:p w14:paraId="5871DE80" w14:textId="77777777" w:rsidR="00246BA0" w:rsidRPr="00246BA0" w:rsidRDefault="00246BA0" w:rsidP="00246BA0">
      <w:pPr>
        <w:spacing w:after="0" w:line="240" w:lineRule="auto"/>
        <w:rPr>
          <w:rFonts w:ascii="Aptos Narrow" w:eastAsia="Times New Roman" w:hAnsi="Aptos Narrow" w:cs="Times New Roman"/>
          <w:b/>
          <w:bCs/>
          <w:color w:val="000000"/>
          <w:kern w:val="0"/>
          <w:sz w:val="28"/>
          <w:szCs w:val="28"/>
          <w:lang w:eastAsia="en-IN"/>
          <w14:ligatures w14:val="none"/>
        </w:rPr>
      </w:pPr>
      <w:r w:rsidRPr="00246BA0">
        <w:rPr>
          <w:rFonts w:ascii="Aptos Narrow" w:eastAsia="Times New Roman" w:hAnsi="Aptos Narrow" w:cs="Times New Roman"/>
          <w:b/>
          <w:bCs/>
          <w:color w:val="000000"/>
          <w:kern w:val="0"/>
          <w:sz w:val="28"/>
          <w:szCs w:val="28"/>
          <w:lang w:eastAsia="en-IN"/>
          <w14:ligatures w14:val="none"/>
        </w:rPr>
        <w:lastRenderedPageBreak/>
        <w:t>Data Protection Fines Imposed on Banks under GDPR (2018-2022)</w:t>
      </w:r>
    </w:p>
    <w:tbl>
      <w:tblPr>
        <w:tblStyle w:val="TableGrid"/>
        <w:tblpPr w:leftFromText="180" w:rightFromText="180" w:horzAnchor="margin" w:tblpXSpec="center" w:tblpY="588"/>
        <w:tblW w:w="7277" w:type="dxa"/>
        <w:tblLook w:val="04A0" w:firstRow="1" w:lastRow="0" w:firstColumn="1" w:lastColumn="0" w:noHBand="0" w:noVBand="1"/>
      </w:tblPr>
      <w:tblGrid>
        <w:gridCol w:w="1435"/>
        <w:gridCol w:w="1083"/>
        <w:gridCol w:w="1730"/>
        <w:gridCol w:w="3029"/>
      </w:tblGrid>
      <w:tr w:rsidR="00246BA0" w:rsidRPr="00246BA0" w14:paraId="4AEB8E16" w14:textId="77777777" w:rsidTr="00246BA0">
        <w:trPr>
          <w:trHeight w:val="839"/>
        </w:trPr>
        <w:tc>
          <w:tcPr>
            <w:tcW w:w="1435" w:type="dxa"/>
            <w:hideMark/>
          </w:tcPr>
          <w:p w14:paraId="24614BB2" w14:textId="77777777" w:rsidR="00246BA0" w:rsidRPr="00246BA0" w:rsidRDefault="00246BA0" w:rsidP="00246BA0">
            <w:pPr>
              <w:jc w:val="center"/>
              <w:rPr>
                <w:rFonts w:ascii="Aptos Narrow" w:eastAsia="Times New Roman" w:hAnsi="Aptos Narrow" w:cs="Times New Roman"/>
                <w:b/>
                <w:bCs/>
                <w:color w:val="000000"/>
                <w:kern w:val="0"/>
                <w:sz w:val="24"/>
                <w:szCs w:val="24"/>
                <w:lang w:eastAsia="en-IN"/>
                <w14:ligatures w14:val="none"/>
              </w:rPr>
            </w:pPr>
            <w:r w:rsidRPr="00246BA0">
              <w:rPr>
                <w:rFonts w:ascii="Aptos Narrow" w:eastAsia="Times New Roman" w:hAnsi="Aptos Narrow" w:cs="Times New Roman"/>
                <w:b/>
                <w:bCs/>
                <w:color w:val="000000"/>
                <w:kern w:val="0"/>
                <w:sz w:val="24"/>
                <w:szCs w:val="24"/>
                <w:lang w:eastAsia="en-IN"/>
                <w14:ligatures w14:val="none"/>
              </w:rPr>
              <w:t>Bank</w:t>
            </w:r>
          </w:p>
        </w:tc>
        <w:tc>
          <w:tcPr>
            <w:tcW w:w="1083" w:type="dxa"/>
            <w:hideMark/>
          </w:tcPr>
          <w:p w14:paraId="43A1BF36" w14:textId="77777777" w:rsidR="00246BA0" w:rsidRPr="00246BA0" w:rsidRDefault="00246BA0" w:rsidP="00246BA0">
            <w:pPr>
              <w:jc w:val="center"/>
              <w:rPr>
                <w:rFonts w:ascii="Aptos Narrow" w:eastAsia="Times New Roman" w:hAnsi="Aptos Narrow" w:cs="Times New Roman"/>
                <w:b/>
                <w:bCs/>
                <w:color w:val="000000"/>
                <w:kern w:val="0"/>
                <w:sz w:val="24"/>
                <w:szCs w:val="24"/>
                <w:lang w:eastAsia="en-IN"/>
                <w14:ligatures w14:val="none"/>
              </w:rPr>
            </w:pPr>
            <w:r w:rsidRPr="00246BA0">
              <w:rPr>
                <w:rFonts w:ascii="Aptos Narrow" w:eastAsia="Times New Roman" w:hAnsi="Aptos Narrow" w:cs="Times New Roman"/>
                <w:b/>
                <w:bCs/>
                <w:color w:val="000000"/>
                <w:kern w:val="0"/>
                <w:sz w:val="24"/>
                <w:szCs w:val="24"/>
                <w:lang w:eastAsia="en-IN"/>
                <w14:ligatures w14:val="none"/>
              </w:rPr>
              <w:t>Year</w:t>
            </w:r>
          </w:p>
        </w:tc>
        <w:tc>
          <w:tcPr>
            <w:tcW w:w="1730" w:type="dxa"/>
            <w:hideMark/>
          </w:tcPr>
          <w:p w14:paraId="2F314266" w14:textId="77777777" w:rsidR="00246BA0" w:rsidRPr="00246BA0" w:rsidRDefault="00246BA0" w:rsidP="00246BA0">
            <w:pPr>
              <w:jc w:val="center"/>
              <w:rPr>
                <w:rFonts w:ascii="Aptos Narrow" w:eastAsia="Times New Roman" w:hAnsi="Aptos Narrow" w:cs="Times New Roman"/>
                <w:b/>
                <w:bCs/>
                <w:color w:val="000000"/>
                <w:kern w:val="0"/>
                <w:sz w:val="24"/>
                <w:szCs w:val="24"/>
                <w:lang w:eastAsia="en-IN"/>
                <w14:ligatures w14:val="none"/>
              </w:rPr>
            </w:pPr>
            <w:r w:rsidRPr="00246BA0">
              <w:rPr>
                <w:rFonts w:ascii="Aptos Narrow" w:eastAsia="Times New Roman" w:hAnsi="Aptos Narrow" w:cs="Times New Roman"/>
                <w:b/>
                <w:bCs/>
                <w:color w:val="000000"/>
                <w:kern w:val="0"/>
                <w:sz w:val="24"/>
                <w:szCs w:val="24"/>
                <w:lang w:eastAsia="en-IN"/>
                <w14:ligatures w14:val="none"/>
              </w:rPr>
              <w:t>Fine Amount (EUR million)</w:t>
            </w:r>
          </w:p>
        </w:tc>
        <w:tc>
          <w:tcPr>
            <w:tcW w:w="3029" w:type="dxa"/>
            <w:hideMark/>
          </w:tcPr>
          <w:p w14:paraId="0FCD1D59" w14:textId="77777777" w:rsidR="00246BA0" w:rsidRPr="00246BA0" w:rsidRDefault="00246BA0" w:rsidP="00246BA0">
            <w:pPr>
              <w:jc w:val="center"/>
              <w:rPr>
                <w:rFonts w:ascii="Aptos Narrow" w:eastAsia="Times New Roman" w:hAnsi="Aptos Narrow" w:cs="Times New Roman"/>
                <w:b/>
                <w:bCs/>
                <w:color w:val="000000"/>
                <w:kern w:val="0"/>
                <w:sz w:val="24"/>
                <w:szCs w:val="24"/>
                <w:lang w:eastAsia="en-IN"/>
                <w14:ligatures w14:val="none"/>
              </w:rPr>
            </w:pPr>
            <w:r w:rsidRPr="00246BA0">
              <w:rPr>
                <w:rFonts w:ascii="Aptos Narrow" w:eastAsia="Times New Roman" w:hAnsi="Aptos Narrow" w:cs="Times New Roman"/>
                <w:b/>
                <w:bCs/>
                <w:color w:val="000000"/>
                <w:kern w:val="0"/>
                <w:sz w:val="24"/>
                <w:szCs w:val="24"/>
                <w:lang w:eastAsia="en-IN"/>
                <w14:ligatures w14:val="none"/>
              </w:rPr>
              <w:t>Reason</w:t>
            </w:r>
          </w:p>
        </w:tc>
      </w:tr>
      <w:tr w:rsidR="00246BA0" w:rsidRPr="00246BA0" w14:paraId="3FCA6B89" w14:textId="77777777" w:rsidTr="00246BA0">
        <w:trPr>
          <w:trHeight w:val="905"/>
        </w:trPr>
        <w:tc>
          <w:tcPr>
            <w:tcW w:w="1435" w:type="dxa"/>
            <w:hideMark/>
          </w:tcPr>
          <w:p w14:paraId="49B6C905" w14:textId="77777777" w:rsidR="00246BA0" w:rsidRPr="00246BA0" w:rsidRDefault="00246BA0" w:rsidP="00246BA0">
            <w:pPr>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Hellenic Bank</w:t>
            </w:r>
          </w:p>
        </w:tc>
        <w:tc>
          <w:tcPr>
            <w:tcW w:w="1083" w:type="dxa"/>
            <w:hideMark/>
          </w:tcPr>
          <w:p w14:paraId="044A954B" w14:textId="77777777" w:rsidR="00246BA0" w:rsidRPr="00246BA0" w:rsidRDefault="00246BA0" w:rsidP="00246BA0">
            <w:pPr>
              <w:jc w:val="right"/>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2019</w:t>
            </w:r>
          </w:p>
        </w:tc>
        <w:tc>
          <w:tcPr>
            <w:tcW w:w="1730" w:type="dxa"/>
            <w:hideMark/>
          </w:tcPr>
          <w:p w14:paraId="3C4E14DF" w14:textId="77777777" w:rsidR="00246BA0" w:rsidRPr="00246BA0" w:rsidRDefault="00246BA0" w:rsidP="00246BA0">
            <w:pPr>
              <w:jc w:val="right"/>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€ 7</w:t>
            </w:r>
          </w:p>
        </w:tc>
        <w:tc>
          <w:tcPr>
            <w:tcW w:w="3029" w:type="dxa"/>
            <w:hideMark/>
          </w:tcPr>
          <w:p w14:paraId="1A837273" w14:textId="77777777" w:rsidR="00246BA0" w:rsidRPr="00246BA0" w:rsidRDefault="00246BA0" w:rsidP="00246BA0">
            <w:pPr>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Inadequate data protection measures</w:t>
            </w:r>
          </w:p>
        </w:tc>
      </w:tr>
      <w:tr w:rsidR="00246BA0" w:rsidRPr="00246BA0" w14:paraId="31E2176E" w14:textId="77777777" w:rsidTr="00246BA0">
        <w:trPr>
          <w:trHeight w:val="603"/>
        </w:trPr>
        <w:tc>
          <w:tcPr>
            <w:tcW w:w="1435" w:type="dxa"/>
            <w:hideMark/>
          </w:tcPr>
          <w:p w14:paraId="538C44BB" w14:textId="77777777" w:rsidR="00246BA0" w:rsidRPr="00246BA0" w:rsidRDefault="00246BA0" w:rsidP="00246BA0">
            <w:pPr>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Deutsche Bank</w:t>
            </w:r>
          </w:p>
        </w:tc>
        <w:tc>
          <w:tcPr>
            <w:tcW w:w="1083" w:type="dxa"/>
            <w:hideMark/>
          </w:tcPr>
          <w:p w14:paraId="47358B3B" w14:textId="77777777" w:rsidR="00246BA0" w:rsidRPr="00246BA0" w:rsidRDefault="00246BA0" w:rsidP="00246BA0">
            <w:pPr>
              <w:jc w:val="right"/>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2020</w:t>
            </w:r>
          </w:p>
        </w:tc>
        <w:tc>
          <w:tcPr>
            <w:tcW w:w="1730" w:type="dxa"/>
            <w:hideMark/>
          </w:tcPr>
          <w:p w14:paraId="6C2B3358" w14:textId="77777777" w:rsidR="00246BA0" w:rsidRPr="00246BA0" w:rsidRDefault="00246BA0" w:rsidP="00246BA0">
            <w:pPr>
              <w:jc w:val="right"/>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€ 10</w:t>
            </w:r>
          </w:p>
        </w:tc>
        <w:tc>
          <w:tcPr>
            <w:tcW w:w="3029" w:type="dxa"/>
            <w:hideMark/>
          </w:tcPr>
          <w:p w14:paraId="505D99CC" w14:textId="77777777" w:rsidR="00246BA0" w:rsidRPr="00246BA0" w:rsidRDefault="00246BA0" w:rsidP="00246BA0">
            <w:pPr>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Data breach</w:t>
            </w:r>
          </w:p>
        </w:tc>
      </w:tr>
      <w:tr w:rsidR="00246BA0" w:rsidRPr="00246BA0" w14:paraId="3449B1E7" w14:textId="77777777" w:rsidTr="00246BA0">
        <w:trPr>
          <w:trHeight w:val="603"/>
        </w:trPr>
        <w:tc>
          <w:tcPr>
            <w:tcW w:w="1435" w:type="dxa"/>
            <w:hideMark/>
          </w:tcPr>
          <w:p w14:paraId="49A99527" w14:textId="77777777" w:rsidR="00246BA0" w:rsidRPr="00246BA0" w:rsidRDefault="00246BA0" w:rsidP="00246BA0">
            <w:pPr>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BBVA</w:t>
            </w:r>
          </w:p>
        </w:tc>
        <w:tc>
          <w:tcPr>
            <w:tcW w:w="1083" w:type="dxa"/>
            <w:hideMark/>
          </w:tcPr>
          <w:p w14:paraId="09CBC9DF" w14:textId="77777777" w:rsidR="00246BA0" w:rsidRPr="00246BA0" w:rsidRDefault="00246BA0" w:rsidP="00246BA0">
            <w:pPr>
              <w:jc w:val="right"/>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2020</w:t>
            </w:r>
          </w:p>
        </w:tc>
        <w:tc>
          <w:tcPr>
            <w:tcW w:w="1730" w:type="dxa"/>
            <w:hideMark/>
          </w:tcPr>
          <w:p w14:paraId="6A0C152D" w14:textId="77777777" w:rsidR="00246BA0" w:rsidRPr="00246BA0" w:rsidRDefault="00246BA0" w:rsidP="00246BA0">
            <w:pPr>
              <w:jc w:val="right"/>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€ 5</w:t>
            </w:r>
          </w:p>
        </w:tc>
        <w:tc>
          <w:tcPr>
            <w:tcW w:w="3029" w:type="dxa"/>
            <w:hideMark/>
          </w:tcPr>
          <w:p w14:paraId="6C953CC8" w14:textId="77777777" w:rsidR="00246BA0" w:rsidRPr="00246BA0" w:rsidRDefault="00246BA0" w:rsidP="00246BA0">
            <w:pPr>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GDPR non-compliance</w:t>
            </w:r>
          </w:p>
        </w:tc>
      </w:tr>
      <w:tr w:rsidR="00246BA0" w:rsidRPr="00246BA0" w14:paraId="1BF25416" w14:textId="77777777" w:rsidTr="00246BA0">
        <w:trPr>
          <w:trHeight w:val="905"/>
        </w:trPr>
        <w:tc>
          <w:tcPr>
            <w:tcW w:w="1435" w:type="dxa"/>
            <w:hideMark/>
          </w:tcPr>
          <w:p w14:paraId="0A3ABE77" w14:textId="77777777" w:rsidR="00246BA0" w:rsidRPr="00246BA0" w:rsidRDefault="00246BA0" w:rsidP="00246BA0">
            <w:pPr>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Lloyds Bank</w:t>
            </w:r>
          </w:p>
        </w:tc>
        <w:tc>
          <w:tcPr>
            <w:tcW w:w="1083" w:type="dxa"/>
            <w:hideMark/>
          </w:tcPr>
          <w:p w14:paraId="0AA9A304" w14:textId="77777777" w:rsidR="00246BA0" w:rsidRPr="00246BA0" w:rsidRDefault="00246BA0" w:rsidP="00246BA0">
            <w:pPr>
              <w:jc w:val="right"/>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2021</w:t>
            </w:r>
          </w:p>
        </w:tc>
        <w:tc>
          <w:tcPr>
            <w:tcW w:w="1730" w:type="dxa"/>
            <w:hideMark/>
          </w:tcPr>
          <w:p w14:paraId="28DF8461" w14:textId="77777777" w:rsidR="00246BA0" w:rsidRPr="00246BA0" w:rsidRDefault="00246BA0" w:rsidP="00246BA0">
            <w:pPr>
              <w:jc w:val="right"/>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€ 3.70</w:t>
            </w:r>
          </w:p>
        </w:tc>
        <w:tc>
          <w:tcPr>
            <w:tcW w:w="3029" w:type="dxa"/>
            <w:hideMark/>
          </w:tcPr>
          <w:p w14:paraId="21E6525C" w14:textId="77777777" w:rsidR="00246BA0" w:rsidRPr="00246BA0" w:rsidRDefault="00246BA0" w:rsidP="00246BA0">
            <w:pPr>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Insufficient data protection processes</w:t>
            </w:r>
          </w:p>
        </w:tc>
      </w:tr>
      <w:tr w:rsidR="00246BA0" w:rsidRPr="00246BA0" w14:paraId="055A7F79" w14:textId="77777777" w:rsidTr="00246BA0">
        <w:trPr>
          <w:trHeight w:val="603"/>
        </w:trPr>
        <w:tc>
          <w:tcPr>
            <w:tcW w:w="1435" w:type="dxa"/>
            <w:hideMark/>
          </w:tcPr>
          <w:p w14:paraId="3A90A077" w14:textId="77777777" w:rsidR="00246BA0" w:rsidRPr="00246BA0" w:rsidRDefault="00246BA0" w:rsidP="00246BA0">
            <w:pPr>
              <w:rPr>
                <w:rFonts w:ascii="Aptos Narrow" w:eastAsia="Times New Roman" w:hAnsi="Aptos Narrow" w:cs="Times New Roman"/>
                <w:color w:val="000000"/>
                <w:kern w:val="0"/>
                <w:sz w:val="24"/>
                <w:szCs w:val="24"/>
                <w:lang w:eastAsia="en-IN"/>
                <w14:ligatures w14:val="none"/>
              </w:rPr>
            </w:pPr>
            <w:proofErr w:type="spellStart"/>
            <w:r w:rsidRPr="00246BA0">
              <w:rPr>
                <w:rFonts w:ascii="Aptos Narrow" w:eastAsia="Times New Roman" w:hAnsi="Aptos Narrow" w:cs="Times New Roman"/>
                <w:color w:val="000000"/>
                <w:kern w:val="0"/>
                <w:sz w:val="24"/>
                <w:szCs w:val="24"/>
                <w:lang w:eastAsia="en-IN"/>
                <w14:ligatures w14:val="none"/>
              </w:rPr>
              <w:t>Caixabank</w:t>
            </w:r>
            <w:proofErr w:type="spellEnd"/>
          </w:p>
        </w:tc>
        <w:tc>
          <w:tcPr>
            <w:tcW w:w="1083" w:type="dxa"/>
            <w:hideMark/>
          </w:tcPr>
          <w:p w14:paraId="5968D237" w14:textId="77777777" w:rsidR="00246BA0" w:rsidRPr="00246BA0" w:rsidRDefault="00246BA0" w:rsidP="00246BA0">
            <w:pPr>
              <w:jc w:val="right"/>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2021</w:t>
            </w:r>
          </w:p>
        </w:tc>
        <w:tc>
          <w:tcPr>
            <w:tcW w:w="1730" w:type="dxa"/>
            <w:hideMark/>
          </w:tcPr>
          <w:p w14:paraId="255571C8" w14:textId="77777777" w:rsidR="00246BA0" w:rsidRPr="00246BA0" w:rsidRDefault="00246BA0" w:rsidP="00246BA0">
            <w:pPr>
              <w:jc w:val="right"/>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€ 6</w:t>
            </w:r>
          </w:p>
        </w:tc>
        <w:tc>
          <w:tcPr>
            <w:tcW w:w="3029" w:type="dxa"/>
            <w:hideMark/>
          </w:tcPr>
          <w:p w14:paraId="59FACB6A" w14:textId="77777777" w:rsidR="00246BA0" w:rsidRPr="00246BA0" w:rsidRDefault="00246BA0" w:rsidP="00246BA0">
            <w:pPr>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Inadequate consent management</w:t>
            </w:r>
          </w:p>
        </w:tc>
      </w:tr>
      <w:tr w:rsidR="00246BA0" w:rsidRPr="00246BA0" w14:paraId="422BE241" w14:textId="77777777" w:rsidTr="00246BA0">
        <w:trPr>
          <w:trHeight w:val="603"/>
        </w:trPr>
        <w:tc>
          <w:tcPr>
            <w:tcW w:w="1435" w:type="dxa"/>
            <w:hideMark/>
          </w:tcPr>
          <w:p w14:paraId="7BD8EFE3" w14:textId="77777777" w:rsidR="00246BA0" w:rsidRPr="00246BA0" w:rsidRDefault="00246BA0" w:rsidP="00246BA0">
            <w:pPr>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ING Bank</w:t>
            </w:r>
          </w:p>
        </w:tc>
        <w:tc>
          <w:tcPr>
            <w:tcW w:w="1083" w:type="dxa"/>
            <w:hideMark/>
          </w:tcPr>
          <w:p w14:paraId="4C77DABD" w14:textId="77777777" w:rsidR="00246BA0" w:rsidRPr="00246BA0" w:rsidRDefault="00246BA0" w:rsidP="00246BA0">
            <w:pPr>
              <w:jc w:val="right"/>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2022</w:t>
            </w:r>
          </w:p>
        </w:tc>
        <w:tc>
          <w:tcPr>
            <w:tcW w:w="1730" w:type="dxa"/>
            <w:hideMark/>
          </w:tcPr>
          <w:p w14:paraId="2D0F677E" w14:textId="77777777" w:rsidR="00246BA0" w:rsidRPr="00246BA0" w:rsidRDefault="00246BA0" w:rsidP="00246BA0">
            <w:pPr>
              <w:jc w:val="right"/>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€ 3</w:t>
            </w:r>
          </w:p>
        </w:tc>
        <w:tc>
          <w:tcPr>
            <w:tcW w:w="3029" w:type="dxa"/>
            <w:hideMark/>
          </w:tcPr>
          <w:p w14:paraId="430216A7" w14:textId="77777777" w:rsidR="00246BA0" w:rsidRPr="00246BA0" w:rsidRDefault="00246BA0" w:rsidP="00246BA0">
            <w:pPr>
              <w:rPr>
                <w:rFonts w:ascii="Aptos Narrow" w:eastAsia="Times New Roman" w:hAnsi="Aptos Narrow" w:cs="Times New Roman"/>
                <w:color w:val="000000"/>
                <w:kern w:val="0"/>
                <w:sz w:val="24"/>
                <w:szCs w:val="24"/>
                <w:lang w:eastAsia="en-IN"/>
                <w14:ligatures w14:val="none"/>
              </w:rPr>
            </w:pPr>
            <w:r w:rsidRPr="00246BA0">
              <w:rPr>
                <w:rFonts w:ascii="Aptos Narrow" w:eastAsia="Times New Roman" w:hAnsi="Aptos Narrow" w:cs="Times New Roman"/>
                <w:color w:val="000000"/>
                <w:kern w:val="0"/>
                <w:sz w:val="24"/>
                <w:szCs w:val="24"/>
                <w:lang w:eastAsia="en-IN"/>
                <w14:ligatures w14:val="none"/>
              </w:rPr>
              <w:t>Data security failures</w:t>
            </w:r>
          </w:p>
        </w:tc>
      </w:tr>
    </w:tbl>
    <w:p w14:paraId="03CCAD1D" w14:textId="77777777" w:rsidR="00C81A6F" w:rsidRDefault="00C81A6F" w:rsidP="00C81A6F">
      <w:pPr>
        <w:rPr>
          <w:lang w:eastAsia="en-IN"/>
        </w:rPr>
      </w:pPr>
    </w:p>
    <w:p w14:paraId="53C5EC9F" w14:textId="77777777" w:rsidR="00246BA0" w:rsidRDefault="00246BA0" w:rsidP="007A76B2">
      <w:pPr>
        <w:spacing w:before="100" w:beforeAutospacing="1" w:after="100" w:afterAutospacing="1" w:line="240" w:lineRule="auto"/>
        <w:outlineLvl w:val="3"/>
        <w:rPr>
          <w:rFonts w:eastAsia="Times New Roman" w:cs="Times New Roman"/>
          <w:b/>
          <w:bCs/>
          <w:kern w:val="0"/>
          <w:sz w:val="24"/>
          <w:szCs w:val="24"/>
          <w:lang w:eastAsia="en-IN"/>
          <w14:ligatures w14:val="none"/>
        </w:rPr>
      </w:pPr>
    </w:p>
    <w:p w14:paraId="65258F54" w14:textId="77777777" w:rsidR="00246BA0" w:rsidRDefault="00246BA0" w:rsidP="007A76B2">
      <w:pPr>
        <w:spacing w:before="100" w:beforeAutospacing="1" w:after="100" w:afterAutospacing="1" w:line="240" w:lineRule="auto"/>
        <w:outlineLvl w:val="3"/>
        <w:rPr>
          <w:rFonts w:eastAsia="Times New Roman" w:cs="Times New Roman"/>
          <w:b/>
          <w:bCs/>
          <w:kern w:val="0"/>
          <w:sz w:val="24"/>
          <w:szCs w:val="24"/>
          <w:lang w:eastAsia="en-IN"/>
          <w14:ligatures w14:val="none"/>
        </w:rPr>
      </w:pPr>
    </w:p>
    <w:p w14:paraId="3D81DD1B" w14:textId="77777777" w:rsidR="00246BA0" w:rsidRDefault="00246BA0" w:rsidP="007A76B2">
      <w:pPr>
        <w:spacing w:before="100" w:beforeAutospacing="1" w:after="100" w:afterAutospacing="1" w:line="240" w:lineRule="auto"/>
        <w:outlineLvl w:val="3"/>
        <w:rPr>
          <w:rFonts w:eastAsia="Times New Roman" w:cs="Times New Roman"/>
          <w:b/>
          <w:bCs/>
          <w:kern w:val="0"/>
          <w:sz w:val="24"/>
          <w:szCs w:val="24"/>
          <w:lang w:eastAsia="en-IN"/>
          <w14:ligatures w14:val="none"/>
        </w:rPr>
      </w:pPr>
    </w:p>
    <w:p w14:paraId="7F66937C" w14:textId="77777777" w:rsidR="00246BA0" w:rsidRDefault="00246BA0" w:rsidP="007A76B2">
      <w:pPr>
        <w:spacing w:before="100" w:beforeAutospacing="1" w:after="100" w:afterAutospacing="1" w:line="240" w:lineRule="auto"/>
        <w:outlineLvl w:val="3"/>
        <w:rPr>
          <w:rFonts w:eastAsia="Times New Roman" w:cs="Times New Roman"/>
          <w:b/>
          <w:bCs/>
          <w:kern w:val="0"/>
          <w:sz w:val="24"/>
          <w:szCs w:val="24"/>
          <w:lang w:eastAsia="en-IN"/>
          <w14:ligatures w14:val="none"/>
        </w:rPr>
      </w:pPr>
    </w:p>
    <w:p w14:paraId="1225F2CD" w14:textId="77777777" w:rsidR="00246BA0" w:rsidRDefault="00246BA0" w:rsidP="007A76B2">
      <w:pPr>
        <w:spacing w:before="100" w:beforeAutospacing="1" w:after="100" w:afterAutospacing="1" w:line="240" w:lineRule="auto"/>
        <w:outlineLvl w:val="3"/>
        <w:rPr>
          <w:rFonts w:eastAsia="Times New Roman" w:cs="Times New Roman"/>
          <w:b/>
          <w:bCs/>
          <w:kern w:val="0"/>
          <w:sz w:val="24"/>
          <w:szCs w:val="24"/>
          <w:lang w:eastAsia="en-IN"/>
          <w14:ligatures w14:val="none"/>
        </w:rPr>
      </w:pPr>
    </w:p>
    <w:p w14:paraId="3C2BCA03" w14:textId="77777777" w:rsidR="00246BA0" w:rsidRDefault="00246BA0" w:rsidP="007A76B2">
      <w:pPr>
        <w:spacing w:before="100" w:beforeAutospacing="1" w:after="100" w:afterAutospacing="1" w:line="240" w:lineRule="auto"/>
        <w:outlineLvl w:val="3"/>
        <w:rPr>
          <w:rFonts w:eastAsia="Times New Roman" w:cs="Times New Roman"/>
          <w:b/>
          <w:bCs/>
          <w:kern w:val="0"/>
          <w:sz w:val="24"/>
          <w:szCs w:val="24"/>
          <w:lang w:eastAsia="en-IN"/>
          <w14:ligatures w14:val="none"/>
        </w:rPr>
      </w:pPr>
    </w:p>
    <w:p w14:paraId="2FE21CDE" w14:textId="77777777" w:rsidR="00246BA0" w:rsidRDefault="00246BA0" w:rsidP="007A76B2">
      <w:pPr>
        <w:spacing w:before="100" w:beforeAutospacing="1" w:after="100" w:afterAutospacing="1" w:line="240" w:lineRule="auto"/>
        <w:outlineLvl w:val="3"/>
        <w:rPr>
          <w:rFonts w:eastAsia="Times New Roman" w:cs="Times New Roman"/>
          <w:b/>
          <w:bCs/>
          <w:kern w:val="0"/>
          <w:sz w:val="24"/>
          <w:szCs w:val="24"/>
          <w:lang w:eastAsia="en-IN"/>
          <w14:ligatures w14:val="none"/>
        </w:rPr>
      </w:pPr>
    </w:p>
    <w:p w14:paraId="3DFE754A" w14:textId="77777777" w:rsidR="00246BA0" w:rsidRDefault="00246BA0" w:rsidP="007A76B2">
      <w:pPr>
        <w:spacing w:before="100" w:beforeAutospacing="1" w:after="100" w:afterAutospacing="1" w:line="240" w:lineRule="auto"/>
        <w:outlineLvl w:val="3"/>
        <w:rPr>
          <w:rFonts w:eastAsia="Times New Roman" w:cs="Times New Roman"/>
          <w:b/>
          <w:bCs/>
          <w:kern w:val="0"/>
          <w:sz w:val="24"/>
          <w:szCs w:val="24"/>
          <w:lang w:eastAsia="en-IN"/>
          <w14:ligatures w14:val="none"/>
        </w:rPr>
      </w:pPr>
    </w:p>
    <w:p w14:paraId="38102B38" w14:textId="77777777" w:rsidR="00246BA0" w:rsidRDefault="00246BA0" w:rsidP="007A76B2">
      <w:pPr>
        <w:spacing w:before="100" w:beforeAutospacing="1" w:after="100" w:afterAutospacing="1" w:line="240" w:lineRule="auto"/>
        <w:outlineLvl w:val="3"/>
        <w:rPr>
          <w:rFonts w:eastAsia="Times New Roman" w:cs="Times New Roman"/>
          <w:b/>
          <w:bCs/>
          <w:kern w:val="0"/>
          <w:sz w:val="24"/>
          <w:szCs w:val="24"/>
          <w:lang w:eastAsia="en-IN"/>
          <w14:ligatures w14:val="none"/>
        </w:rPr>
      </w:pPr>
    </w:p>
    <w:p w14:paraId="4643050B" w14:textId="77777777" w:rsidR="00246BA0" w:rsidRDefault="00246BA0" w:rsidP="00246BA0">
      <w:pPr>
        <w:pStyle w:val="Heading3"/>
      </w:pPr>
      <w:r>
        <w:t>Interpretation of Data Protection Fines Imposed on Banks (2019-2022)</w:t>
      </w:r>
    </w:p>
    <w:p w14:paraId="14253EB5" w14:textId="77777777" w:rsidR="00246BA0" w:rsidRPr="00246BA0" w:rsidRDefault="00246BA0" w:rsidP="00246BA0">
      <w:pPr>
        <w:pStyle w:val="NormalWeb"/>
        <w:numPr>
          <w:ilvl w:val="0"/>
          <w:numId w:val="21"/>
        </w:numPr>
        <w:spacing w:line="276" w:lineRule="auto"/>
        <w:rPr>
          <w:rFonts w:asciiTheme="minorHAnsi" w:hAnsiTheme="minorHAnsi"/>
        </w:rPr>
      </w:pPr>
      <w:r w:rsidRPr="00246BA0">
        <w:rPr>
          <w:rStyle w:val="Strong"/>
          <w:rFonts w:asciiTheme="minorHAnsi" w:eastAsiaTheme="majorEastAsia" w:hAnsiTheme="minorHAnsi"/>
        </w:rPr>
        <w:t>Hellenic Bank (2019)</w:t>
      </w:r>
      <w:r w:rsidRPr="00246BA0">
        <w:rPr>
          <w:rFonts w:asciiTheme="minorHAnsi" w:hAnsiTheme="minorHAnsi"/>
        </w:rPr>
        <w:t>:</w:t>
      </w:r>
    </w:p>
    <w:p w14:paraId="73E352B5"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Fine Amount</w:t>
      </w:r>
      <w:r w:rsidRPr="00246BA0">
        <w:rPr>
          <w:sz w:val="24"/>
          <w:szCs w:val="24"/>
        </w:rPr>
        <w:t>: €7 million</w:t>
      </w:r>
    </w:p>
    <w:p w14:paraId="72E8E95B"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Reason</w:t>
      </w:r>
      <w:r w:rsidRPr="00246BA0">
        <w:rPr>
          <w:sz w:val="24"/>
          <w:szCs w:val="24"/>
        </w:rPr>
        <w:t>: Inadequate data protection measures.</w:t>
      </w:r>
    </w:p>
    <w:p w14:paraId="6C4D2EC8"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Insight</w:t>
      </w:r>
      <w:r w:rsidRPr="00246BA0">
        <w:rPr>
          <w:sz w:val="24"/>
          <w:szCs w:val="24"/>
        </w:rPr>
        <w:t>: Hellenic Bank was fined for failing to implement sufficient data protection measures, indicating a need for improved data security protocols.</w:t>
      </w:r>
    </w:p>
    <w:p w14:paraId="6808B00E" w14:textId="77777777" w:rsidR="00246BA0" w:rsidRPr="00246BA0" w:rsidRDefault="00246BA0" w:rsidP="00246BA0">
      <w:pPr>
        <w:pStyle w:val="NormalWeb"/>
        <w:numPr>
          <w:ilvl w:val="0"/>
          <w:numId w:val="21"/>
        </w:numPr>
        <w:spacing w:line="276" w:lineRule="auto"/>
        <w:rPr>
          <w:rFonts w:asciiTheme="minorHAnsi" w:hAnsiTheme="minorHAnsi"/>
        </w:rPr>
      </w:pPr>
      <w:r w:rsidRPr="00246BA0">
        <w:rPr>
          <w:rStyle w:val="Strong"/>
          <w:rFonts w:asciiTheme="minorHAnsi" w:eastAsiaTheme="majorEastAsia" w:hAnsiTheme="minorHAnsi"/>
        </w:rPr>
        <w:t>Deutsche Bank (2020)</w:t>
      </w:r>
      <w:r w:rsidRPr="00246BA0">
        <w:rPr>
          <w:rFonts w:asciiTheme="minorHAnsi" w:hAnsiTheme="minorHAnsi"/>
        </w:rPr>
        <w:t>:</w:t>
      </w:r>
    </w:p>
    <w:p w14:paraId="3056FD9A"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Fine Amount</w:t>
      </w:r>
      <w:r w:rsidRPr="00246BA0">
        <w:rPr>
          <w:sz w:val="24"/>
          <w:szCs w:val="24"/>
        </w:rPr>
        <w:t>: €10 million</w:t>
      </w:r>
    </w:p>
    <w:p w14:paraId="144BC1BC"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Reason</w:t>
      </w:r>
      <w:r w:rsidRPr="00246BA0">
        <w:rPr>
          <w:sz w:val="24"/>
          <w:szCs w:val="24"/>
        </w:rPr>
        <w:t>: Data breach.</w:t>
      </w:r>
    </w:p>
    <w:p w14:paraId="3953F308"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Insight</w:t>
      </w:r>
      <w:r w:rsidRPr="00246BA0">
        <w:rPr>
          <w:sz w:val="24"/>
          <w:szCs w:val="24"/>
        </w:rPr>
        <w:t>: Deutsche Bank faced a significant fine due to a data breach, highlighting vulnerabilities in its data security infrastructure.</w:t>
      </w:r>
    </w:p>
    <w:p w14:paraId="649F5A69" w14:textId="77777777" w:rsidR="00246BA0" w:rsidRPr="00246BA0" w:rsidRDefault="00246BA0" w:rsidP="00246BA0">
      <w:pPr>
        <w:pStyle w:val="NormalWeb"/>
        <w:numPr>
          <w:ilvl w:val="0"/>
          <w:numId w:val="21"/>
        </w:numPr>
        <w:spacing w:line="276" w:lineRule="auto"/>
        <w:rPr>
          <w:rFonts w:asciiTheme="minorHAnsi" w:hAnsiTheme="minorHAnsi"/>
        </w:rPr>
      </w:pPr>
      <w:r w:rsidRPr="00246BA0">
        <w:rPr>
          <w:rStyle w:val="Strong"/>
          <w:rFonts w:asciiTheme="minorHAnsi" w:eastAsiaTheme="majorEastAsia" w:hAnsiTheme="minorHAnsi"/>
        </w:rPr>
        <w:t>BBVA (2020)</w:t>
      </w:r>
      <w:r w:rsidRPr="00246BA0">
        <w:rPr>
          <w:rFonts w:asciiTheme="minorHAnsi" w:hAnsiTheme="minorHAnsi"/>
        </w:rPr>
        <w:t>:</w:t>
      </w:r>
    </w:p>
    <w:p w14:paraId="505C6C8C"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Fine Amount</w:t>
      </w:r>
      <w:r w:rsidRPr="00246BA0">
        <w:rPr>
          <w:sz w:val="24"/>
          <w:szCs w:val="24"/>
        </w:rPr>
        <w:t>: €5 million</w:t>
      </w:r>
    </w:p>
    <w:p w14:paraId="04BD211D"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Reason</w:t>
      </w:r>
      <w:r w:rsidRPr="00246BA0">
        <w:rPr>
          <w:sz w:val="24"/>
          <w:szCs w:val="24"/>
        </w:rPr>
        <w:t>: GDPR non-compliance.</w:t>
      </w:r>
    </w:p>
    <w:p w14:paraId="66ABF860"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Insight</w:t>
      </w:r>
      <w:r w:rsidRPr="00246BA0">
        <w:rPr>
          <w:sz w:val="24"/>
          <w:szCs w:val="24"/>
        </w:rPr>
        <w:t>: BBVA was penalized for not complying with GDPR requirements, emphasizing the importance of adhering to data protection regulations.</w:t>
      </w:r>
    </w:p>
    <w:p w14:paraId="6E646678" w14:textId="77777777" w:rsidR="00246BA0" w:rsidRPr="00246BA0" w:rsidRDefault="00246BA0" w:rsidP="00246BA0">
      <w:pPr>
        <w:pStyle w:val="NormalWeb"/>
        <w:numPr>
          <w:ilvl w:val="0"/>
          <w:numId w:val="21"/>
        </w:numPr>
        <w:spacing w:line="276" w:lineRule="auto"/>
        <w:rPr>
          <w:rFonts w:asciiTheme="minorHAnsi" w:hAnsiTheme="minorHAnsi"/>
        </w:rPr>
      </w:pPr>
      <w:r w:rsidRPr="00246BA0">
        <w:rPr>
          <w:rStyle w:val="Strong"/>
          <w:rFonts w:asciiTheme="minorHAnsi" w:eastAsiaTheme="majorEastAsia" w:hAnsiTheme="minorHAnsi"/>
        </w:rPr>
        <w:t>Lloyds Bank (2021)</w:t>
      </w:r>
      <w:r w:rsidRPr="00246BA0">
        <w:rPr>
          <w:rFonts w:asciiTheme="minorHAnsi" w:hAnsiTheme="minorHAnsi"/>
        </w:rPr>
        <w:t>:</w:t>
      </w:r>
    </w:p>
    <w:p w14:paraId="1CBC0381"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Fine Amount</w:t>
      </w:r>
      <w:r w:rsidRPr="00246BA0">
        <w:rPr>
          <w:sz w:val="24"/>
          <w:szCs w:val="24"/>
        </w:rPr>
        <w:t>: €3.70 million</w:t>
      </w:r>
    </w:p>
    <w:p w14:paraId="73DF33B7"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Reason</w:t>
      </w:r>
      <w:r w:rsidRPr="00246BA0">
        <w:rPr>
          <w:sz w:val="24"/>
          <w:szCs w:val="24"/>
        </w:rPr>
        <w:t>: Insufficient data protection processes.</w:t>
      </w:r>
    </w:p>
    <w:p w14:paraId="54CFFB1A"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lastRenderedPageBreak/>
        <w:t>Insight</w:t>
      </w:r>
      <w:r w:rsidRPr="00246BA0">
        <w:rPr>
          <w:sz w:val="24"/>
          <w:szCs w:val="24"/>
        </w:rPr>
        <w:t>: Lloyds Bank's fine reflects shortcomings in its data protection processes, necessitating improvements in data management and security practices.</w:t>
      </w:r>
    </w:p>
    <w:p w14:paraId="49E0E598" w14:textId="77777777" w:rsidR="00246BA0" w:rsidRPr="00246BA0" w:rsidRDefault="00246BA0" w:rsidP="00246BA0">
      <w:pPr>
        <w:pStyle w:val="NormalWeb"/>
        <w:numPr>
          <w:ilvl w:val="0"/>
          <w:numId w:val="21"/>
        </w:numPr>
        <w:spacing w:line="276" w:lineRule="auto"/>
        <w:rPr>
          <w:rFonts w:asciiTheme="minorHAnsi" w:hAnsiTheme="minorHAnsi"/>
        </w:rPr>
      </w:pPr>
      <w:proofErr w:type="spellStart"/>
      <w:r w:rsidRPr="00246BA0">
        <w:rPr>
          <w:rStyle w:val="Strong"/>
          <w:rFonts w:asciiTheme="minorHAnsi" w:eastAsiaTheme="majorEastAsia" w:hAnsiTheme="minorHAnsi"/>
        </w:rPr>
        <w:t>Caixabank</w:t>
      </w:r>
      <w:proofErr w:type="spellEnd"/>
      <w:r w:rsidRPr="00246BA0">
        <w:rPr>
          <w:rStyle w:val="Strong"/>
          <w:rFonts w:asciiTheme="minorHAnsi" w:eastAsiaTheme="majorEastAsia" w:hAnsiTheme="minorHAnsi"/>
        </w:rPr>
        <w:t xml:space="preserve"> (2021)</w:t>
      </w:r>
      <w:r w:rsidRPr="00246BA0">
        <w:rPr>
          <w:rFonts w:asciiTheme="minorHAnsi" w:hAnsiTheme="minorHAnsi"/>
        </w:rPr>
        <w:t>:</w:t>
      </w:r>
    </w:p>
    <w:p w14:paraId="53D4C731"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Fine Amount</w:t>
      </w:r>
      <w:r w:rsidRPr="00246BA0">
        <w:rPr>
          <w:sz w:val="24"/>
          <w:szCs w:val="24"/>
        </w:rPr>
        <w:t>: €6 million</w:t>
      </w:r>
    </w:p>
    <w:p w14:paraId="24EA8DE0"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Reason</w:t>
      </w:r>
      <w:r w:rsidRPr="00246BA0">
        <w:rPr>
          <w:sz w:val="24"/>
          <w:szCs w:val="24"/>
        </w:rPr>
        <w:t>: Inadequate consent management.</w:t>
      </w:r>
    </w:p>
    <w:p w14:paraId="55519381"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Insight</w:t>
      </w:r>
      <w:r w:rsidRPr="00246BA0">
        <w:rPr>
          <w:sz w:val="24"/>
          <w:szCs w:val="24"/>
        </w:rPr>
        <w:t xml:space="preserve">: </w:t>
      </w:r>
      <w:proofErr w:type="spellStart"/>
      <w:r w:rsidRPr="00246BA0">
        <w:rPr>
          <w:sz w:val="24"/>
          <w:szCs w:val="24"/>
        </w:rPr>
        <w:t>Caixabank</w:t>
      </w:r>
      <w:proofErr w:type="spellEnd"/>
      <w:r w:rsidRPr="00246BA0">
        <w:rPr>
          <w:sz w:val="24"/>
          <w:szCs w:val="24"/>
        </w:rPr>
        <w:t xml:space="preserve"> was fined for failing to manage customer consent properly, underscoring the need for robust consent management systems.</w:t>
      </w:r>
    </w:p>
    <w:p w14:paraId="3594A07E" w14:textId="77777777" w:rsidR="00246BA0" w:rsidRPr="00246BA0" w:rsidRDefault="00246BA0" w:rsidP="00246BA0">
      <w:pPr>
        <w:pStyle w:val="NormalWeb"/>
        <w:numPr>
          <w:ilvl w:val="0"/>
          <w:numId w:val="21"/>
        </w:numPr>
        <w:spacing w:line="276" w:lineRule="auto"/>
        <w:rPr>
          <w:rFonts w:asciiTheme="minorHAnsi" w:hAnsiTheme="minorHAnsi"/>
        </w:rPr>
      </w:pPr>
      <w:r w:rsidRPr="00246BA0">
        <w:rPr>
          <w:rStyle w:val="Strong"/>
          <w:rFonts w:asciiTheme="minorHAnsi" w:eastAsiaTheme="majorEastAsia" w:hAnsiTheme="minorHAnsi"/>
        </w:rPr>
        <w:t>ING Bank (2022)</w:t>
      </w:r>
      <w:r w:rsidRPr="00246BA0">
        <w:rPr>
          <w:rFonts w:asciiTheme="minorHAnsi" w:hAnsiTheme="minorHAnsi"/>
        </w:rPr>
        <w:t>:</w:t>
      </w:r>
    </w:p>
    <w:p w14:paraId="21DDD971"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Fine Amount</w:t>
      </w:r>
      <w:r w:rsidRPr="00246BA0">
        <w:rPr>
          <w:sz w:val="24"/>
          <w:szCs w:val="24"/>
        </w:rPr>
        <w:t>: €3 million</w:t>
      </w:r>
    </w:p>
    <w:p w14:paraId="56EB8B75"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Reason</w:t>
      </w:r>
      <w:r w:rsidRPr="00246BA0">
        <w:rPr>
          <w:sz w:val="24"/>
          <w:szCs w:val="24"/>
        </w:rPr>
        <w:t>: Data security failures.</w:t>
      </w:r>
    </w:p>
    <w:p w14:paraId="2551E551" w14:textId="77777777" w:rsidR="00246BA0" w:rsidRPr="00246BA0" w:rsidRDefault="00246BA0" w:rsidP="00246BA0">
      <w:pPr>
        <w:numPr>
          <w:ilvl w:val="1"/>
          <w:numId w:val="21"/>
        </w:numPr>
        <w:spacing w:before="100" w:beforeAutospacing="1" w:after="100" w:afterAutospacing="1" w:line="276" w:lineRule="auto"/>
        <w:rPr>
          <w:sz w:val="24"/>
          <w:szCs w:val="24"/>
        </w:rPr>
      </w:pPr>
      <w:r w:rsidRPr="00246BA0">
        <w:rPr>
          <w:rStyle w:val="Strong"/>
          <w:sz w:val="24"/>
          <w:szCs w:val="24"/>
        </w:rPr>
        <w:t>Insight</w:t>
      </w:r>
      <w:r w:rsidRPr="00246BA0">
        <w:rPr>
          <w:sz w:val="24"/>
          <w:szCs w:val="24"/>
        </w:rPr>
        <w:t>: ING Bank's penalty for data security failures points to the critical need for comprehensive data security measures to protect customer information.</w:t>
      </w:r>
    </w:p>
    <w:p w14:paraId="51D717C9" w14:textId="77777777" w:rsidR="00246BA0" w:rsidRDefault="00246BA0" w:rsidP="00246BA0">
      <w:pPr>
        <w:pStyle w:val="Heading3"/>
      </w:pPr>
      <w:r>
        <w:t>Key Takeaways:</w:t>
      </w:r>
    </w:p>
    <w:p w14:paraId="43B85F2C" w14:textId="77777777" w:rsidR="00246BA0" w:rsidRPr="00246BA0" w:rsidRDefault="00246BA0" w:rsidP="00246BA0">
      <w:pPr>
        <w:numPr>
          <w:ilvl w:val="0"/>
          <w:numId w:val="22"/>
        </w:numPr>
        <w:spacing w:before="100" w:beforeAutospacing="1" w:after="100" w:afterAutospacing="1" w:line="240" w:lineRule="auto"/>
        <w:rPr>
          <w:sz w:val="24"/>
          <w:szCs w:val="24"/>
        </w:rPr>
      </w:pPr>
      <w:r w:rsidRPr="00246BA0">
        <w:rPr>
          <w:rStyle w:val="Strong"/>
          <w:sz w:val="24"/>
          <w:szCs w:val="24"/>
        </w:rPr>
        <w:t>Focus on Data Protection</w:t>
      </w:r>
      <w:r w:rsidRPr="00246BA0">
        <w:rPr>
          <w:sz w:val="24"/>
          <w:szCs w:val="24"/>
        </w:rPr>
        <w:t>: The fines imposed on these banks reflect a stringent regulatory focus on data protection and compliance with GDPR.</w:t>
      </w:r>
    </w:p>
    <w:p w14:paraId="1327FD12" w14:textId="77777777" w:rsidR="00246BA0" w:rsidRPr="00246BA0" w:rsidRDefault="00246BA0" w:rsidP="00246BA0">
      <w:pPr>
        <w:numPr>
          <w:ilvl w:val="0"/>
          <w:numId w:val="22"/>
        </w:numPr>
        <w:spacing w:before="100" w:beforeAutospacing="1" w:after="100" w:afterAutospacing="1" w:line="240" w:lineRule="auto"/>
        <w:rPr>
          <w:sz w:val="24"/>
          <w:szCs w:val="24"/>
        </w:rPr>
      </w:pPr>
      <w:r w:rsidRPr="00246BA0">
        <w:rPr>
          <w:rStyle w:val="Strong"/>
          <w:sz w:val="24"/>
          <w:szCs w:val="24"/>
        </w:rPr>
        <w:t>Common Issues</w:t>
      </w:r>
      <w:r w:rsidRPr="00246BA0">
        <w:rPr>
          <w:sz w:val="24"/>
          <w:szCs w:val="24"/>
        </w:rPr>
        <w:t>: Inadequate data protection measures, data breaches, and insufficient data management processes are recurring issues leading to fines.</w:t>
      </w:r>
    </w:p>
    <w:p w14:paraId="02F794E5" w14:textId="554072BF" w:rsidR="00246BA0" w:rsidRPr="00246BA0" w:rsidRDefault="00246BA0" w:rsidP="00246BA0">
      <w:pPr>
        <w:numPr>
          <w:ilvl w:val="0"/>
          <w:numId w:val="22"/>
        </w:numPr>
        <w:spacing w:before="100" w:beforeAutospacing="1" w:after="100" w:afterAutospacing="1" w:line="240" w:lineRule="auto"/>
        <w:rPr>
          <w:sz w:val="24"/>
          <w:szCs w:val="24"/>
        </w:rPr>
      </w:pPr>
      <w:r w:rsidRPr="00246BA0">
        <w:rPr>
          <w:rStyle w:val="Strong"/>
          <w:sz w:val="24"/>
          <w:szCs w:val="24"/>
        </w:rPr>
        <w:t>Regulatory Compliance</w:t>
      </w:r>
      <w:r w:rsidRPr="00246BA0">
        <w:rPr>
          <w:sz w:val="24"/>
          <w:szCs w:val="24"/>
        </w:rPr>
        <w:t>: Banks must continuously enhance their data security and management practices to comply with evolving data protection regulations and avoid substantial fines.</w:t>
      </w:r>
    </w:p>
    <w:p w14:paraId="0BAB4222" w14:textId="4B70195C" w:rsidR="007A76B2" w:rsidRPr="007A76B2" w:rsidRDefault="007A76B2" w:rsidP="00246BA0">
      <w:pPr>
        <w:pStyle w:val="Heading1"/>
        <w:rPr>
          <w:rFonts w:eastAsia="Times New Roman"/>
          <w:lang w:eastAsia="en-IN"/>
        </w:rPr>
      </w:pPr>
      <w:r w:rsidRPr="007A76B2">
        <w:rPr>
          <w:rFonts w:eastAsia="Times New Roman"/>
          <w:lang w:eastAsia="en-IN"/>
        </w:rPr>
        <w:t>Conclusion</w:t>
      </w:r>
    </w:p>
    <w:p w14:paraId="4414B99D"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Summary of Findings:</w:t>
      </w:r>
    </w:p>
    <w:p w14:paraId="6A219CC4" w14:textId="77777777" w:rsidR="007A76B2" w:rsidRPr="007A76B2" w:rsidRDefault="007A76B2" w:rsidP="007A76B2">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Compliance and regulatory affairs are essential for maintaining banking integrity and stability.</w:t>
      </w:r>
    </w:p>
    <w:p w14:paraId="2687F827" w14:textId="77777777" w:rsidR="007A76B2" w:rsidRPr="007A76B2" w:rsidRDefault="007A76B2" w:rsidP="007A76B2">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Effective compliance programs include clear policies, continuous monitoring, robust training, and advanced technology.</w:t>
      </w:r>
    </w:p>
    <w:p w14:paraId="4947A7B1" w14:textId="77777777" w:rsidR="007A76B2" w:rsidRPr="007A76B2" w:rsidRDefault="007A76B2" w:rsidP="007A76B2">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Case studies, like Wells Fargo, highlight the importance of a strong ethical culture, oversight, and swift corrective actions.</w:t>
      </w:r>
    </w:p>
    <w:p w14:paraId="5CF8FBA1" w14:textId="77777777" w:rsidR="007A76B2" w:rsidRPr="007A76B2" w:rsidRDefault="007A76B2" w:rsidP="007A76B2">
      <w:p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b/>
          <w:bCs/>
          <w:kern w:val="0"/>
          <w:sz w:val="24"/>
          <w:szCs w:val="24"/>
          <w:lang w:eastAsia="en-IN"/>
          <w14:ligatures w14:val="none"/>
        </w:rPr>
        <w:t>Importance of Continuous Improvement:</w:t>
      </w:r>
    </w:p>
    <w:p w14:paraId="56DA3085" w14:textId="77777777" w:rsidR="007A76B2" w:rsidRPr="007A76B2" w:rsidRDefault="007A76B2" w:rsidP="007A76B2">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Banks must continuously update compliance programs to address new risks and regulatory changes.</w:t>
      </w:r>
    </w:p>
    <w:p w14:paraId="32DF0064" w14:textId="7C9A3BAD" w:rsidR="008A21E4" w:rsidRPr="00246BA0" w:rsidRDefault="007A76B2" w:rsidP="007A76B2">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7A76B2">
        <w:rPr>
          <w:rFonts w:eastAsia="Times New Roman" w:cs="Times New Roman"/>
          <w:kern w:val="0"/>
          <w:sz w:val="24"/>
          <w:szCs w:val="24"/>
          <w:lang w:eastAsia="en-IN"/>
          <w14:ligatures w14:val="none"/>
        </w:rPr>
        <w:t>Proactive compliance helps avoid legal issues, financial penalties, and reputational damage, ensuring long-term succes</w:t>
      </w:r>
      <w:r w:rsidR="00246BA0">
        <w:rPr>
          <w:rFonts w:eastAsia="Times New Roman" w:cs="Times New Roman"/>
          <w:kern w:val="0"/>
          <w:sz w:val="24"/>
          <w:szCs w:val="24"/>
          <w:lang w:eastAsia="en-IN"/>
          <w14:ligatures w14:val="none"/>
        </w:rPr>
        <w:t>s.</w:t>
      </w:r>
    </w:p>
    <w:sectPr w:rsidR="008A21E4" w:rsidRPr="00246BA0" w:rsidSect="00246BA0">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AE3"/>
    <w:multiLevelType w:val="multilevel"/>
    <w:tmpl w:val="E8F6B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45CCC"/>
    <w:multiLevelType w:val="multilevel"/>
    <w:tmpl w:val="8AEE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24CD2"/>
    <w:multiLevelType w:val="multilevel"/>
    <w:tmpl w:val="BC940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80A25"/>
    <w:multiLevelType w:val="multilevel"/>
    <w:tmpl w:val="D9564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27418"/>
    <w:multiLevelType w:val="multilevel"/>
    <w:tmpl w:val="1950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F6FF3"/>
    <w:multiLevelType w:val="multilevel"/>
    <w:tmpl w:val="331A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46D83"/>
    <w:multiLevelType w:val="multilevel"/>
    <w:tmpl w:val="EFD0B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924D91"/>
    <w:multiLevelType w:val="multilevel"/>
    <w:tmpl w:val="DB8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250DE"/>
    <w:multiLevelType w:val="multilevel"/>
    <w:tmpl w:val="1950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B4C89"/>
    <w:multiLevelType w:val="multilevel"/>
    <w:tmpl w:val="B62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0319A"/>
    <w:multiLevelType w:val="multilevel"/>
    <w:tmpl w:val="624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936DC"/>
    <w:multiLevelType w:val="multilevel"/>
    <w:tmpl w:val="C130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091254"/>
    <w:multiLevelType w:val="multilevel"/>
    <w:tmpl w:val="CE0E6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81815"/>
    <w:multiLevelType w:val="multilevel"/>
    <w:tmpl w:val="3B8CC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A321C"/>
    <w:multiLevelType w:val="multilevel"/>
    <w:tmpl w:val="4C3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C72E8"/>
    <w:multiLevelType w:val="multilevel"/>
    <w:tmpl w:val="14D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A2BE6"/>
    <w:multiLevelType w:val="multilevel"/>
    <w:tmpl w:val="B23E7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8766D"/>
    <w:multiLevelType w:val="multilevel"/>
    <w:tmpl w:val="2F461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5617DA"/>
    <w:multiLevelType w:val="multilevel"/>
    <w:tmpl w:val="61B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FC2B27"/>
    <w:multiLevelType w:val="multilevel"/>
    <w:tmpl w:val="510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92051"/>
    <w:multiLevelType w:val="multilevel"/>
    <w:tmpl w:val="E9D6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761177"/>
    <w:multiLevelType w:val="multilevel"/>
    <w:tmpl w:val="7D02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797136">
    <w:abstractNumId w:val="12"/>
  </w:num>
  <w:num w:numId="2" w16cid:durableId="156041292">
    <w:abstractNumId w:val="0"/>
  </w:num>
  <w:num w:numId="3" w16cid:durableId="970209820">
    <w:abstractNumId w:val="2"/>
  </w:num>
  <w:num w:numId="4" w16cid:durableId="1002850523">
    <w:abstractNumId w:val="20"/>
  </w:num>
  <w:num w:numId="5" w16cid:durableId="668941615">
    <w:abstractNumId w:val="11"/>
  </w:num>
  <w:num w:numId="6" w16cid:durableId="992835693">
    <w:abstractNumId w:val="21"/>
  </w:num>
  <w:num w:numId="7" w16cid:durableId="218051710">
    <w:abstractNumId w:val="15"/>
  </w:num>
  <w:num w:numId="8" w16cid:durableId="1752390873">
    <w:abstractNumId w:val="19"/>
  </w:num>
  <w:num w:numId="9" w16cid:durableId="987784419">
    <w:abstractNumId w:val="14"/>
  </w:num>
  <w:num w:numId="10" w16cid:durableId="1424299441">
    <w:abstractNumId w:val="7"/>
  </w:num>
  <w:num w:numId="11" w16cid:durableId="77754799">
    <w:abstractNumId w:val="16"/>
  </w:num>
  <w:num w:numId="12" w16cid:durableId="1985701148">
    <w:abstractNumId w:val="3"/>
  </w:num>
  <w:num w:numId="13" w16cid:durableId="708146811">
    <w:abstractNumId w:val="13"/>
  </w:num>
  <w:num w:numId="14" w16cid:durableId="1420642795">
    <w:abstractNumId w:val="4"/>
  </w:num>
  <w:num w:numId="15" w16cid:durableId="917790640">
    <w:abstractNumId w:val="1"/>
  </w:num>
  <w:num w:numId="16" w16cid:durableId="730157643">
    <w:abstractNumId w:val="5"/>
  </w:num>
  <w:num w:numId="17" w16cid:durableId="1032002782">
    <w:abstractNumId w:val="17"/>
  </w:num>
  <w:num w:numId="18" w16cid:durableId="1759669431">
    <w:abstractNumId w:val="8"/>
  </w:num>
  <w:num w:numId="19" w16cid:durableId="1464730911">
    <w:abstractNumId w:val="6"/>
  </w:num>
  <w:num w:numId="20" w16cid:durableId="268246864">
    <w:abstractNumId w:val="10"/>
  </w:num>
  <w:num w:numId="21" w16cid:durableId="1017465117">
    <w:abstractNumId w:val="18"/>
  </w:num>
  <w:num w:numId="22" w16cid:durableId="5212854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B2"/>
    <w:rsid w:val="00246BA0"/>
    <w:rsid w:val="004746D3"/>
    <w:rsid w:val="007A76B2"/>
    <w:rsid w:val="0088182B"/>
    <w:rsid w:val="008A21E4"/>
    <w:rsid w:val="00C81A6F"/>
    <w:rsid w:val="00D84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889A"/>
  <w15:chartTrackingRefBased/>
  <w15:docId w15:val="{60738EDD-5614-4058-AAD8-04634703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7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76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A7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7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76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A7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6B2"/>
    <w:rPr>
      <w:rFonts w:eastAsiaTheme="majorEastAsia" w:cstheme="majorBidi"/>
      <w:color w:val="272727" w:themeColor="text1" w:themeTint="D8"/>
    </w:rPr>
  </w:style>
  <w:style w:type="paragraph" w:styleId="Title">
    <w:name w:val="Title"/>
    <w:basedOn w:val="Normal"/>
    <w:next w:val="Normal"/>
    <w:link w:val="TitleChar"/>
    <w:uiPriority w:val="10"/>
    <w:qFormat/>
    <w:rsid w:val="007A7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6B2"/>
    <w:pPr>
      <w:spacing w:before="160"/>
      <w:jc w:val="center"/>
    </w:pPr>
    <w:rPr>
      <w:i/>
      <w:iCs/>
      <w:color w:val="404040" w:themeColor="text1" w:themeTint="BF"/>
    </w:rPr>
  </w:style>
  <w:style w:type="character" w:customStyle="1" w:styleId="QuoteChar">
    <w:name w:val="Quote Char"/>
    <w:basedOn w:val="DefaultParagraphFont"/>
    <w:link w:val="Quote"/>
    <w:uiPriority w:val="29"/>
    <w:rsid w:val="007A76B2"/>
    <w:rPr>
      <w:i/>
      <w:iCs/>
      <w:color w:val="404040" w:themeColor="text1" w:themeTint="BF"/>
    </w:rPr>
  </w:style>
  <w:style w:type="paragraph" w:styleId="ListParagraph">
    <w:name w:val="List Paragraph"/>
    <w:basedOn w:val="Normal"/>
    <w:uiPriority w:val="34"/>
    <w:qFormat/>
    <w:rsid w:val="007A76B2"/>
    <w:pPr>
      <w:ind w:left="720"/>
      <w:contextualSpacing/>
    </w:pPr>
  </w:style>
  <w:style w:type="character" w:styleId="IntenseEmphasis">
    <w:name w:val="Intense Emphasis"/>
    <w:basedOn w:val="DefaultParagraphFont"/>
    <w:uiPriority w:val="21"/>
    <w:qFormat/>
    <w:rsid w:val="007A76B2"/>
    <w:rPr>
      <w:i/>
      <w:iCs/>
      <w:color w:val="0F4761" w:themeColor="accent1" w:themeShade="BF"/>
    </w:rPr>
  </w:style>
  <w:style w:type="paragraph" w:styleId="IntenseQuote">
    <w:name w:val="Intense Quote"/>
    <w:basedOn w:val="Normal"/>
    <w:next w:val="Normal"/>
    <w:link w:val="IntenseQuoteChar"/>
    <w:uiPriority w:val="30"/>
    <w:qFormat/>
    <w:rsid w:val="007A7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6B2"/>
    <w:rPr>
      <w:i/>
      <w:iCs/>
      <w:color w:val="0F4761" w:themeColor="accent1" w:themeShade="BF"/>
    </w:rPr>
  </w:style>
  <w:style w:type="character" w:styleId="IntenseReference">
    <w:name w:val="Intense Reference"/>
    <w:basedOn w:val="DefaultParagraphFont"/>
    <w:uiPriority w:val="32"/>
    <w:qFormat/>
    <w:rsid w:val="007A76B2"/>
    <w:rPr>
      <w:b/>
      <w:bCs/>
      <w:smallCaps/>
      <w:color w:val="0F4761" w:themeColor="accent1" w:themeShade="BF"/>
      <w:spacing w:val="5"/>
    </w:rPr>
  </w:style>
  <w:style w:type="paragraph" w:styleId="NormalWeb">
    <w:name w:val="Normal (Web)"/>
    <w:basedOn w:val="Normal"/>
    <w:uiPriority w:val="99"/>
    <w:semiHidden/>
    <w:unhideWhenUsed/>
    <w:rsid w:val="007A76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76B2"/>
    <w:rPr>
      <w:b/>
      <w:bCs/>
    </w:rPr>
  </w:style>
  <w:style w:type="table" w:styleId="TableGrid">
    <w:name w:val="Table Grid"/>
    <w:basedOn w:val="TableNormal"/>
    <w:uiPriority w:val="39"/>
    <w:rsid w:val="00C81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0531">
      <w:bodyDiv w:val="1"/>
      <w:marLeft w:val="0"/>
      <w:marRight w:val="0"/>
      <w:marTop w:val="0"/>
      <w:marBottom w:val="0"/>
      <w:divBdr>
        <w:top w:val="none" w:sz="0" w:space="0" w:color="auto"/>
        <w:left w:val="none" w:sz="0" w:space="0" w:color="auto"/>
        <w:bottom w:val="none" w:sz="0" w:space="0" w:color="auto"/>
        <w:right w:val="none" w:sz="0" w:space="0" w:color="auto"/>
      </w:divBdr>
      <w:divsChild>
        <w:div w:id="2102951001">
          <w:marLeft w:val="0"/>
          <w:marRight w:val="0"/>
          <w:marTop w:val="0"/>
          <w:marBottom w:val="0"/>
          <w:divBdr>
            <w:top w:val="none" w:sz="0" w:space="0" w:color="auto"/>
            <w:left w:val="none" w:sz="0" w:space="0" w:color="auto"/>
            <w:bottom w:val="none" w:sz="0" w:space="0" w:color="auto"/>
            <w:right w:val="none" w:sz="0" w:space="0" w:color="auto"/>
          </w:divBdr>
          <w:divsChild>
            <w:div w:id="1305238157">
              <w:marLeft w:val="0"/>
              <w:marRight w:val="0"/>
              <w:marTop w:val="0"/>
              <w:marBottom w:val="0"/>
              <w:divBdr>
                <w:top w:val="none" w:sz="0" w:space="0" w:color="auto"/>
                <w:left w:val="none" w:sz="0" w:space="0" w:color="auto"/>
                <w:bottom w:val="none" w:sz="0" w:space="0" w:color="auto"/>
                <w:right w:val="none" w:sz="0" w:space="0" w:color="auto"/>
              </w:divBdr>
              <w:divsChild>
                <w:div w:id="677539923">
                  <w:marLeft w:val="0"/>
                  <w:marRight w:val="0"/>
                  <w:marTop w:val="0"/>
                  <w:marBottom w:val="0"/>
                  <w:divBdr>
                    <w:top w:val="none" w:sz="0" w:space="0" w:color="auto"/>
                    <w:left w:val="none" w:sz="0" w:space="0" w:color="auto"/>
                    <w:bottom w:val="none" w:sz="0" w:space="0" w:color="auto"/>
                    <w:right w:val="none" w:sz="0" w:space="0" w:color="auto"/>
                  </w:divBdr>
                  <w:divsChild>
                    <w:div w:id="64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19084">
      <w:bodyDiv w:val="1"/>
      <w:marLeft w:val="0"/>
      <w:marRight w:val="0"/>
      <w:marTop w:val="0"/>
      <w:marBottom w:val="0"/>
      <w:divBdr>
        <w:top w:val="none" w:sz="0" w:space="0" w:color="auto"/>
        <w:left w:val="none" w:sz="0" w:space="0" w:color="auto"/>
        <w:bottom w:val="none" w:sz="0" w:space="0" w:color="auto"/>
        <w:right w:val="none" w:sz="0" w:space="0" w:color="auto"/>
      </w:divBdr>
      <w:divsChild>
        <w:div w:id="335308417">
          <w:marLeft w:val="0"/>
          <w:marRight w:val="0"/>
          <w:marTop w:val="0"/>
          <w:marBottom w:val="0"/>
          <w:divBdr>
            <w:top w:val="none" w:sz="0" w:space="0" w:color="auto"/>
            <w:left w:val="none" w:sz="0" w:space="0" w:color="auto"/>
            <w:bottom w:val="none" w:sz="0" w:space="0" w:color="auto"/>
            <w:right w:val="none" w:sz="0" w:space="0" w:color="auto"/>
          </w:divBdr>
          <w:divsChild>
            <w:div w:id="1021664790">
              <w:marLeft w:val="0"/>
              <w:marRight w:val="0"/>
              <w:marTop w:val="0"/>
              <w:marBottom w:val="0"/>
              <w:divBdr>
                <w:top w:val="none" w:sz="0" w:space="0" w:color="auto"/>
                <w:left w:val="none" w:sz="0" w:space="0" w:color="auto"/>
                <w:bottom w:val="none" w:sz="0" w:space="0" w:color="auto"/>
                <w:right w:val="none" w:sz="0" w:space="0" w:color="auto"/>
              </w:divBdr>
              <w:divsChild>
                <w:div w:id="1674800200">
                  <w:marLeft w:val="0"/>
                  <w:marRight w:val="0"/>
                  <w:marTop w:val="0"/>
                  <w:marBottom w:val="0"/>
                  <w:divBdr>
                    <w:top w:val="none" w:sz="0" w:space="0" w:color="auto"/>
                    <w:left w:val="none" w:sz="0" w:space="0" w:color="auto"/>
                    <w:bottom w:val="none" w:sz="0" w:space="0" w:color="auto"/>
                    <w:right w:val="none" w:sz="0" w:space="0" w:color="auto"/>
                  </w:divBdr>
                  <w:divsChild>
                    <w:div w:id="821434636">
                      <w:marLeft w:val="0"/>
                      <w:marRight w:val="0"/>
                      <w:marTop w:val="0"/>
                      <w:marBottom w:val="0"/>
                      <w:divBdr>
                        <w:top w:val="none" w:sz="0" w:space="0" w:color="auto"/>
                        <w:left w:val="none" w:sz="0" w:space="0" w:color="auto"/>
                        <w:bottom w:val="none" w:sz="0" w:space="0" w:color="auto"/>
                        <w:right w:val="none" w:sz="0" w:space="0" w:color="auto"/>
                      </w:divBdr>
                      <w:divsChild>
                        <w:div w:id="1528640800">
                          <w:marLeft w:val="0"/>
                          <w:marRight w:val="0"/>
                          <w:marTop w:val="0"/>
                          <w:marBottom w:val="0"/>
                          <w:divBdr>
                            <w:top w:val="none" w:sz="0" w:space="0" w:color="auto"/>
                            <w:left w:val="none" w:sz="0" w:space="0" w:color="auto"/>
                            <w:bottom w:val="none" w:sz="0" w:space="0" w:color="auto"/>
                            <w:right w:val="none" w:sz="0" w:space="0" w:color="auto"/>
                          </w:divBdr>
                          <w:divsChild>
                            <w:div w:id="1219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227977">
      <w:bodyDiv w:val="1"/>
      <w:marLeft w:val="0"/>
      <w:marRight w:val="0"/>
      <w:marTop w:val="0"/>
      <w:marBottom w:val="0"/>
      <w:divBdr>
        <w:top w:val="none" w:sz="0" w:space="0" w:color="auto"/>
        <w:left w:val="none" w:sz="0" w:space="0" w:color="auto"/>
        <w:bottom w:val="none" w:sz="0" w:space="0" w:color="auto"/>
        <w:right w:val="none" w:sz="0" w:space="0" w:color="auto"/>
      </w:divBdr>
    </w:div>
    <w:div w:id="877208360">
      <w:bodyDiv w:val="1"/>
      <w:marLeft w:val="0"/>
      <w:marRight w:val="0"/>
      <w:marTop w:val="0"/>
      <w:marBottom w:val="0"/>
      <w:divBdr>
        <w:top w:val="none" w:sz="0" w:space="0" w:color="auto"/>
        <w:left w:val="none" w:sz="0" w:space="0" w:color="auto"/>
        <w:bottom w:val="none" w:sz="0" w:space="0" w:color="auto"/>
        <w:right w:val="none" w:sz="0" w:space="0" w:color="auto"/>
      </w:divBdr>
    </w:div>
    <w:div w:id="1276670838">
      <w:bodyDiv w:val="1"/>
      <w:marLeft w:val="0"/>
      <w:marRight w:val="0"/>
      <w:marTop w:val="0"/>
      <w:marBottom w:val="0"/>
      <w:divBdr>
        <w:top w:val="none" w:sz="0" w:space="0" w:color="auto"/>
        <w:left w:val="none" w:sz="0" w:space="0" w:color="auto"/>
        <w:bottom w:val="none" w:sz="0" w:space="0" w:color="auto"/>
        <w:right w:val="none" w:sz="0" w:space="0" w:color="auto"/>
      </w:divBdr>
    </w:div>
    <w:div w:id="1295209000">
      <w:bodyDiv w:val="1"/>
      <w:marLeft w:val="0"/>
      <w:marRight w:val="0"/>
      <w:marTop w:val="0"/>
      <w:marBottom w:val="0"/>
      <w:divBdr>
        <w:top w:val="none" w:sz="0" w:space="0" w:color="auto"/>
        <w:left w:val="none" w:sz="0" w:space="0" w:color="auto"/>
        <w:bottom w:val="none" w:sz="0" w:space="0" w:color="auto"/>
        <w:right w:val="none" w:sz="0" w:space="0" w:color="auto"/>
      </w:divBdr>
    </w:div>
    <w:div w:id="1744252951">
      <w:bodyDiv w:val="1"/>
      <w:marLeft w:val="0"/>
      <w:marRight w:val="0"/>
      <w:marTop w:val="0"/>
      <w:marBottom w:val="0"/>
      <w:divBdr>
        <w:top w:val="none" w:sz="0" w:space="0" w:color="auto"/>
        <w:left w:val="none" w:sz="0" w:space="0" w:color="auto"/>
        <w:bottom w:val="none" w:sz="0" w:space="0" w:color="auto"/>
        <w:right w:val="none" w:sz="0" w:space="0" w:color="auto"/>
      </w:divBdr>
    </w:div>
    <w:div w:id="1819345112">
      <w:bodyDiv w:val="1"/>
      <w:marLeft w:val="0"/>
      <w:marRight w:val="0"/>
      <w:marTop w:val="0"/>
      <w:marBottom w:val="0"/>
      <w:divBdr>
        <w:top w:val="none" w:sz="0" w:space="0" w:color="auto"/>
        <w:left w:val="none" w:sz="0" w:space="0" w:color="auto"/>
        <w:bottom w:val="none" w:sz="0" w:space="0" w:color="auto"/>
        <w:right w:val="none" w:sz="0" w:space="0" w:color="auto"/>
      </w:divBdr>
    </w:div>
    <w:div w:id="1865246344">
      <w:bodyDiv w:val="1"/>
      <w:marLeft w:val="0"/>
      <w:marRight w:val="0"/>
      <w:marTop w:val="0"/>
      <w:marBottom w:val="0"/>
      <w:divBdr>
        <w:top w:val="none" w:sz="0" w:space="0" w:color="auto"/>
        <w:left w:val="none" w:sz="0" w:space="0" w:color="auto"/>
        <w:bottom w:val="none" w:sz="0" w:space="0" w:color="auto"/>
        <w:right w:val="none" w:sz="0" w:space="0" w:color="auto"/>
      </w:divBdr>
    </w:div>
    <w:div w:id="1932277205">
      <w:bodyDiv w:val="1"/>
      <w:marLeft w:val="0"/>
      <w:marRight w:val="0"/>
      <w:marTop w:val="0"/>
      <w:marBottom w:val="0"/>
      <w:divBdr>
        <w:top w:val="none" w:sz="0" w:space="0" w:color="auto"/>
        <w:left w:val="none" w:sz="0" w:space="0" w:color="auto"/>
        <w:bottom w:val="none" w:sz="0" w:space="0" w:color="auto"/>
        <w:right w:val="none" w:sz="0" w:space="0" w:color="auto"/>
      </w:divBdr>
    </w:div>
    <w:div w:id="2053454358">
      <w:bodyDiv w:val="1"/>
      <w:marLeft w:val="0"/>
      <w:marRight w:val="0"/>
      <w:marTop w:val="0"/>
      <w:marBottom w:val="0"/>
      <w:divBdr>
        <w:top w:val="none" w:sz="0" w:space="0" w:color="auto"/>
        <w:left w:val="none" w:sz="0" w:space="0" w:color="auto"/>
        <w:bottom w:val="none" w:sz="0" w:space="0" w:color="auto"/>
        <w:right w:val="none" w:sz="0" w:space="0" w:color="auto"/>
      </w:divBdr>
    </w:div>
    <w:div w:id="206032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Compliance Program Costs for Major Banks (2022)</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c:f>
              <c:strCache>
                <c:ptCount val="1"/>
                <c:pt idx="0">
                  <c:v>Compliance Budget (USD million)</c:v>
                </c:pt>
              </c:strCache>
            </c:strRef>
          </c:tx>
          <c:spPr>
            <a:solidFill>
              <a:schemeClr val="accent1"/>
            </a:solidFill>
            <a:ln>
              <a:noFill/>
            </a:ln>
            <a:effectLst/>
          </c:spPr>
          <c:invertIfNegative val="0"/>
          <c:cat>
            <c:strRef>
              <c:f>Sheet2!$A$4:$A$13</c:f>
              <c:strCache>
                <c:ptCount val="10"/>
                <c:pt idx="0">
                  <c:v>JPMorgan Chase</c:v>
                </c:pt>
                <c:pt idx="1">
                  <c:v>Bank of America</c:v>
                </c:pt>
                <c:pt idx="2">
                  <c:v>Wells Fargo</c:v>
                </c:pt>
                <c:pt idx="3">
                  <c:v>Citibank</c:v>
                </c:pt>
                <c:pt idx="4">
                  <c:v>HSBC</c:v>
                </c:pt>
                <c:pt idx="5">
                  <c:v>Goldman Sachs</c:v>
                </c:pt>
                <c:pt idx="6">
                  <c:v>Deutsche Bank</c:v>
                </c:pt>
                <c:pt idx="7">
                  <c:v>Barclays</c:v>
                </c:pt>
                <c:pt idx="8">
                  <c:v>Credit Suisse</c:v>
                </c:pt>
                <c:pt idx="9">
                  <c:v>UBS</c:v>
                </c:pt>
              </c:strCache>
            </c:strRef>
          </c:cat>
          <c:val>
            <c:numRef>
              <c:f>Sheet2!$B$4:$B$13</c:f>
              <c:numCache>
                <c:formatCode>#,##0</c:formatCode>
                <c:ptCount val="10"/>
                <c:pt idx="0">
                  <c:v>2000</c:v>
                </c:pt>
                <c:pt idx="1">
                  <c:v>1800</c:v>
                </c:pt>
                <c:pt idx="2">
                  <c:v>1500</c:v>
                </c:pt>
                <c:pt idx="3">
                  <c:v>1200</c:v>
                </c:pt>
                <c:pt idx="4">
                  <c:v>1000</c:v>
                </c:pt>
                <c:pt idx="5" formatCode="General">
                  <c:v>900</c:v>
                </c:pt>
                <c:pt idx="6" formatCode="General">
                  <c:v>800</c:v>
                </c:pt>
                <c:pt idx="7" formatCode="General">
                  <c:v>750</c:v>
                </c:pt>
                <c:pt idx="8" formatCode="General">
                  <c:v>700</c:v>
                </c:pt>
                <c:pt idx="9" formatCode="General">
                  <c:v>650</c:v>
                </c:pt>
              </c:numCache>
            </c:numRef>
          </c:val>
          <c:extLst>
            <c:ext xmlns:c16="http://schemas.microsoft.com/office/drawing/2014/chart" uri="{C3380CC4-5D6E-409C-BE32-E72D297353CC}">
              <c16:uniqueId val="{00000000-4610-4DE9-8D15-B117CA86F9F0}"/>
            </c:ext>
          </c:extLst>
        </c:ser>
        <c:dLbls>
          <c:showLegendKey val="0"/>
          <c:showVal val="0"/>
          <c:showCatName val="0"/>
          <c:showSerName val="0"/>
          <c:showPercent val="0"/>
          <c:showBubbleSize val="0"/>
        </c:dLbls>
        <c:gapWidth val="219"/>
        <c:overlap val="-27"/>
        <c:axId val="1359664480"/>
        <c:axId val="1359668800"/>
      </c:barChart>
      <c:lineChart>
        <c:grouping val="standard"/>
        <c:varyColors val="0"/>
        <c:ser>
          <c:idx val="1"/>
          <c:order val="1"/>
          <c:tx>
            <c:strRef>
              <c:f>Sheet2!$C$3</c:f>
              <c:strCache>
                <c:ptCount val="1"/>
                <c:pt idx="0">
                  <c:v>Percentage of Operating Expenses (%)</c:v>
                </c:pt>
              </c:strCache>
            </c:strRef>
          </c:tx>
          <c:spPr>
            <a:ln w="28575" cap="rnd">
              <a:solidFill>
                <a:schemeClr val="accent2"/>
              </a:solidFill>
              <a:round/>
            </a:ln>
            <a:effectLst/>
          </c:spPr>
          <c:marker>
            <c:symbol val="none"/>
          </c:marker>
          <c:cat>
            <c:strRef>
              <c:f>Sheet2!$A$4:$A$13</c:f>
              <c:strCache>
                <c:ptCount val="10"/>
                <c:pt idx="0">
                  <c:v>JPMorgan Chase</c:v>
                </c:pt>
                <c:pt idx="1">
                  <c:v>Bank of America</c:v>
                </c:pt>
                <c:pt idx="2">
                  <c:v>Wells Fargo</c:v>
                </c:pt>
                <c:pt idx="3">
                  <c:v>Citibank</c:v>
                </c:pt>
                <c:pt idx="4">
                  <c:v>HSBC</c:v>
                </c:pt>
                <c:pt idx="5">
                  <c:v>Goldman Sachs</c:v>
                </c:pt>
                <c:pt idx="6">
                  <c:v>Deutsche Bank</c:v>
                </c:pt>
                <c:pt idx="7">
                  <c:v>Barclays</c:v>
                </c:pt>
                <c:pt idx="8">
                  <c:v>Credit Suisse</c:v>
                </c:pt>
                <c:pt idx="9">
                  <c:v>UBS</c:v>
                </c:pt>
              </c:strCache>
            </c:strRef>
          </c:cat>
          <c:val>
            <c:numRef>
              <c:f>Sheet2!$C$4:$C$13</c:f>
              <c:numCache>
                <c:formatCode>0.00%</c:formatCode>
                <c:ptCount val="10"/>
                <c:pt idx="0">
                  <c:v>3.5000000000000003E-2</c:v>
                </c:pt>
                <c:pt idx="1">
                  <c:v>3.7999999999999999E-2</c:v>
                </c:pt>
                <c:pt idx="2">
                  <c:v>3.2000000000000001E-2</c:v>
                </c:pt>
                <c:pt idx="3">
                  <c:v>2.9000000000000001E-2</c:v>
                </c:pt>
                <c:pt idx="4">
                  <c:v>2.7E-2</c:v>
                </c:pt>
                <c:pt idx="5">
                  <c:v>2.5999999999999999E-2</c:v>
                </c:pt>
                <c:pt idx="6">
                  <c:v>0.03</c:v>
                </c:pt>
                <c:pt idx="7">
                  <c:v>2.5000000000000001E-2</c:v>
                </c:pt>
                <c:pt idx="8">
                  <c:v>2.4E-2</c:v>
                </c:pt>
                <c:pt idx="9">
                  <c:v>2.3E-2</c:v>
                </c:pt>
              </c:numCache>
            </c:numRef>
          </c:val>
          <c:smooth val="0"/>
          <c:extLst>
            <c:ext xmlns:c16="http://schemas.microsoft.com/office/drawing/2014/chart" uri="{C3380CC4-5D6E-409C-BE32-E72D297353CC}">
              <c16:uniqueId val="{00000001-4610-4DE9-8D15-B117CA86F9F0}"/>
            </c:ext>
          </c:extLst>
        </c:ser>
        <c:dLbls>
          <c:showLegendKey val="0"/>
          <c:showVal val="0"/>
          <c:showCatName val="0"/>
          <c:showSerName val="0"/>
          <c:showPercent val="0"/>
          <c:showBubbleSize val="0"/>
        </c:dLbls>
        <c:marker val="1"/>
        <c:smooth val="0"/>
        <c:axId val="1359669760"/>
        <c:axId val="1359662560"/>
      </c:lineChart>
      <c:catAx>
        <c:axId val="1359664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668800"/>
        <c:crosses val="autoZero"/>
        <c:auto val="1"/>
        <c:lblAlgn val="ctr"/>
        <c:lblOffset val="100"/>
        <c:noMultiLvlLbl val="0"/>
      </c:catAx>
      <c:valAx>
        <c:axId val="13596688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664480"/>
        <c:crosses val="autoZero"/>
        <c:crossBetween val="between"/>
      </c:valAx>
      <c:valAx>
        <c:axId val="1359662560"/>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669760"/>
        <c:crosses val="max"/>
        <c:crossBetween val="between"/>
      </c:valAx>
      <c:catAx>
        <c:axId val="1359669760"/>
        <c:scaling>
          <c:orientation val="minMax"/>
        </c:scaling>
        <c:delete val="1"/>
        <c:axPos val="b"/>
        <c:numFmt formatCode="General" sourceLinked="1"/>
        <c:majorTickMark val="none"/>
        <c:minorTickMark val="none"/>
        <c:tickLblPos val="nextTo"/>
        <c:crossAx val="13596625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Anti-Money Laundering (AML) Suspicious Activity Reports (SARs) Filed (2018-2022)</a:t>
            </a:r>
            <a:r>
              <a:rPr lang="en-IN" sz="1400" b="1" i="0" u="none" strike="noStrike" baseline="0"/>
              <a:t> </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Sheet3!$B$3</c:f>
              <c:strCache>
                <c:ptCount val="1"/>
                <c:pt idx="0">
                  <c:v>Number of SARs Filed</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Sheet3!$A$4:$A$8</c:f>
              <c:numCache>
                <c:formatCode>General</c:formatCode>
                <c:ptCount val="5"/>
                <c:pt idx="0">
                  <c:v>2018</c:v>
                </c:pt>
                <c:pt idx="1">
                  <c:v>2019</c:v>
                </c:pt>
                <c:pt idx="2">
                  <c:v>2020</c:v>
                </c:pt>
                <c:pt idx="3">
                  <c:v>2021</c:v>
                </c:pt>
                <c:pt idx="4">
                  <c:v>2022</c:v>
                </c:pt>
              </c:numCache>
            </c:numRef>
          </c:cat>
          <c:val>
            <c:numRef>
              <c:f>Sheet3!$B$4:$B$8</c:f>
              <c:numCache>
                <c:formatCode>#,##0</c:formatCode>
                <c:ptCount val="5"/>
                <c:pt idx="0">
                  <c:v>900000</c:v>
                </c:pt>
                <c:pt idx="1">
                  <c:v>950000</c:v>
                </c:pt>
                <c:pt idx="2">
                  <c:v>1100000</c:v>
                </c:pt>
                <c:pt idx="3">
                  <c:v>1250000</c:v>
                </c:pt>
                <c:pt idx="4">
                  <c:v>1400000</c:v>
                </c:pt>
              </c:numCache>
            </c:numRef>
          </c:val>
          <c:smooth val="0"/>
          <c:extLst>
            <c:ext xmlns:c16="http://schemas.microsoft.com/office/drawing/2014/chart" uri="{C3380CC4-5D6E-409C-BE32-E72D297353CC}">
              <c16:uniqueId val="{00000000-1CE4-4FC3-B91C-F45288B2709F}"/>
            </c:ext>
          </c:extLst>
        </c:ser>
        <c:ser>
          <c:idx val="1"/>
          <c:order val="1"/>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c:f>
              <c:strCache>
                <c:ptCount val="1"/>
                <c:pt idx="0">
                  <c:v>Anti-Money Laundering (AML) Suspicious Activity Reports (SARs) Filed (2018-2022)</c:v>
                </c:pt>
              </c:strCache>
            </c:strRef>
          </c:cat>
          <c:val>
            <c:numRef>
              <c:f>Sheet3!$B$1</c:f>
              <c:numCache>
                <c:formatCode>General</c:formatCode>
                <c:ptCount val="1"/>
              </c:numCache>
            </c:numRef>
          </c:val>
          <c:smooth val="0"/>
          <c:extLst>
            <c:ext xmlns:c16="http://schemas.microsoft.com/office/drawing/2014/chart" uri="{C3380CC4-5D6E-409C-BE32-E72D297353CC}">
              <c16:uniqueId val="{00000001-1CE4-4FC3-B91C-F45288B2709F}"/>
            </c:ext>
          </c:extLst>
        </c:ser>
        <c:ser>
          <c:idx val="2"/>
          <c:order val="2"/>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c:f>
              <c:strCache>
                <c:ptCount val="1"/>
                <c:pt idx="0">
                  <c:v>Anti-Money Laundering (AML) Suspicious Activity Reports (SARs) Filed (2018-2022)</c:v>
                </c:pt>
              </c:strCache>
            </c:strRef>
          </c:cat>
          <c:val>
            <c:numRef>
              <c:f>Sheet3!$C$1</c:f>
              <c:numCache>
                <c:formatCode>General</c:formatCode>
                <c:ptCount val="1"/>
              </c:numCache>
            </c:numRef>
          </c:val>
          <c:smooth val="0"/>
          <c:extLst>
            <c:ext xmlns:c16="http://schemas.microsoft.com/office/drawing/2014/chart" uri="{C3380CC4-5D6E-409C-BE32-E72D297353CC}">
              <c16:uniqueId val="{00000002-1CE4-4FC3-B91C-F45288B2709F}"/>
            </c:ext>
          </c:extLst>
        </c:ser>
        <c:ser>
          <c:idx val="3"/>
          <c:order val="3"/>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c:f>
              <c:strCache>
                <c:ptCount val="1"/>
                <c:pt idx="0">
                  <c:v>Anti-Money Laundering (AML) Suspicious Activity Reports (SARs) Filed (2018-2022)</c:v>
                </c:pt>
              </c:strCache>
            </c:strRef>
          </c:cat>
          <c:val>
            <c:numRef>
              <c:f>Sheet3!$D$1</c:f>
              <c:numCache>
                <c:formatCode>General</c:formatCode>
                <c:ptCount val="1"/>
              </c:numCache>
            </c:numRef>
          </c:val>
          <c:smooth val="0"/>
          <c:extLst>
            <c:ext xmlns:c16="http://schemas.microsoft.com/office/drawing/2014/chart" uri="{C3380CC4-5D6E-409C-BE32-E72D297353CC}">
              <c16:uniqueId val="{00000003-1CE4-4FC3-B91C-F45288B2709F}"/>
            </c:ext>
          </c:extLst>
        </c:ser>
        <c:ser>
          <c:idx val="4"/>
          <c:order val="4"/>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c:f>
              <c:strCache>
                <c:ptCount val="1"/>
                <c:pt idx="0">
                  <c:v>Anti-Money Laundering (AML) Suspicious Activity Reports (SARs) Filed (2018-2022)</c:v>
                </c:pt>
              </c:strCache>
            </c:strRef>
          </c:cat>
          <c:val>
            <c:numRef>
              <c:f>Sheet3!$E$1</c:f>
              <c:numCache>
                <c:formatCode>General</c:formatCode>
                <c:ptCount val="1"/>
              </c:numCache>
            </c:numRef>
          </c:val>
          <c:smooth val="0"/>
          <c:extLst>
            <c:ext xmlns:c16="http://schemas.microsoft.com/office/drawing/2014/chart" uri="{C3380CC4-5D6E-409C-BE32-E72D297353CC}">
              <c16:uniqueId val="{00000004-1CE4-4FC3-B91C-F45288B2709F}"/>
            </c:ext>
          </c:extLst>
        </c:ser>
        <c:ser>
          <c:idx val="5"/>
          <c:order val="5"/>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c:f>
              <c:strCache>
                <c:ptCount val="1"/>
                <c:pt idx="0">
                  <c:v>Anti-Money Laundering (AML) Suspicious Activity Reports (SARs) Filed (2018-2022)</c:v>
                </c:pt>
              </c:strCache>
            </c:strRef>
          </c:cat>
          <c:val>
            <c:numRef>
              <c:f>Sheet3!$F$1</c:f>
              <c:numCache>
                <c:formatCode>General</c:formatCode>
                <c:ptCount val="1"/>
              </c:numCache>
            </c:numRef>
          </c:val>
          <c:smooth val="0"/>
          <c:extLst>
            <c:ext xmlns:c16="http://schemas.microsoft.com/office/drawing/2014/chart" uri="{C3380CC4-5D6E-409C-BE32-E72D297353CC}">
              <c16:uniqueId val="{00000005-1CE4-4FC3-B91C-F45288B2709F}"/>
            </c:ext>
          </c:extLst>
        </c:ser>
        <c:ser>
          <c:idx val="6"/>
          <c:order val="6"/>
          <c:spPr>
            <a:ln w="28575" cap="rnd">
              <a:solidFill>
                <a:schemeClr val="accent1">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c:f>
              <c:strCache>
                <c:ptCount val="1"/>
                <c:pt idx="0">
                  <c:v>Anti-Money Laundering (AML) Suspicious Activity Reports (SARs) Filed (2018-2022)</c:v>
                </c:pt>
              </c:strCache>
            </c:strRef>
          </c:cat>
          <c:val>
            <c:numRef>
              <c:f>Sheet3!$G$1</c:f>
              <c:numCache>
                <c:formatCode>General</c:formatCode>
                <c:ptCount val="1"/>
              </c:numCache>
            </c:numRef>
          </c:val>
          <c:smooth val="0"/>
          <c:extLst>
            <c:ext xmlns:c16="http://schemas.microsoft.com/office/drawing/2014/chart" uri="{C3380CC4-5D6E-409C-BE32-E72D297353CC}">
              <c16:uniqueId val="{00000006-1CE4-4FC3-B91C-F45288B2709F}"/>
            </c:ext>
          </c:extLst>
        </c:ser>
        <c:ser>
          <c:idx val="7"/>
          <c:order val="7"/>
          <c:spPr>
            <a:ln w="28575" cap="rnd">
              <a:solidFill>
                <a:schemeClr val="accent2">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c:f>
              <c:strCache>
                <c:ptCount val="1"/>
                <c:pt idx="0">
                  <c:v>Anti-Money Laundering (AML) Suspicious Activity Reports (SARs) Filed (2018-2022)</c:v>
                </c:pt>
              </c:strCache>
            </c:strRef>
          </c:cat>
          <c:val>
            <c:numRef>
              <c:f>Sheet3!$H$1</c:f>
              <c:numCache>
                <c:formatCode>General</c:formatCode>
                <c:ptCount val="1"/>
              </c:numCache>
            </c:numRef>
          </c:val>
          <c:smooth val="0"/>
          <c:extLst>
            <c:ext xmlns:c16="http://schemas.microsoft.com/office/drawing/2014/chart" uri="{C3380CC4-5D6E-409C-BE32-E72D297353CC}">
              <c16:uniqueId val="{00000007-1CE4-4FC3-B91C-F45288B2709F}"/>
            </c:ext>
          </c:extLst>
        </c:ser>
        <c:dLbls>
          <c:dLblPos val="t"/>
          <c:showLegendKey val="0"/>
          <c:showVal val="1"/>
          <c:showCatName val="0"/>
          <c:showSerName val="0"/>
          <c:showPercent val="0"/>
          <c:showBubbleSize val="0"/>
        </c:dLbls>
        <c:smooth val="0"/>
        <c:axId val="1420779231"/>
        <c:axId val="1420772991"/>
      </c:lineChart>
      <c:catAx>
        <c:axId val="14207792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772991"/>
        <c:crosses val="autoZero"/>
        <c:auto val="1"/>
        <c:lblAlgn val="ctr"/>
        <c:lblOffset val="100"/>
        <c:noMultiLvlLbl val="0"/>
      </c:catAx>
      <c:valAx>
        <c:axId val="1420772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Number of SARs Filed</a:t>
                </a:r>
                <a:r>
                  <a:rPr lang="en-IN" sz="1000" b="0" i="0" u="none" strike="noStrike" baseline="0"/>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7792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cp:lastPrinted>2024-06-21T08:53:00Z</cp:lastPrinted>
  <dcterms:created xsi:type="dcterms:W3CDTF">2024-06-21T08:53:00Z</dcterms:created>
  <dcterms:modified xsi:type="dcterms:W3CDTF">2024-06-21T08:53:00Z</dcterms:modified>
</cp:coreProperties>
</file>