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BEF58" w14:textId="4AF0A22E" w:rsidR="00964F90" w:rsidRPr="00964F90" w:rsidRDefault="00964F90" w:rsidP="00964F90">
      <w:pPr>
        <w:pStyle w:val="Heading1"/>
        <w:jc w:val="center"/>
        <w:rPr>
          <w:rFonts w:eastAsia="Times New Roman"/>
          <w:sz w:val="36"/>
          <w:szCs w:val="36"/>
          <w:lang w:eastAsia="en-IN"/>
        </w:rPr>
      </w:pPr>
      <w:r w:rsidRPr="00964F90">
        <w:rPr>
          <w:rFonts w:eastAsia="Times New Roman"/>
          <w:sz w:val="36"/>
          <w:szCs w:val="36"/>
          <w:lang w:eastAsia="en-IN"/>
        </w:rPr>
        <w:t>INVESTMENT BANKING FUNCTIONS</w:t>
      </w:r>
      <w:r w:rsidR="006017FF">
        <w:rPr>
          <w:rFonts w:eastAsia="Times New Roman"/>
          <w:sz w:val="36"/>
          <w:szCs w:val="36"/>
          <w:lang w:eastAsia="en-IN"/>
        </w:rPr>
        <w:t xml:space="preserve"> IN US BANKING SYSTEM</w:t>
      </w:r>
    </w:p>
    <w:p w14:paraId="3149FC6E" w14:textId="765D6623" w:rsidR="00964F90" w:rsidRPr="00964F90" w:rsidRDefault="00964F90" w:rsidP="00964F90">
      <w:pPr>
        <w:pStyle w:val="Heading1"/>
        <w:rPr>
          <w:rFonts w:eastAsia="Times New Roman"/>
          <w:lang w:eastAsia="en-IN"/>
        </w:rPr>
      </w:pPr>
      <w:r w:rsidRPr="00964F90">
        <w:rPr>
          <w:rFonts w:eastAsia="Times New Roman"/>
          <w:lang w:eastAsia="en-IN"/>
        </w:rPr>
        <w:t>Introduction</w:t>
      </w:r>
    </w:p>
    <w:p w14:paraId="7E65CC5E" w14:textId="77777777" w:rsidR="00964F90" w:rsidRPr="00964F90" w:rsidRDefault="00964F90" w:rsidP="00964F90">
      <w:p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kern w:val="0"/>
          <w:sz w:val="24"/>
          <w:szCs w:val="24"/>
          <w:lang w:eastAsia="en-IN"/>
          <w14:ligatures w14:val="none"/>
        </w:rPr>
        <w:t>Investment banking is a specialized segment of banking that focuses on helping companies and governments raise capital. It does so by underwriting new debt and equity securities for all types of corporations, aiding in the sale of securities, and facilitating mergers and acquisitions (M&amp;A). Additionally, investment banks offer advisory services for large, complex financial transactions and provide guidance on the placement of funds and the management of assets.</w:t>
      </w:r>
    </w:p>
    <w:p w14:paraId="225E2C22" w14:textId="77777777" w:rsidR="00964F90" w:rsidRPr="00964F90" w:rsidRDefault="00964F90" w:rsidP="00964F90">
      <w:pPr>
        <w:pStyle w:val="Heading2"/>
        <w:rPr>
          <w:rFonts w:eastAsia="Times New Roman"/>
          <w:lang w:eastAsia="en-IN"/>
        </w:rPr>
      </w:pPr>
      <w:r w:rsidRPr="00964F90">
        <w:rPr>
          <w:rFonts w:eastAsia="Times New Roman"/>
          <w:lang w:eastAsia="en-IN"/>
        </w:rPr>
        <w:t>What Are the Functions of Investment Banking?</w:t>
      </w:r>
    </w:p>
    <w:p w14:paraId="11CFE31B" w14:textId="77777777" w:rsidR="00964F90" w:rsidRPr="00964F90" w:rsidRDefault="00964F90" w:rsidP="00964F90">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Underwriting and Issuance of Securities</w:t>
      </w:r>
      <w:r w:rsidRPr="00964F90">
        <w:rPr>
          <w:rFonts w:eastAsia="Times New Roman" w:cs="Times New Roman"/>
          <w:kern w:val="0"/>
          <w:sz w:val="24"/>
          <w:szCs w:val="24"/>
          <w:lang w:eastAsia="en-IN"/>
          <w14:ligatures w14:val="none"/>
        </w:rPr>
        <w:t>: Investment banks assist corporations in issuing new securities, such as stocks and bonds. They underwrite these securities, meaning they purchase the securities from the issuer and sell them to investors, assuming the risk of selling them. This service is crucial for companies looking to raise capital for expansion, research, or other projects.</w:t>
      </w:r>
    </w:p>
    <w:p w14:paraId="6F48329C" w14:textId="77777777" w:rsidR="00964F90" w:rsidRPr="00964F90" w:rsidRDefault="00964F90" w:rsidP="00964F90">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Mergers and Acquisitions (M&amp;A) Advisory</w:t>
      </w:r>
      <w:r w:rsidRPr="00964F90">
        <w:rPr>
          <w:rFonts w:eastAsia="Times New Roman" w:cs="Times New Roman"/>
          <w:kern w:val="0"/>
          <w:sz w:val="24"/>
          <w:szCs w:val="24"/>
          <w:lang w:eastAsia="en-IN"/>
          <w14:ligatures w14:val="none"/>
        </w:rPr>
        <w:t>: Investment banks provide strategic advice to companies involved in mergers, acquisitions, divestitures, and other significant financial transactions. They help in identifying potential targets or buyers, negotiating terms, and structuring the transaction to maximize value for their clients.</w:t>
      </w:r>
    </w:p>
    <w:p w14:paraId="3FCA8687" w14:textId="77777777" w:rsidR="00964F90" w:rsidRPr="00964F90" w:rsidRDefault="00964F90" w:rsidP="00964F90">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Sales and Trading</w:t>
      </w:r>
      <w:r w:rsidRPr="00964F90">
        <w:rPr>
          <w:rFonts w:eastAsia="Times New Roman" w:cs="Times New Roman"/>
          <w:kern w:val="0"/>
          <w:sz w:val="24"/>
          <w:szCs w:val="24"/>
          <w:lang w:eastAsia="en-IN"/>
          <w14:ligatures w14:val="none"/>
        </w:rPr>
        <w:t>: Investment banks facilitate the buying and selling of securities on behalf of their clients and for their own accounts. They maintain a trading desk where securities are traded, providing liquidity to the markets and enabling clients to execute transactions efficiently.</w:t>
      </w:r>
    </w:p>
    <w:p w14:paraId="5797CC9F" w14:textId="77777777" w:rsidR="00964F90" w:rsidRPr="00964F90" w:rsidRDefault="00964F90" w:rsidP="00964F90">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Market Making</w:t>
      </w:r>
      <w:r w:rsidRPr="00964F90">
        <w:rPr>
          <w:rFonts w:eastAsia="Times New Roman" w:cs="Times New Roman"/>
          <w:kern w:val="0"/>
          <w:sz w:val="24"/>
          <w:szCs w:val="24"/>
          <w:lang w:eastAsia="en-IN"/>
          <w14:ligatures w14:val="none"/>
        </w:rPr>
        <w:t>: Investment banks act as market makers by providing liquidity in the markets. They quote both buy and sell prices for securities and stand ready to buy or sell at these prices, ensuring that there is always a market for the securities they trade.</w:t>
      </w:r>
    </w:p>
    <w:p w14:paraId="7591D8F5" w14:textId="77777777" w:rsidR="00964F90" w:rsidRPr="00964F90" w:rsidRDefault="00964F90" w:rsidP="00964F90">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Research</w:t>
      </w:r>
      <w:r w:rsidRPr="00964F90">
        <w:rPr>
          <w:rFonts w:eastAsia="Times New Roman" w:cs="Times New Roman"/>
          <w:kern w:val="0"/>
          <w:sz w:val="24"/>
          <w:szCs w:val="24"/>
          <w:lang w:eastAsia="en-IN"/>
          <w14:ligatures w14:val="none"/>
        </w:rPr>
        <w:t xml:space="preserve">: Investment banks conduct extensive research on companies, industries, and financial markets. Their research teams </w:t>
      </w:r>
      <w:proofErr w:type="spellStart"/>
      <w:r w:rsidRPr="00964F90">
        <w:rPr>
          <w:rFonts w:eastAsia="Times New Roman" w:cs="Times New Roman"/>
          <w:kern w:val="0"/>
          <w:sz w:val="24"/>
          <w:szCs w:val="24"/>
          <w:lang w:eastAsia="en-IN"/>
          <w14:ligatures w14:val="none"/>
        </w:rPr>
        <w:t>analyze</w:t>
      </w:r>
      <w:proofErr w:type="spellEnd"/>
      <w:r w:rsidRPr="00964F90">
        <w:rPr>
          <w:rFonts w:eastAsia="Times New Roman" w:cs="Times New Roman"/>
          <w:kern w:val="0"/>
          <w:sz w:val="24"/>
          <w:szCs w:val="24"/>
          <w:lang w:eastAsia="en-IN"/>
          <w14:ligatures w14:val="none"/>
        </w:rPr>
        <w:t xml:space="preserve"> financial statements, market trends, and economic data to provide investment recommendations and insights. This research helps clients make informed investment decisions.</w:t>
      </w:r>
    </w:p>
    <w:p w14:paraId="773D301A" w14:textId="77777777" w:rsidR="00964F90" w:rsidRPr="00964F90" w:rsidRDefault="00964F90" w:rsidP="00964F90">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Asset Management</w:t>
      </w:r>
      <w:r w:rsidRPr="00964F90">
        <w:rPr>
          <w:rFonts w:eastAsia="Times New Roman" w:cs="Times New Roman"/>
          <w:kern w:val="0"/>
          <w:sz w:val="24"/>
          <w:szCs w:val="24"/>
          <w:lang w:eastAsia="en-IN"/>
          <w14:ligatures w14:val="none"/>
        </w:rPr>
        <w:t>: Investment banks manage the assets of their clients, which include institutional investors, high-net-worth individuals, and others. They offer various investment strategies and services, including portfolio management, retirement planning, wealth management, and alternative investments like private equity and hedge funds.</w:t>
      </w:r>
    </w:p>
    <w:p w14:paraId="016B5474" w14:textId="77777777" w:rsidR="00964F90" w:rsidRPr="00964F90" w:rsidRDefault="00964F90" w:rsidP="00964F90">
      <w:pPr>
        <w:pStyle w:val="Heading2"/>
        <w:rPr>
          <w:rFonts w:eastAsia="Times New Roman"/>
          <w:lang w:eastAsia="en-IN"/>
        </w:rPr>
      </w:pPr>
      <w:r w:rsidRPr="00964F90">
        <w:rPr>
          <w:rFonts w:eastAsia="Times New Roman"/>
          <w:lang w:eastAsia="en-IN"/>
        </w:rPr>
        <w:lastRenderedPageBreak/>
        <w:t>How Does Investment Banking Differ from Commercial Banking?</w:t>
      </w:r>
    </w:p>
    <w:p w14:paraId="0D939520" w14:textId="77777777" w:rsidR="00964F90" w:rsidRPr="00964F90" w:rsidRDefault="00964F90" w:rsidP="00964F90">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Primary Focus</w:t>
      </w:r>
      <w:r w:rsidRPr="00964F90">
        <w:rPr>
          <w:rFonts w:eastAsia="Times New Roman" w:cs="Times New Roman"/>
          <w:kern w:val="0"/>
          <w:sz w:val="24"/>
          <w:szCs w:val="24"/>
          <w:lang w:eastAsia="en-IN"/>
          <w14:ligatures w14:val="none"/>
        </w:rPr>
        <w:t>: Investment banking is focused on raising capital for companies and providing advisory services for significant financial transactions. In contrast, commercial banking is focused on accepting deposits, providing loans, and offering retail banking services like checking and savings accounts.</w:t>
      </w:r>
    </w:p>
    <w:p w14:paraId="71CC9BD4" w14:textId="77777777" w:rsidR="00964F90" w:rsidRPr="00964F90" w:rsidRDefault="00964F90" w:rsidP="00964F90">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Client Base</w:t>
      </w:r>
      <w:r w:rsidRPr="00964F90">
        <w:rPr>
          <w:rFonts w:eastAsia="Times New Roman" w:cs="Times New Roman"/>
          <w:kern w:val="0"/>
          <w:sz w:val="24"/>
          <w:szCs w:val="24"/>
          <w:lang w:eastAsia="en-IN"/>
          <w14:ligatures w14:val="none"/>
        </w:rPr>
        <w:t xml:space="preserve">: Investment banks primarily serve large corporations, institutional investors, and governments. Commercial banks cater to the </w:t>
      </w:r>
      <w:proofErr w:type="gramStart"/>
      <w:r w:rsidRPr="00964F90">
        <w:rPr>
          <w:rFonts w:eastAsia="Times New Roman" w:cs="Times New Roman"/>
          <w:kern w:val="0"/>
          <w:sz w:val="24"/>
          <w:szCs w:val="24"/>
          <w:lang w:eastAsia="en-IN"/>
          <w14:ligatures w14:val="none"/>
        </w:rPr>
        <w:t>general public</w:t>
      </w:r>
      <w:proofErr w:type="gramEnd"/>
      <w:r w:rsidRPr="00964F90">
        <w:rPr>
          <w:rFonts w:eastAsia="Times New Roman" w:cs="Times New Roman"/>
          <w:kern w:val="0"/>
          <w:sz w:val="24"/>
          <w:szCs w:val="24"/>
          <w:lang w:eastAsia="en-IN"/>
          <w14:ligatures w14:val="none"/>
        </w:rPr>
        <w:t>, small to medium-sized enterprises, and local businesses.</w:t>
      </w:r>
    </w:p>
    <w:p w14:paraId="518309FD" w14:textId="77777777" w:rsidR="00964F90" w:rsidRPr="00964F90" w:rsidRDefault="00964F90" w:rsidP="00964F90">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Revenue Model</w:t>
      </w:r>
      <w:r w:rsidRPr="00964F90">
        <w:rPr>
          <w:rFonts w:eastAsia="Times New Roman" w:cs="Times New Roman"/>
          <w:kern w:val="0"/>
          <w:sz w:val="24"/>
          <w:szCs w:val="24"/>
          <w:lang w:eastAsia="en-IN"/>
          <w14:ligatures w14:val="none"/>
        </w:rPr>
        <w:t>: Investment banks generate revenue through fees, commissions, and trading profits. They earn fees from underwriting securities, advising on M&amp;A, and managing assets. Commercial banks primarily earn revenue from the interest on loans and fees for services provided to depositors.</w:t>
      </w:r>
    </w:p>
    <w:p w14:paraId="2B231BC8" w14:textId="77777777" w:rsidR="00964F90" w:rsidRPr="00964F90" w:rsidRDefault="00964F90" w:rsidP="00964F90">
      <w:pPr>
        <w:pStyle w:val="Heading2"/>
        <w:rPr>
          <w:rFonts w:eastAsia="Times New Roman"/>
          <w:lang w:eastAsia="en-IN"/>
        </w:rPr>
      </w:pPr>
      <w:r w:rsidRPr="00964F90">
        <w:rPr>
          <w:rFonts w:eastAsia="Times New Roman"/>
          <w:lang w:eastAsia="en-IN"/>
        </w:rPr>
        <w:t>What Are the Latest Innovations in Investment Banking (e.g., AI, Blockchain)?</w:t>
      </w:r>
    </w:p>
    <w:p w14:paraId="7CED9E92" w14:textId="77777777" w:rsidR="00964F90" w:rsidRPr="00964F90" w:rsidRDefault="00964F90" w:rsidP="00964F90">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Artificial Intelligence (AI)</w:t>
      </w:r>
      <w:r w:rsidRPr="00964F90">
        <w:rPr>
          <w:rFonts w:eastAsia="Times New Roman" w:cs="Times New Roman"/>
          <w:kern w:val="0"/>
          <w:sz w:val="24"/>
          <w:szCs w:val="24"/>
          <w:lang w:eastAsia="en-IN"/>
          <w14:ligatures w14:val="none"/>
        </w:rPr>
        <w:t xml:space="preserve">: AI is revolutionizing investment banking by enabling more efficient data processing and decision-making. AI algorithms are used in algorithmic trading to execute trades at optimal times and prices. AI also enhances risk management by identifying potential risks and anomalies in real-time. Additionally, AI-powered chatbots and </w:t>
      </w:r>
      <w:proofErr w:type="spellStart"/>
      <w:r w:rsidRPr="00964F90">
        <w:rPr>
          <w:rFonts w:eastAsia="Times New Roman" w:cs="Times New Roman"/>
          <w:kern w:val="0"/>
          <w:sz w:val="24"/>
          <w:szCs w:val="24"/>
          <w:lang w:eastAsia="en-IN"/>
          <w14:ligatures w14:val="none"/>
        </w:rPr>
        <w:t>robo</w:t>
      </w:r>
      <w:proofErr w:type="spellEnd"/>
      <w:r w:rsidRPr="00964F90">
        <w:rPr>
          <w:rFonts w:eastAsia="Times New Roman" w:cs="Times New Roman"/>
          <w:kern w:val="0"/>
          <w:sz w:val="24"/>
          <w:szCs w:val="24"/>
          <w:lang w:eastAsia="en-IN"/>
          <w14:ligatures w14:val="none"/>
        </w:rPr>
        <w:t>-advisors provide personalized financial advice and improve customer service.</w:t>
      </w:r>
    </w:p>
    <w:p w14:paraId="42E93BDA" w14:textId="77777777" w:rsidR="00964F90" w:rsidRPr="00964F90" w:rsidRDefault="00964F90" w:rsidP="00964F90">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Blockchain</w:t>
      </w:r>
      <w:r w:rsidRPr="00964F90">
        <w:rPr>
          <w:rFonts w:eastAsia="Times New Roman" w:cs="Times New Roman"/>
          <w:kern w:val="0"/>
          <w:sz w:val="24"/>
          <w:szCs w:val="24"/>
          <w:lang w:eastAsia="en-IN"/>
          <w14:ligatures w14:val="none"/>
        </w:rPr>
        <w:t>: Blockchain technology is improving the efficiency, security, and transparency of financial transactions. Investment banks are using blockchain for clearing and settling trades, which reduces the time and cost associated with these processes. Blockchain is also used in trade finance to streamline and secure transactions. Smart contracts, which are self-executing contracts with the terms of the agreement directly written into code, are another application of blockchain in investment banking.</w:t>
      </w:r>
    </w:p>
    <w:p w14:paraId="08A9FAEE" w14:textId="77777777" w:rsidR="00964F90" w:rsidRPr="00964F90" w:rsidRDefault="00964F90" w:rsidP="00964F90">
      <w:pPr>
        <w:pStyle w:val="Heading2"/>
        <w:rPr>
          <w:rFonts w:eastAsia="Times New Roman"/>
          <w:lang w:eastAsia="en-IN"/>
        </w:rPr>
      </w:pPr>
      <w:r w:rsidRPr="00964F90">
        <w:rPr>
          <w:rFonts w:eastAsia="Times New Roman"/>
          <w:lang w:eastAsia="en-IN"/>
        </w:rPr>
        <w:t>How Do Investment Banks Use Data Analytics to Enhance Their Services?</w:t>
      </w:r>
    </w:p>
    <w:p w14:paraId="7C0C430A" w14:textId="77777777" w:rsidR="00964F90" w:rsidRPr="00964F90" w:rsidRDefault="00964F90" w:rsidP="00964F90">
      <w:p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kern w:val="0"/>
          <w:sz w:val="24"/>
          <w:szCs w:val="24"/>
          <w:lang w:eastAsia="en-IN"/>
          <w14:ligatures w14:val="none"/>
        </w:rPr>
        <w:t xml:space="preserve">Investment banks leverage data analytics to gain insights into market trends, client </w:t>
      </w:r>
      <w:proofErr w:type="spellStart"/>
      <w:r w:rsidRPr="00964F90">
        <w:rPr>
          <w:rFonts w:eastAsia="Times New Roman" w:cs="Times New Roman"/>
          <w:kern w:val="0"/>
          <w:sz w:val="24"/>
          <w:szCs w:val="24"/>
          <w:lang w:eastAsia="en-IN"/>
          <w14:ligatures w14:val="none"/>
        </w:rPr>
        <w:t>behavior</w:t>
      </w:r>
      <w:proofErr w:type="spellEnd"/>
      <w:r w:rsidRPr="00964F90">
        <w:rPr>
          <w:rFonts w:eastAsia="Times New Roman" w:cs="Times New Roman"/>
          <w:kern w:val="0"/>
          <w:sz w:val="24"/>
          <w:szCs w:val="24"/>
          <w:lang w:eastAsia="en-IN"/>
          <w14:ligatures w14:val="none"/>
        </w:rPr>
        <w:t xml:space="preserve">, and risk management. By </w:t>
      </w:r>
      <w:proofErr w:type="spellStart"/>
      <w:r w:rsidRPr="00964F90">
        <w:rPr>
          <w:rFonts w:eastAsia="Times New Roman" w:cs="Times New Roman"/>
          <w:kern w:val="0"/>
          <w:sz w:val="24"/>
          <w:szCs w:val="24"/>
          <w:lang w:eastAsia="en-IN"/>
          <w14:ligatures w14:val="none"/>
        </w:rPr>
        <w:t>analyzing</w:t>
      </w:r>
      <w:proofErr w:type="spellEnd"/>
      <w:r w:rsidRPr="00964F90">
        <w:rPr>
          <w:rFonts w:eastAsia="Times New Roman" w:cs="Times New Roman"/>
          <w:kern w:val="0"/>
          <w:sz w:val="24"/>
          <w:szCs w:val="24"/>
          <w:lang w:eastAsia="en-IN"/>
          <w14:ligatures w14:val="none"/>
        </w:rPr>
        <w:t xml:space="preserve"> large datasets, they can make more informed decisions and offer more personalized services to clients. Specific applications include:</w:t>
      </w:r>
    </w:p>
    <w:p w14:paraId="7D74DAE1" w14:textId="77777777" w:rsidR="00964F90" w:rsidRPr="00964F90" w:rsidRDefault="00964F90" w:rsidP="00964F90">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Predictive Analytics</w:t>
      </w:r>
      <w:r w:rsidRPr="00964F90">
        <w:rPr>
          <w:rFonts w:eastAsia="Times New Roman" w:cs="Times New Roman"/>
          <w:kern w:val="0"/>
          <w:sz w:val="24"/>
          <w:szCs w:val="24"/>
          <w:lang w:eastAsia="en-IN"/>
          <w14:ligatures w14:val="none"/>
        </w:rPr>
        <w:t xml:space="preserve">: By </w:t>
      </w:r>
      <w:proofErr w:type="spellStart"/>
      <w:r w:rsidRPr="00964F90">
        <w:rPr>
          <w:rFonts w:eastAsia="Times New Roman" w:cs="Times New Roman"/>
          <w:kern w:val="0"/>
          <w:sz w:val="24"/>
          <w:szCs w:val="24"/>
          <w:lang w:eastAsia="en-IN"/>
          <w14:ligatures w14:val="none"/>
        </w:rPr>
        <w:t>analyzing</w:t>
      </w:r>
      <w:proofErr w:type="spellEnd"/>
      <w:r w:rsidRPr="00964F90">
        <w:rPr>
          <w:rFonts w:eastAsia="Times New Roman" w:cs="Times New Roman"/>
          <w:kern w:val="0"/>
          <w:sz w:val="24"/>
          <w:szCs w:val="24"/>
          <w:lang w:eastAsia="en-IN"/>
          <w14:ligatures w14:val="none"/>
        </w:rPr>
        <w:t xml:space="preserve"> historical data, investment banks can forecast market trends and make better investment decisions.</w:t>
      </w:r>
    </w:p>
    <w:p w14:paraId="06FDDA82" w14:textId="77777777" w:rsidR="00964F90" w:rsidRPr="00964F90" w:rsidRDefault="00964F90" w:rsidP="00964F90">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Client Segmentation</w:t>
      </w:r>
      <w:r w:rsidRPr="00964F90">
        <w:rPr>
          <w:rFonts w:eastAsia="Times New Roman" w:cs="Times New Roman"/>
          <w:kern w:val="0"/>
          <w:sz w:val="24"/>
          <w:szCs w:val="24"/>
          <w:lang w:eastAsia="en-IN"/>
          <w14:ligatures w14:val="none"/>
        </w:rPr>
        <w:t>: Data analytics allows banks to segment their clients based on various criteria, enabling them to tailor their services and marketing strategies to different client groups.</w:t>
      </w:r>
    </w:p>
    <w:p w14:paraId="53B46EF0" w14:textId="77777777" w:rsidR="00964F90" w:rsidRPr="00964F90" w:rsidRDefault="00964F90" w:rsidP="00964F90">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lastRenderedPageBreak/>
        <w:t>Risk Management</w:t>
      </w:r>
      <w:r w:rsidRPr="00964F90">
        <w:rPr>
          <w:rFonts w:eastAsia="Times New Roman" w:cs="Times New Roman"/>
          <w:kern w:val="0"/>
          <w:sz w:val="24"/>
          <w:szCs w:val="24"/>
          <w:lang w:eastAsia="en-IN"/>
          <w14:ligatures w14:val="none"/>
        </w:rPr>
        <w:t>: Data analytics helps in identifying potential risks and anomalies, allowing banks to take proactive measures to mitigate these risks.</w:t>
      </w:r>
    </w:p>
    <w:p w14:paraId="4C10D27D" w14:textId="77777777" w:rsidR="00964F90" w:rsidRPr="00964F90" w:rsidRDefault="00964F90" w:rsidP="00964F90">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Trading Strategies</w:t>
      </w:r>
      <w:r w:rsidRPr="00964F90">
        <w:rPr>
          <w:rFonts w:eastAsia="Times New Roman" w:cs="Times New Roman"/>
          <w:kern w:val="0"/>
          <w:sz w:val="24"/>
          <w:szCs w:val="24"/>
          <w:lang w:eastAsia="en-IN"/>
          <w14:ligatures w14:val="none"/>
        </w:rPr>
        <w:t>: Advanced analytics and machine learning models are used to develop and refine trading strategies, improving profitability and reducing risks.</w:t>
      </w:r>
    </w:p>
    <w:p w14:paraId="3C67F56E" w14:textId="77777777" w:rsidR="00964F90" w:rsidRPr="00964F90" w:rsidRDefault="00964F90" w:rsidP="00964F90">
      <w:pPr>
        <w:pStyle w:val="Heading2"/>
        <w:rPr>
          <w:rFonts w:eastAsia="Times New Roman"/>
          <w:lang w:eastAsia="en-IN"/>
        </w:rPr>
      </w:pPr>
      <w:r w:rsidRPr="00964F90">
        <w:rPr>
          <w:rFonts w:eastAsia="Times New Roman"/>
          <w:lang w:eastAsia="en-IN"/>
        </w:rPr>
        <w:t>How Do Investment Banks Manage Risks Associated with Trading?</w:t>
      </w:r>
    </w:p>
    <w:p w14:paraId="7B3F45A3" w14:textId="77777777" w:rsidR="00964F90" w:rsidRPr="00964F90" w:rsidRDefault="00964F90" w:rsidP="00964F90">
      <w:p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kern w:val="0"/>
          <w:sz w:val="24"/>
          <w:szCs w:val="24"/>
          <w:lang w:eastAsia="en-IN"/>
          <w14:ligatures w14:val="none"/>
        </w:rPr>
        <w:t>Investment banks employ various risk management techniques to mitigate the risks associated with trading. These include:</w:t>
      </w:r>
    </w:p>
    <w:p w14:paraId="455F85C3" w14:textId="77777777" w:rsidR="00964F90" w:rsidRPr="00964F90" w:rsidRDefault="00964F90" w:rsidP="00964F90">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Diversification</w:t>
      </w:r>
      <w:r w:rsidRPr="00964F90">
        <w:rPr>
          <w:rFonts w:eastAsia="Times New Roman" w:cs="Times New Roman"/>
          <w:kern w:val="0"/>
          <w:sz w:val="24"/>
          <w:szCs w:val="24"/>
          <w:lang w:eastAsia="en-IN"/>
          <w14:ligatures w14:val="none"/>
        </w:rPr>
        <w:t>: By diversifying their investment portfolios, banks reduce the impact of any single investment's poor performance.</w:t>
      </w:r>
    </w:p>
    <w:p w14:paraId="7C9B53F1" w14:textId="77777777" w:rsidR="00964F90" w:rsidRPr="00964F90" w:rsidRDefault="00964F90" w:rsidP="00964F90">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Hedging Strategies</w:t>
      </w:r>
      <w:r w:rsidRPr="00964F90">
        <w:rPr>
          <w:rFonts w:eastAsia="Times New Roman" w:cs="Times New Roman"/>
          <w:kern w:val="0"/>
          <w:sz w:val="24"/>
          <w:szCs w:val="24"/>
          <w:lang w:eastAsia="en-IN"/>
          <w14:ligatures w14:val="none"/>
        </w:rPr>
        <w:t>: Banks use financial instruments such as options and futures to hedge against potential losses in their trading positions.</w:t>
      </w:r>
    </w:p>
    <w:p w14:paraId="6DF0370A" w14:textId="77777777" w:rsidR="00964F90" w:rsidRPr="00964F90" w:rsidRDefault="00964F90" w:rsidP="00964F90">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Real-time Risk Monitoring</w:t>
      </w:r>
      <w:r w:rsidRPr="00964F90">
        <w:rPr>
          <w:rFonts w:eastAsia="Times New Roman" w:cs="Times New Roman"/>
          <w:kern w:val="0"/>
          <w:sz w:val="24"/>
          <w:szCs w:val="24"/>
          <w:lang w:eastAsia="en-IN"/>
          <w14:ligatures w14:val="none"/>
        </w:rPr>
        <w:t>: Advanced systems are in place to monitor trading activities and market conditions in real-time, allowing for quick response to any adverse developments.</w:t>
      </w:r>
    </w:p>
    <w:p w14:paraId="337C6974" w14:textId="77777777" w:rsidR="00964F90" w:rsidRPr="00964F90" w:rsidRDefault="00964F90" w:rsidP="00964F90">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Stress Testing</w:t>
      </w:r>
      <w:r w:rsidRPr="00964F90">
        <w:rPr>
          <w:rFonts w:eastAsia="Times New Roman" w:cs="Times New Roman"/>
          <w:kern w:val="0"/>
          <w:sz w:val="24"/>
          <w:szCs w:val="24"/>
          <w:lang w:eastAsia="en-IN"/>
          <w14:ligatures w14:val="none"/>
        </w:rPr>
        <w:t>: Banks conduct stress tests to assess their resilience to various hypothetical adverse scenarios, ensuring they can withstand significant market shocks.</w:t>
      </w:r>
    </w:p>
    <w:p w14:paraId="46E6537E" w14:textId="77777777" w:rsidR="00964F90" w:rsidRPr="00964F90" w:rsidRDefault="00964F90" w:rsidP="00964F90">
      <w:pPr>
        <w:pStyle w:val="Heading2"/>
        <w:rPr>
          <w:rFonts w:eastAsia="Times New Roman"/>
          <w:lang w:eastAsia="en-IN"/>
        </w:rPr>
      </w:pPr>
      <w:r w:rsidRPr="00964F90">
        <w:rPr>
          <w:rFonts w:eastAsia="Times New Roman"/>
          <w:lang w:eastAsia="en-IN"/>
        </w:rPr>
        <w:t>How Do Investment Banks Conduct and Utilize Financial Research?</w:t>
      </w:r>
    </w:p>
    <w:p w14:paraId="0D1DE623" w14:textId="77777777" w:rsidR="00964F90" w:rsidRPr="00964F90" w:rsidRDefault="00964F90" w:rsidP="00964F90">
      <w:p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kern w:val="0"/>
          <w:sz w:val="24"/>
          <w:szCs w:val="24"/>
          <w:lang w:eastAsia="en-IN"/>
          <w14:ligatures w14:val="none"/>
        </w:rPr>
        <w:t>Investment banks conduct in-depth financial research to support their trading, advisory, and underwriting activities. This research includes:</w:t>
      </w:r>
    </w:p>
    <w:p w14:paraId="4F128CA1" w14:textId="77777777" w:rsidR="00964F90" w:rsidRPr="00964F90" w:rsidRDefault="00964F90" w:rsidP="00964F90">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Fundamental Analysis</w:t>
      </w:r>
      <w:r w:rsidRPr="00964F90">
        <w:rPr>
          <w:rFonts w:eastAsia="Times New Roman" w:cs="Times New Roman"/>
          <w:kern w:val="0"/>
          <w:sz w:val="24"/>
          <w:szCs w:val="24"/>
          <w:lang w:eastAsia="en-IN"/>
          <w14:ligatures w14:val="none"/>
        </w:rPr>
        <w:t xml:space="preserve">: </w:t>
      </w:r>
      <w:proofErr w:type="spellStart"/>
      <w:r w:rsidRPr="00964F90">
        <w:rPr>
          <w:rFonts w:eastAsia="Times New Roman" w:cs="Times New Roman"/>
          <w:kern w:val="0"/>
          <w:sz w:val="24"/>
          <w:szCs w:val="24"/>
          <w:lang w:eastAsia="en-IN"/>
          <w14:ligatures w14:val="none"/>
        </w:rPr>
        <w:t>Analyzing</w:t>
      </w:r>
      <w:proofErr w:type="spellEnd"/>
      <w:r w:rsidRPr="00964F90">
        <w:rPr>
          <w:rFonts w:eastAsia="Times New Roman" w:cs="Times New Roman"/>
          <w:kern w:val="0"/>
          <w:sz w:val="24"/>
          <w:szCs w:val="24"/>
          <w:lang w:eastAsia="en-IN"/>
          <w14:ligatures w14:val="none"/>
        </w:rPr>
        <w:t xml:space="preserve"> financial statements, company performance, and economic conditions to assess the intrinsic value of securities.</w:t>
      </w:r>
    </w:p>
    <w:p w14:paraId="15A9D402" w14:textId="77777777" w:rsidR="00964F90" w:rsidRPr="00964F90" w:rsidRDefault="00964F90" w:rsidP="00964F90">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Technical Analysis</w:t>
      </w:r>
      <w:r w:rsidRPr="00964F90">
        <w:rPr>
          <w:rFonts w:eastAsia="Times New Roman" w:cs="Times New Roman"/>
          <w:kern w:val="0"/>
          <w:sz w:val="24"/>
          <w:szCs w:val="24"/>
          <w:lang w:eastAsia="en-IN"/>
          <w14:ligatures w14:val="none"/>
        </w:rPr>
        <w:t>: Studying past market data, primarily price and volume, to forecast future price movements.</w:t>
      </w:r>
    </w:p>
    <w:p w14:paraId="2F370A33" w14:textId="77777777" w:rsidR="00964F90" w:rsidRPr="00964F90" w:rsidRDefault="00964F90" w:rsidP="00964F90">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Economic Research</w:t>
      </w:r>
      <w:r w:rsidRPr="00964F90">
        <w:rPr>
          <w:rFonts w:eastAsia="Times New Roman" w:cs="Times New Roman"/>
          <w:kern w:val="0"/>
          <w:sz w:val="24"/>
          <w:szCs w:val="24"/>
          <w:lang w:eastAsia="en-IN"/>
          <w14:ligatures w14:val="none"/>
        </w:rPr>
        <w:t>: Examining macroeconomic trends, policy changes, and geopolitical events to understand their impact on financial markets.</w:t>
      </w:r>
    </w:p>
    <w:p w14:paraId="6D8F0637" w14:textId="77777777" w:rsidR="00964F90" w:rsidRPr="00964F90" w:rsidRDefault="00964F90" w:rsidP="00964F90">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Industry Analysis</w:t>
      </w:r>
      <w:r w:rsidRPr="00964F90">
        <w:rPr>
          <w:rFonts w:eastAsia="Times New Roman" w:cs="Times New Roman"/>
          <w:kern w:val="0"/>
          <w:sz w:val="24"/>
          <w:szCs w:val="24"/>
          <w:lang w:eastAsia="en-IN"/>
          <w14:ligatures w14:val="none"/>
        </w:rPr>
        <w:t xml:space="preserve">: </w:t>
      </w:r>
      <w:proofErr w:type="spellStart"/>
      <w:r w:rsidRPr="00964F90">
        <w:rPr>
          <w:rFonts w:eastAsia="Times New Roman" w:cs="Times New Roman"/>
          <w:kern w:val="0"/>
          <w:sz w:val="24"/>
          <w:szCs w:val="24"/>
          <w:lang w:eastAsia="en-IN"/>
          <w14:ligatures w14:val="none"/>
        </w:rPr>
        <w:t>Analyzing</w:t>
      </w:r>
      <w:proofErr w:type="spellEnd"/>
      <w:r w:rsidRPr="00964F90">
        <w:rPr>
          <w:rFonts w:eastAsia="Times New Roman" w:cs="Times New Roman"/>
          <w:kern w:val="0"/>
          <w:sz w:val="24"/>
          <w:szCs w:val="24"/>
          <w:lang w:eastAsia="en-IN"/>
          <w14:ligatures w14:val="none"/>
        </w:rPr>
        <w:t xml:space="preserve"> specific industries to identify trends, opportunities, and risks that could affect the performance of companies within those industries.</w:t>
      </w:r>
    </w:p>
    <w:p w14:paraId="22EE54F5" w14:textId="77777777" w:rsidR="00964F90" w:rsidRPr="00964F90" w:rsidRDefault="00964F90" w:rsidP="00964F90">
      <w:pPr>
        <w:pStyle w:val="Heading2"/>
        <w:rPr>
          <w:rFonts w:eastAsia="Times New Roman"/>
          <w:lang w:eastAsia="en-IN"/>
        </w:rPr>
      </w:pPr>
      <w:r w:rsidRPr="00964F90">
        <w:rPr>
          <w:rFonts w:eastAsia="Times New Roman"/>
          <w:lang w:eastAsia="en-IN"/>
        </w:rPr>
        <w:t>What Services Do Investment Banks Offer in Terms of Asset Management?</w:t>
      </w:r>
    </w:p>
    <w:p w14:paraId="2C3E00EA" w14:textId="77777777" w:rsidR="00964F90" w:rsidRPr="00964F90" w:rsidRDefault="00964F90" w:rsidP="00964F90">
      <w:p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kern w:val="0"/>
          <w:sz w:val="24"/>
          <w:szCs w:val="24"/>
          <w:lang w:eastAsia="en-IN"/>
          <w14:ligatures w14:val="none"/>
        </w:rPr>
        <w:t>Investment banks offer a range of asset management services to help clients achieve their investment goals. These services include:</w:t>
      </w:r>
    </w:p>
    <w:p w14:paraId="61B5D68A" w14:textId="77777777" w:rsidR="00964F90" w:rsidRPr="00964F90" w:rsidRDefault="00964F90" w:rsidP="00964F90">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Portfolio Management</w:t>
      </w:r>
      <w:r w:rsidRPr="00964F90">
        <w:rPr>
          <w:rFonts w:eastAsia="Times New Roman" w:cs="Times New Roman"/>
          <w:kern w:val="0"/>
          <w:sz w:val="24"/>
          <w:szCs w:val="24"/>
          <w:lang w:eastAsia="en-IN"/>
          <w14:ligatures w14:val="none"/>
        </w:rPr>
        <w:t>: Creating and managing diversified investment portfolios tailored to the client’s risk tolerance, time horizon, and financial goals.</w:t>
      </w:r>
    </w:p>
    <w:p w14:paraId="17F45B8E" w14:textId="77777777" w:rsidR="00964F90" w:rsidRPr="00964F90" w:rsidRDefault="00964F90" w:rsidP="00964F90">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lastRenderedPageBreak/>
        <w:t>Retirement Planning</w:t>
      </w:r>
      <w:r w:rsidRPr="00964F90">
        <w:rPr>
          <w:rFonts w:eastAsia="Times New Roman" w:cs="Times New Roman"/>
          <w:kern w:val="0"/>
          <w:sz w:val="24"/>
          <w:szCs w:val="24"/>
          <w:lang w:eastAsia="en-IN"/>
          <w14:ligatures w14:val="none"/>
        </w:rPr>
        <w:t>: Designing investment strategies to help clients build and preserve wealth for retirement.</w:t>
      </w:r>
    </w:p>
    <w:p w14:paraId="14690DE3" w14:textId="77777777" w:rsidR="00964F90" w:rsidRPr="00964F90" w:rsidRDefault="00964F90" w:rsidP="00964F90">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Wealth Management</w:t>
      </w:r>
      <w:r w:rsidRPr="00964F90">
        <w:rPr>
          <w:rFonts w:eastAsia="Times New Roman" w:cs="Times New Roman"/>
          <w:kern w:val="0"/>
          <w:sz w:val="24"/>
          <w:szCs w:val="24"/>
          <w:lang w:eastAsia="en-IN"/>
          <w14:ligatures w14:val="none"/>
        </w:rPr>
        <w:t>: Providing comprehensive financial planning and investment management services to high-net-worth individuals.</w:t>
      </w:r>
    </w:p>
    <w:p w14:paraId="1D4672E4" w14:textId="77777777" w:rsidR="00964F90" w:rsidRPr="00964F90" w:rsidRDefault="00964F90" w:rsidP="00964F90">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Alternative Investments</w:t>
      </w:r>
      <w:r w:rsidRPr="00964F90">
        <w:rPr>
          <w:rFonts w:eastAsia="Times New Roman" w:cs="Times New Roman"/>
          <w:kern w:val="0"/>
          <w:sz w:val="24"/>
          <w:szCs w:val="24"/>
          <w:lang w:eastAsia="en-IN"/>
          <w14:ligatures w14:val="none"/>
        </w:rPr>
        <w:t>: Offering access to investment opportunities in private equity, hedge funds, real estate, and other non-traditional assets.</w:t>
      </w:r>
    </w:p>
    <w:p w14:paraId="157AEF8A" w14:textId="6A74F4CB" w:rsidR="006017FF" w:rsidRDefault="006017FF" w:rsidP="00964F90">
      <w:pPr>
        <w:pStyle w:val="Heading1"/>
        <w:rPr>
          <w:rFonts w:eastAsia="Times New Roman"/>
          <w:lang w:eastAsia="en-IN"/>
        </w:rPr>
      </w:pPr>
      <w:r>
        <w:rPr>
          <w:rFonts w:eastAsia="Times New Roman"/>
          <w:lang w:eastAsia="en-IN"/>
        </w:rPr>
        <w:t xml:space="preserve">Data tables related to Investment Banking Function </w:t>
      </w:r>
    </w:p>
    <w:p w14:paraId="0C23E1F4" w14:textId="77777777" w:rsidR="006017FF" w:rsidRDefault="006017FF" w:rsidP="006017FF">
      <w:pPr>
        <w:pStyle w:val="Heading3"/>
      </w:pPr>
      <w:r>
        <w:t>Investment Banking Revenue by Type of Client (in $ billions)</w:t>
      </w:r>
    </w:p>
    <w:tbl>
      <w:tblPr>
        <w:tblStyle w:val="TableGrid"/>
        <w:tblW w:w="0" w:type="auto"/>
        <w:tblLook w:val="04A0" w:firstRow="1" w:lastRow="0" w:firstColumn="1" w:lastColumn="0" w:noHBand="0" w:noVBand="1"/>
      </w:tblPr>
      <w:tblGrid>
        <w:gridCol w:w="729"/>
        <w:gridCol w:w="2045"/>
        <w:gridCol w:w="2279"/>
        <w:gridCol w:w="2298"/>
        <w:gridCol w:w="1665"/>
      </w:tblGrid>
      <w:tr w:rsidR="006017FF" w:rsidRPr="006017FF" w14:paraId="6C6A2816" w14:textId="77777777" w:rsidTr="006017FF">
        <w:tc>
          <w:tcPr>
            <w:tcW w:w="0" w:type="auto"/>
            <w:hideMark/>
          </w:tcPr>
          <w:p w14:paraId="57A00E61" w14:textId="77777777" w:rsidR="006017FF" w:rsidRPr="006017FF" w:rsidRDefault="006017FF">
            <w:pPr>
              <w:jc w:val="center"/>
              <w:rPr>
                <w:b/>
                <w:bCs/>
                <w:sz w:val="24"/>
                <w:szCs w:val="24"/>
              </w:rPr>
            </w:pPr>
            <w:r w:rsidRPr="006017FF">
              <w:rPr>
                <w:b/>
                <w:bCs/>
                <w:sz w:val="24"/>
                <w:szCs w:val="24"/>
              </w:rPr>
              <w:t>Year</w:t>
            </w:r>
          </w:p>
        </w:tc>
        <w:tc>
          <w:tcPr>
            <w:tcW w:w="0" w:type="auto"/>
            <w:hideMark/>
          </w:tcPr>
          <w:p w14:paraId="325476AE" w14:textId="77777777" w:rsidR="006017FF" w:rsidRPr="006017FF" w:rsidRDefault="006017FF">
            <w:pPr>
              <w:jc w:val="center"/>
              <w:rPr>
                <w:b/>
                <w:bCs/>
                <w:sz w:val="24"/>
                <w:szCs w:val="24"/>
              </w:rPr>
            </w:pPr>
            <w:r w:rsidRPr="006017FF">
              <w:rPr>
                <w:b/>
                <w:bCs/>
                <w:sz w:val="24"/>
                <w:szCs w:val="24"/>
              </w:rPr>
              <w:t>Corporate Clients</w:t>
            </w:r>
          </w:p>
        </w:tc>
        <w:tc>
          <w:tcPr>
            <w:tcW w:w="0" w:type="auto"/>
            <w:hideMark/>
          </w:tcPr>
          <w:p w14:paraId="6D59CA13" w14:textId="77777777" w:rsidR="006017FF" w:rsidRPr="006017FF" w:rsidRDefault="006017FF">
            <w:pPr>
              <w:jc w:val="center"/>
              <w:rPr>
                <w:b/>
                <w:bCs/>
                <w:sz w:val="24"/>
                <w:szCs w:val="24"/>
              </w:rPr>
            </w:pPr>
            <w:r w:rsidRPr="006017FF">
              <w:rPr>
                <w:b/>
                <w:bCs/>
                <w:sz w:val="24"/>
                <w:szCs w:val="24"/>
              </w:rPr>
              <w:t>Institutional Clients</w:t>
            </w:r>
          </w:p>
        </w:tc>
        <w:tc>
          <w:tcPr>
            <w:tcW w:w="0" w:type="auto"/>
            <w:hideMark/>
          </w:tcPr>
          <w:p w14:paraId="28AA2514" w14:textId="77777777" w:rsidR="006017FF" w:rsidRPr="006017FF" w:rsidRDefault="006017FF">
            <w:pPr>
              <w:jc w:val="center"/>
              <w:rPr>
                <w:b/>
                <w:bCs/>
                <w:sz w:val="24"/>
                <w:szCs w:val="24"/>
              </w:rPr>
            </w:pPr>
            <w:r w:rsidRPr="006017FF">
              <w:rPr>
                <w:b/>
                <w:bCs/>
                <w:sz w:val="24"/>
                <w:szCs w:val="24"/>
              </w:rPr>
              <w:t>Government Clients</w:t>
            </w:r>
          </w:p>
        </w:tc>
        <w:tc>
          <w:tcPr>
            <w:tcW w:w="0" w:type="auto"/>
            <w:hideMark/>
          </w:tcPr>
          <w:p w14:paraId="225D3294" w14:textId="77777777" w:rsidR="006017FF" w:rsidRPr="006017FF" w:rsidRDefault="006017FF">
            <w:pPr>
              <w:jc w:val="center"/>
              <w:rPr>
                <w:b/>
                <w:bCs/>
                <w:sz w:val="24"/>
                <w:szCs w:val="24"/>
              </w:rPr>
            </w:pPr>
            <w:r w:rsidRPr="006017FF">
              <w:rPr>
                <w:b/>
                <w:bCs/>
                <w:sz w:val="24"/>
                <w:szCs w:val="24"/>
              </w:rPr>
              <w:t>Total Revenue</w:t>
            </w:r>
          </w:p>
        </w:tc>
      </w:tr>
      <w:tr w:rsidR="006017FF" w:rsidRPr="006017FF" w14:paraId="4B5F3401" w14:textId="77777777" w:rsidTr="006017FF">
        <w:tc>
          <w:tcPr>
            <w:tcW w:w="0" w:type="auto"/>
            <w:hideMark/>
          </w:tcPr>
          <w:p w14:paraId="3F90C968" w14:textId="77777777" w:rsidR="006017FF" w:rsidRPr="006017FF" w:rsidRDefault="006017FF">
            <w:pPr>
              <w:rPr>
                <w:sz w:val="24"/>
                <w:szCs w:val="24"/>
              </w:rPr>
            </w:pPr>
            <w:r w:rsidRPr="006017FF">
              <w:rPr>
                <w:sz w:val="24"/>
                <w:szCs w:val="24"/>
              </w:rPr>
              <w:t>2019</w:t>
            </w:r>
          </w:p>
        </w:tc>
        <w:tc>
          <w:tcPr>
            <w:tcW w:w="0" w:type="auto"/>
            <w:hideMark/>
          </w:tcPr>
          <w:p w14:paraId="308B6689" w14:textId="77777777" w:rsidR="006017FF" w:rsidRPr="006017FF" w:rsidRDefault="006017FF">
            <w:pPr>
              <w:rPr>
                <w:sz w:val="24"/>
                <w:szCs w:val="24"/>
              </w:rPr>
            </w:pPr>
            <w:r w:rsidRPr="006017FF">
              <w:rPr>
                <w:sz w:val="24"/>
                <w:szCs w:val="24"/>
              </w:rPr>
              <w:t>80.0</w:t>
            </w:r>
          </w:p>
        </w:tc>
        <w:tc>
          <w:tcPr>
            <w:tcW w:w="0" w:type="auto"/>
            <w:hideMark/>
          </w:tcPr>
          <w:p w14:paraId="6EE961BF" w14:textId="77777777" w:rsidR="006017FF" w:rsidRPr="006017FF" w:rsidRDefault="006017FF">
            <w:pPr>
              <w:rPr>
                <w:sz w:val="24"/>
                <w:szCs w:val="24"/>
              </w:rPr>
            </w:pPr>
            <w:r w:rsidRPr="006017FF">
              <w:rPr>
                <w:sz w:val="24"/>
                <w:szCs w:val="24"/>
              </w:rPr>
              <w:t>45.0</w:t>
            </w:r>
          </w:p>
        </w:tc>
        <w:tc>
          <w:tcPr>
            <w:tcW w:w="0" w:type="auto"/>
            <w:hideMark/>
          </w:tcPr>
          <w:p w14:paraId="0A57BD46" w14:textId="77777777" w:rsidR="006017FF" w:rsidRPr="006017FF" w:rsidRDefault="006017FF">
            <w:pPr>
              <w:rPr>
                <w:sz w:val="24"/>
                <w:szCs w:val="24"/>
              </w:rPr>
            </w:pPr>
            <w:r w:rsidRPr="006017FF">
              <w:rPr>
                <w:sz w:val="24"/>
                <w:szCs w:val="24"/>
              </w:rPr>
              <w:t>14.0</w:t>
            </w:r>
          </w:p>
        </w:tc>
        <w:tc>
          <w:tcPr>
            <w:tcW w:w="0" w:type="auto"/>
            <w:hideMark/>
          </w:tcPr>
          <w:p w14:paraId="6304D4A9" w14:textId="77777777" w:rsidR="006017FF" w:rsidRPr="006017FF" w:rsidRDefault="006017FF">
            <w:pPr>
              <w:rPr>
                <w:sz w:val="24"/>
                <w:szCs w:val="24"/>
              </w:rPr>
            </w:pPr>
            <w:r w:rsidRPr="006017FF">
              <w:rPr>
                <w:sz w:val="24"/>
                <w:szCs w:val="24"/>
              </w:rPr>
              <w:t>139.0</w:t>
            </w:r>
          </w:p>
        </w:tc>
      </w:tr>
      <w:tr w:rsidR="006017FF" w:rsidRPr="006017FF" w14:paraId="0E4B5CD3" w14:textId="77777777" w:rsidTr="006017FF">
        <w:tc>
          <w:tcPr>
            <w:tcW w:w="0" w:type="auto"/>
            <w:hideMark/>
          </w:tcPr>
          <w:p w14:paraId="1E5AF7B0" w14:textId="77777777" w:rsidR="006017FF" w:rsidRPr="006017FF" w:rsidRDefault="006017FF">
            <w:pPr>
              <w:rPr>
                <w:sz w:val="24"/>
                <w:szCs w:val="24"/>
              </w:rPr>
            </w:pPr>
            <w:r w:rsidRPr="006017FF">
              <w:rPr>
                <w:sz w:val="24"/>
                <w:szCs w:val="24"/>
              </w:rPr>
              <w:t>2020</w:t>
            </w:r>
          </w:p>
        </w:tc>
        <w:tc>
          <w:tcPr>
            <w:tcW w:w="0" w:type="auto"/>
            <w:hideMark/>
          </w:tcPr>
          <w:p w14:paraId="22DCCEF1" w14:textId="77777777" w:rsidR="006017FF" w:rsidRPr="006017FF" w:rsidRDefault="006017FF">
            <w:pPr>
              <w:rPr>
                <w:sz w:val="24"/>
                <w:szCs w:val="24"/>
              </w:rPr>
            </w:pPr>
            <w:r w:rsidRPr="006017FF">
              <w:rPr>
                <w:sz w:val="24"/>
                <w:szCs w:val="24"/>
              </w:rPr>
              <w:t>90.0</w:t>
            </w:r>
          </w:p>
        </w:tc>
        <w:tc>
          <w:tcPr>
            <w:tcW w:w="0" w:type="auto"/>
            <w:hideMark/>
          </w:tcPr>
          <w:p w14:paraId="0BFBA947" w14:textId="77777777" w:rsidR="006017FF" w:rsidRPr="006017FF" w:rsidRDefault="006017FF">
            <w:pPr>
              <w:rPr>
                <w:sz w:val="24"/>
                <w:szCs w:val="24"/>
              </w:rPr>
            </w:pPr>
            <w:r w:rsidRPr="006017FF">
              <w:rPr>
                <w:sz w:val="24"/>
                <w:szCs w:val="24"/>
              </w:rPr>
              <w:t>48.0</w:t>
            </w:r>
          </w:p>
        </w:tc>
        <w:tc>
          <w:tcPr>
            <w:tcW w:w="0" w:type="auto"/>
            <w:hideMark/>
          </w:tcPr>
          <w:p w14:paraId="5099C556" w14:textId="77777777" w:rsidR="006017FF" w:rsidRPr="006017FF" w:rsidRDefault="006017FF">
            <w:pPr>
              <w:rPr>
                <w:sz w:val="24"/>
                <w:szCs w:val="24"/>
              </w:rPr>
            </w:pPr>
            <w:r w:rsidRPr="006017FF">
              <w:rPr>
                <w:sz w:val="24"/>
                <w:szCs w:val="24"/>
              </w:rPr>
              <w:t>8.3</w:t>
            </w:r>
          </w:p>
        </w:tc>
        <w:tc>
          <w:tcPr>
            <w:tcW w:w="0" w:type="auto"/>
            <w:hideMark/>
          </w:tcPr>
          <w:p w14:paraId="36344517" w14:textId="77777777" w:rsidR="006017FF" w:rsidRPr="006017FF" w:rsidRDefault="006017FF">
            <w:pPr>
              <w:rPr>
                <w:sz w:val="24"/>
                <w:szCs w:val="24"/>
              </w:rPr>
            </w:pPr>
            <w:r w:rsidRPr="006017FF">
              <w:rPr>
                <w:sz w:val="24"/>
                <w:szCs w:val="24"/>
              </w:rPr>
              <w:t>146.3</w:t>
            </w:r>
          </w:p>
        </w:tc>
      </w:tr>
      <w:tr w:rsidR="006017FF" w:rsidRPr="006017FF" w14:paraId="287A016F" w14:textId="77777777" w:rsidTr="006017FF">
        <w:tc>
          <w:tcPr>
            <w:tcW w:w="0" w:type="auto"/>
            <w:hideMark/>
          </w:tcPr>
          <w:p w14:paraId="7C34B97B" w14:textId="77777777" w:rsidR="006017FF" w:rsidRPr="006017FF" w:rsidRDefault="006017FF">
            <w:pPr>
              <w:rPr>
                <w:sz w:val="24"/>
                <w:szCs w:val="24"/>
              </w:rPr>
            </w:pPr>
            <w:r w:rsidRPr="006017FF">
              <w:rPr>
                <w:sz w:val="24"/>
                <w:szCs w:val="24"/>
              </w:rPr>
              <w:t>2021</w:t>
            </w:r>
          </w:p>
        </w:tc>
        <w:tc>
          <w:tcPr>
            <w:tcW w:w="0" w:type="auto"/>
            <w:hideMark/>
          </w:tcPr>
          <w:p w14:paraId="0DBC91AF" w14:textId="77777777" w:rsidR="006017FF" w:rsidRPr="006017FF" w:rsidRDefault="006017FF">
            <w:pPr>
              <w:rPr>
                <w:sz w:val="24"/>
                <w:szCs w:val="24"/>
              </w:rPr>
            </w:pPr>
            <w:r w:rsidRPr="006017FF">
              <w:rPr>
                <w:sz w:val="24"/>
                <w:szCs w:val="24"/>
              </w:rPr>
              <w:t>110.0</w:t>
            </w:r>
          </w:p>
        </w:tc>
        <w:tc>
          <w:tcPr>
            <w:tcW w:w="0" w:type="auto"/>
            <w:hideMark/>
          </w:tcPr>
          <w:p w14:paraId="162D8C91" w14:textId="77777777" w:rsidR="006017FF" w:rsidRPr="006017FF" w:rsidRDefault="006017FF">
            <w:pPr>
              <w:rPr>
                <w:sz w:val="24"/>
                <w:szCs w:val="24"/>
              </w:rPr>
            </w:pPr>
            <w:r w:rsidRPr="006017FF">
              <w:rPr>
                <w:sz w:val="24"/>
                <w:szCs w:val="24"/>
              </w:rPr>
              <w:t>55.0</w:t>
            </w:r>
          </w:p>
        </w:tc>
        <w:tc>
          <w:tcPr>
            <w:tcW w:w="0" w:type="auto"/>
            <w:hideMark/>
          </w:tcPr>
          <w:p w14:paraId="6C764DAC" w14:textId="77777777" w:rsidR="006017FF" w:rsidRPr="006017FF" w:rsidRDefault="006017FF">
            <w:pPr>
              <w:rPr>
                <w:sz w:val="24"/>
                <w:szCs w:val="24"/>
              </w:rPr>
            </w:pPr>
            <w:r w:rsidRPr="006017FF">
              <w:rPr>
                <w:sz w:val="24"/>
                <w:szCs w:val="24"/>
              </w:rPr>
              <w:t>13.7</w:t>
            </w:r>
          </w:p>
        </w:tc>
        <w:tc>
          <w:tcPr>
            <w:tcW w:w="0" w:type="auto"/>
            <w:hideMark/>
          </w:tcPr>
          <w:p w14:paraId="118EA5C4" w14:textId="77777777" w:rsidR="006017FF" w:rsidRPr="006017FF" w:rsidRDefault="006017FF">
            <w:pPr>
              <w:rPr>
                <w:sz w:val="24"/>
                <w:szCs w:val="24"/>
              </w:rPr>
            </w:pPr>
            <w:r w:rsidRPr="006017FF">
              <w:rPr>
                <w:sz w:val="24"/>
                <w:szCs w:val="24"/>
              </w:rPr>
              <w:t>178.7</w:t>
            </w:r>
          </w:p>
        </w:tc>
      </w:tr>
      <w:tr w:rsidR="006017FF" w:rsidRPr="006017FF" w14:paraId="5944F9B2" w14:textId="77777777" w:rsidTr="006017FF">
        <w:tc>
          <w:tcPr>
            <w:tcW w:w="0" w:type="auto"/>
            <w:hideMark/>
          </w:tcPr>
          <w:p w14:paraId="6B95BFC3" w14:textId="77777777" w:rsidR="006017FF" w:rsidRPr="006017FF" w:rsidRDefault="006017FF">
            <w:pPr>
              <w:rPr>
                <w:sz w:val="24"/>
                <w:szCs w:val="24"/>
              </w:rPr>
            </w:pPr>
            <w:r w:rsidRPr="006017FF">
              <w:rPr>
                <w:sz w:val="24"/>
                <w:szCs w:val="24"/>
              </w:rPr>
              <w:t>2022</w:t>
            </w:r>
          </w:p>
        </w:tc>
        <w:tc>
          <w:tcPr>
            <w:tcW w:w="0" w:type="auto"/>
            <w:hideMark/>
          </w:tcPr>
          <w:p w14:paraId="6AEA7DC5" w14:textId="77777777" w:rsidR="006017FF" w:rsidRPr="006017FF" w:rsidRDefault="006017FF">
            <w:pPr>
              <w:rPr>
                <w:sz w:val="24"/>
                <w:szCs w:val="24"/>
              </w:rPr>
            </w:pPr>
            <w:r w:rsidRPr="006017FF">
              <w:rPr>
                <w:sz w:val="24"/>
                <w:szCs w:val="24"/>
              </w:rPr>
              <w:t>100.0</w:t>
            </w:r>
          </w:p>
        </w:tc>
        <w:tc>
          <w:tcPr>
            <w:tcW w:w="0" w:type="auto"/>
            <w:hideMark/>
          </w:tcPr>
          <w:p w14:paraId="40E7D7FE" w14:textId="77777777" w:rsidR="006017FF" w:rsidRPr="006017FF" w:rsidRDefault="006017FF">
            <w:pPr>
              <w:rPr>
                <w:sz w:val="24"/>
                <w:szCs w:val="24"/>
              </w:rPr>
            </w:pPr>
            <w:r w:rsidRPr="006017FF">
              <w:rPr>
                <w:sz w:val="24"/>
                <w:szCs w:val="24"/>
              </w:rPr>
              <w:t>47.0</w:t>
            </w:r>
          </w:p>
        </w:tc>
        <w:tc>
          <w:tcPr>
            <w:tcW w:w="0" w:type="auto"/>
            <w:hideMark/>
          </w:tcPr>
          <w:p w14:paraId="1955F4A2" w14:textId="77777777" w:rsidR="006017FF" w:rsidRPr="006017FF" w:rsidRDefault="006017FF">
            <w:pPr>
              <w:rPr>
                <w:sz w:val="24"/>
                <w:szCs w:val="24"/>
              </w:rPr>
            </w:pPr>
            <w:r w:rsidRPr="006017FF">
              <w:rPr>
                <w:sz w:val="24"/>
                <w:szCs w:val="24"/>
              </w:rPr>
              <w:t>10.4</w:t>
            </w:r>
          </w:p>
        </w:tc>
        <w:tc>
          <w:tcPr>
            <w:tcW w:w="0" w:type="auto"/>
            <w:hideMark/>
          </w:tcPr>
          <w:p w14:paraId="119697A9" w14:textId="77777777" w:rsidR="006017FF" w:rsidRPr="006017FF" w:rsidRDefault="006017FF">
            <w:pPr>
              <w:rPr>
                <w:sz w:val="24"/>
                <w:szCs w:val="24"/>
              </w:rPr>
            </w:pPr>
            <w:r w:rsidRPr="006017FF">
              <w:rPr>
                <w:sz w:val="24"/>
                <w:szCs w:val="24"/>
              </w:rPr>
              <w:t>157.4</w:t>
            </w:r>
          </w:p>
        </w:tc>
      </w:tr>
    </w:tbl>
    <w:p w14:paraId="4B7CD3E0" w14:textId="73DFC4F4" w:rsidR="006017FF" w:rsidRDefault="006017FF" w:rsidP="006017FF">
      <w:pPr>
        <w:rPr>
          <w:sz w:val="24"/>
          <w:szCs w:val="24"/>
        </w:rPr>
      </w:pPr>
      <w:r>
        <w:rPr>
          <w:noProof/>
        </w:rPr>
        <w:drawing>
          <wp:inline distT="0" distB="0" distL="0" distR="0" wp14:anchorId="6A93C66A" wp14:editId="7075C6E4">
            <wp:extent cx="6027420" cy="2880360"/>
            <wp:effectExtent l="0" t="0" r="11430" b="15240"/>
            <wp:docPr id="73932667" name="Chart 1">
              <a:extLst xmlns:a="http://schemas.openxmlformats.org/drawingml/2006/main">
                <a:ext uri="{FF2B5EF4-FFF2-40B4-BE49-F238E27FC236}">
                  <a16:creationId xmlns:a16="http://schemas.microsoft.com/office/drawing/2014/main" id="{ED7303FF-B523-7FCF-20A5-446FC1DF48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B72613E" w14:textId="65A37999" w:rsidR="006017FF" w:rsidRPr="006017FF" w:rsidRDefault="006017FF" w:rsidP="006017FF">
      <w:pPr>
        <w:rPr>
          <w:sz w:val="24"/>
          <w:szCs w:val="24"/>
        </w:rPr>
      </w:pPr>
      <w:r w:rsidRPr="006017FF">
        <w:rPr>
          <w:sz w:val="24"/>
          <w:szCs w:val="24"/>
        </w:rPr>
        <w:t xml:space="preserve">The table shows the annual revenue generated by investment banks from corporate, institutional, and government clients from 2019 to 2022. In 2019, investment banks earned $80.0 billion from corporate clients, $45.0 billion from institutional clients, and $14.0 billion from government clients, </w:t>
      </w:r>
      <w:proofErr w:type="spellStart"/>
      <w:r w:rsidRPr="006017FF">
        <w:rPr>
          <w:sz w:val="24"/>
          <w:szCs w:val="24"/>
        </w:rPr>
        <w:t>totaling</w:t>
      </w:r>
      <w:proofErr w:type="spellEnd"/>
      <w:r w:rsidRPr="006017FF">
        <w:rPr>
          <w:sz w:val="24"/>
          <w:szCs w:val="24"/>
        </w:rPr>
        <w:t xml:space="preserve"> $139.0 billion. In 2020, revenue increased to $90.0 billion from corporate clients, $48.0 billion from institutional clients, and $8.3 billion from government clients, </w:t>
      </w:r>
      <w:proofErr w:type="spellStart"/>
      <w:r w:rsidRPr="006017FF">
        <w:rPr>
          <w:sz w:val="24"/>
          <w:szCs w:val="24"/>
        </w:rPr>
        <w:t>totaling</w:t>
      </w:r>
      <w:proofErr w:type="spellEnd"/>
      <w:r w:rsidRPr="006017FF">
        <w:rPr>
          <w:sz w:val="24"/>
          <w:szCs w:val="24"/>
        </w:rPr>
        <w:t xml:space="preserve"> $146.3 billion. In 2021, revenue peaked with $110.0 billion from corporate clients, $55.0 billion from institutional clients, and $13.7 billion from government clients, </w:t>
      </w:r>
      <w:proofErr w:type="spellStart"/>
      <w:r w:rsidRPr="006017FF">
        <w:rPr>
          <w:sz w:val="24"/>
          <w:szCs w:val="24"/>
        </w:rPr>
        <w:t>totaling</w:t>
      </w:r>
      <w:proofErr w:type="spellEnd"/>
      <w:r w:rsidRPr="006017FF">
        <w:rPr>
          <w:sz w:val="24"/>
          <w:szCs w:val="24"/>
        </w:rPr>
        <w:t xml:space="preserve"> $178.7 billion. In 2022, revenue declined to $100.0 billion from corporate clients, $47.0 billion from institutional clients, and $10.4 billion from government clients, </w:t>
      </w:r>
      <w:proofErr w:type="spellStart"/>
      <w:r w:rsidRPr="006017FF">
        <w:rPr>
          <w:sz w:val="24"/>
          <w:szCs w:val="24"/>
        </w:rPr>
        <w:t>totaling</w:t>
      </w:r>
      <w:proofErr w:type="spellEnd"/>
      <w:r w:rsidRPr="006017FF">
        <w:rPr>
          <w:sz w:val="24"/>
          <w:szCs w:val="24"/>
        </w:rPr>
        <w:t xml:space="preserve"> $157.4 billion. This data highlights the significant contribution of corporate and institutional clients to investment banking revenue and the fluctuation in government client revenue over the four years.</w:t>
      </w:r>
    </w:p>
    <w:p w14:paraId="0CAFE13A" w14:textId="6473D9AB" w:rsidR="006017FF" w:rsidRDefault="006017FF" w:rsidP="006017FF">
      <w:pPr>
        <w:pStyle w:val="Heading3"/>
      </w:pPr>
      <w:r>
        <w:lastRenderedPageBreak/>
        <w:t>Trading Revenue by Product (in $ billions)</w:t>
      </w:r>
    </w:p>
    <w:tbl>
      <w:tblPr>
        <w:tblStyle w:val="TableGrid"/>
        <w:tblW w:w="0" w:type="auto"/>
        <w:tblLook w:val="04A0" w:firstRow="1" w:lastRow="0" w:firstColumn="1" w:lastColumn="0" w:noHBand="0" w:noVBand="1"/>
      </w:tblPr>
      <w:tblGrid>
        <w:gridCol w:w="729"/>
        <w:gridCol w:w="1105"/>
        <w:gridCol w:w="1612"/>
        <w:gridCol w:w="1699"/>
        <w:gridCol w:w="1425"/>
        <w:gridCol w:w="2446"/>
      </w:tblGrid>
      <w:tr w:rsidR="006017FF" w:rsidRPr="006017FF" w14:paraId="01120154" w14:textId="77777777" w:rsidTr="006017FF">
        <w:tc>
          <w:tcPr>
            <w:tcW w:w="0" w:type="auto"/>
            <w:hideMark/>
          </w:tcPr>
          <w:p w14:paraId="52601AF4" w14:textId="77777777" w:rsidR="006017FF" w:rsidRPr="006017FF" w:rsidRDefault="006017FF">
            <w:pPr>
              <w:jc w:val="center"/>
              <w:rPr>
                <w:b/>
                <w:bCs/>
                <w:sz w:val="24"/>
                <w:szCs w:val="24"/>
              </w:rPr>
            </w:pPr>
            <w:r w:rsidRPr="006017FF">
              <w:rPr>
                <w:b/>
                <w:bCs/>
                <w:sz w:val="24"/>
                <w:szCs w:val="24"/>
              </w:rPr>
              <w:t>Year</w:t>
            </w:r>
          </w:p>
        </w:tc>
        <w:tc>
          <w:tcPr>
            <w:tcW w:w="0" w:type="auto"/>
            <w:hideMark/>
          </w:tcPr>
          <w:p w14:paraId="4BF6D4E9" w14:textId="77777777" w:rsidR="006017FF" w:rsidRPr="006017FF" w:rsidRDefault="006017FF">
            <w:pPr>
              <w:jc w:val="center"/>
              <w:rPr>
                <w:b/>
                <w:bCs/>
                <w:sz w:val="24"/>
                <w:szCs w:val="24"/>
              </w:rPr>
            </w:pPr>
            <w:r w:rsidRPr="006017FF">
              <w:rPr>
                <w:b/>
                <w:bCs/>
                <w:sz w:val="24"/>
                <w:szCs w:val="24"/>
              </w:rPr>
              <w:t>Equities</w:t>
            </w:r>
          </w:p>
        </w:tc>
        <w:tc>
          <w:tcPr>
            <w:tcW w:w="0" w:type="auto"/>
            <w:hideMark/>
          </w:tcPr>
          <w:p w14:paraId="5752D96B" w14:textId="77777777" w:rsidR="006017FF" w:rsidRPr="006017FF" w:rsidRDefault="006017FF">
            <w:pPr>
              <w:jc w:val="center"/>
              <w:rPr>
                <w:b/>
                <w:bCs/>
                <w:sz w:val="24"/>
                <w:szCs w:val="24"/>
              </w:rPr>
            </w:pPr>
            <w:r w:rsidRPr="006017FF">
              <w:rPr>
                <w:b/>
                <w:bCs/>
                <w:sz w:val="24"/>
                <w:szCs w:val="24"/>
              </w:rPr>
              <w:t>Fixed Income</w:t>
            </w:r>
          </w:p>
        </w:tc>
        <w:tc>
          <w:tcPr>
            <w:tcW w:w="0" w:type="auto"/>
            <w:hideMark/>
          </w:tcPr>
          <w:p w14:paraId="206BB17E" w14:textId="77777777" w:rsidR="006017FF" w:rsidRPr="006017FF" w:rsidRDefault="006017FF">
            <w:pPr>
              <w:jc w:val="center"/>
              <w:rPr>
                <w:b/>
                <w:bCs/>
                <w:sz w:val="24"/>
                <w:szCs w:val="24"/>
              </w:rPr>
            </w:pPr>
            <w:r w:rsidRPr="006017FF">
              <w:rPr>
                <w:b/>
                <w:bCs/>
                <w:sz w:val="24"/>
                <w:szCs w:val="24"/>
              </w:rPr>
              <w:t>Commodities</w:t>
            </w:r>
          </w:p>
        </w:tc>
        <w:tc>
          <w:tcPr>
            <w:tcW w:w="0" w:type="auto"/>
            <w:hideMark/>
          </w:tcPr>
          <w:p w14:paraId="5E84FD86" w14:textId="77777777" w:rsidR="006017FF" w:rsidRPr="006017FF" w:rsidRDefault="006017FF">
            <w:pPr>
              <w:jc w:val="center"/>
              <w:rPr>
                <w:b/>
                <w:bCs/>
                <w:sz w:val="24"/>
                <w:szCs w:val="24"/>
              </w:rPr>
            </w:pPr>
            <w:r w:rsidRPr="006017FF">
              <w:rPr>
                <w:b/>
                <w:bCs/>
                <w:sz w:val="24"/>
                <w:szCs w:val="24"/>
              </w:rPr>
              <w:t>Currencies</w:t>
            </w:r>
          </w:p>
        </w:tc>
        <w:tc>
          <w:tcPr>
            <w:tcW w:w="0" w:type="auto"/>
            <w:hideMark/>
          </w:tcPr>
          <w:p w14:paraId="2EFED3D9" w14:textId="77777777" w:rsidR="006017FF" w:rsidRPr="006017FF" w:rsidRDefault="006017FF">
            <w:pPr>
              <w:jc w:val="center"/>
              <w:rPr>
                <w:b/>
                <w:bCs/>
                <w:sz w:val="24"/>
                <w:szCs w:val="24"/>
              </w:rPr>
            </w:pPr>
            <w:r w:rsidRPr="006017FF">
              <w:rPr>
                <w:b/>
                <w:bCs/>
                <w:sz w:val="24"/>
                <w:szCs w:val="24"/>
              </w:rPr>
              <w:t>Total Trading Revenue</w:t>
            </w:r>
          </w:p>
        </w:tc>
      </w:tr>
      <w:tr w:rsidR="006017FF" w:rsidRPr="006017FF" w14:paraId="7F7B2CD2" w14:textId="77777777" w:rsidTr="006017FF">
        <w:tc>
          <w:tcPr>
            <w:tcW w:w="0" w:type="auto"/>
            <w:hideMark/>
          </w:tcPr>
          <w:p w14:paraId="2AC9B0A9" w14:textId="77777777" w:rsidR="006017FF" w:rsidRPr="006017FF" w:rsidRDefault="006017FF">
            <w:pPr>
              <w:rPr>
                <w:sz w:val="24"/>
                <w:szCs w:val="24"/>
              </w:rPr>
            </w:pPr>
            <w:r w:rsidRPr="006017FF">
              <w:rPr>
                <w:sz w:val="24"/>
                <w:szCs w:val="24"/>
              </w:rPr>
              <w:t>2019</w:t>
            </w:r>
          </w:p>
        </w:tc>
        <w:tc>
          <w:tcPr>
            <w:tcW w:w="0" w:type="auto"/>
            <w:hideMark/>
          </w:tcPr>
          <w:p w14:paraId="168AFF44" w14:textId="77777777" w:rsidR="006017FF" w:rsidRPr="006017FF" w:rsidRDefault="006017FF">
            <w:pPr>
              <w:rPr>
                <w:sz w:val="24"/>
                <w:szCs w:val="24"/>
              </w:rPr>
            </w:pPr>
            <w:r w:rsidRPr="006017FF">
              <w:rPr>
                <w:sz w:val="24"/>
                <w:szCs w:val="24"/>
              </w:rPr>
              <w:t>25.3</w:t>
            </w:r>
          </w:p>
        </w:tc>
        <w:tc>
          <w:tcPr>
            <w:tcW w:w="0" w:type="auto"/>
            <w:hideMark/>
          </w:tcPr>
          <w:p w14:paraId="6D6F97B3" w14:textId="77777777" w:rsidR="006017FF" w:rsidRPr="006017FF" w:rsidRDefault="006017FF">
            <w:pPr>
              <w:rPr>
                <w:sz w:val="24"/>
                <w:szCs w:val="24"/>
              </w:rPr>
            </w:pPr>
            <w:r w:rsidRPr="006017FF">
              <w:rPr>
                <w:sz w:val="24"/>
                <w:szCs w:val="24"/>
              </w:rPr>
              <w:t>18.4</w:t>
            </w:r>
          </w:p>
        </w:tc>
        <w:tc>
          <w:tcPr>
            <w:tcW w:w="0" w:type="auto"/>
            <w:hideMark/>
          </w:tcPr>
          <w:p w14:paraId="6D1B94DD" w14:textId="77777777" w:rsidR="006017FF" w:rsidRPr="006017FF" w:rsidRDefault="006017FF">
            <w:pPr>
              <w:rPr>
                <w:sz w:val="24"/>
                <w:szCs w:val="24"/>
              </w:rPr>
            </w:pPr>
            <w:r w:rsidRPr="006017FF">
              <w:rPr>
                <w:sz w:val="24"/>
                <w:szCs w:val="24"/>
              </w:rPr>
              <w:t>3.6</w:t>
            </w:r>
          </w:p>
        </w:tc>
        <w:tc>
          <w:tcPr>
            <w:tcW w:w="0" w:type="auto"/>
            <w:hideMark/>
          </w:tcPr>
          <w:p w14:paraId="562ADAFE" w14:textId="77777777" w:rsidR="006017FF" w:rsidRPr="006017FF" w:rsidRDefault="006017FF">
            <w:pPr>
              <w:rPr>
                <w:sz w:val="24"/>
                <w:szCs w:val="24"/>
              </w:rPr>
            </w:pPr>
            <w:r w:rsidRPr="006017FF">
              <w:rPr>
                <w:sz w:val="24"/>
                <w:szCs w:val="24"/>
              </w:rPr>
              <w:t>2.8</w:t>
            </w:r>
          </w:p>
        </w:tc>
        <w:tc>
          <w:tcPr>
            <w:tcW w:w="0" w:type="auto"/>
            <w:hideMark/>
          </w:tcPr>
          <w:p w14:paraId="45203417" w14:textId="77777777" w:rsidR="006017FF" w:rsidRPr="006017FF" w:rsidRDefault="006017FF">
            <w:pPr>
              <w:rPr>
                <w:sz w:val="24"/>
                <w:szCs w:val="24"/>
              </w:rPr>
            </w:pPr>
            <w:r w:rsidRPr="006017FF">
              <w:rPr>
                <w:sz w:val="24"/>
                <w:szCs w:val="24"/>
              </w:rPr>
              <w:t>50.1</w:t>
            </w:r>
          </w:p>
        </w:tc>
      </w:tr>
      <w:tr w:rsidR="006017FF" w:rsidRPr="006017FF" w14:paraId="048F6CE1" w14:textId="77777777" w:rsidTr="006017FF">
        <w:tc>
          <w:tcPr>
            <w:tcW w:w="0" w:type="auto"/>
            <w:hideMark/>
          </w:tcPr>
          <w:p w14:paraId="337365A8" w14:textId="77777777" w:rsidR="006017FF" w:rsidRPr="006017FF" w:rsidRDefault="006017FF">
            <w:pPr>
              <w:rPr>
                <w:sz w:val="24"/>
                <w:szCs w:val="24"/>
              </w:rPr>
            </w:pPr>
            <w:r w:rsidRPr="006017FF">
              <w:rPr>
                <w:sz w:val="24"/>
                <w:szCs w:val="24"/>
              </w:rPr>
              <w:t>2020</w:t>
            </w:r>
          </w:p>
        </w:tc>
        <w:tc>
          <w:tcPr>
            <w:tcW w:w="0" w:type="auto"/>
            <w:hideMark/>
          </w:tcPr>
          <w:p w14:paraId="6D0FB120" w14:textId="77777777" w:rsidR="006017FF" w:rsidRPr="006017FF" w:rsidRDefault="006017FF">
            <w:pPr>
              <w:rPr>
                <w:sz w:val="24"/>
                <w:szCs w:val="24"/>
              </w:rPr>
            </w:pPr>
            <w:r w:rsidRPr="006017FF">
              <w:rPr>
                <w:sz w:val="24"/>
                <w:szCs w:val="24"/>
              </w:rPr>
              <w:t>22.1</w:t>
            </w:r>
          </w:p>
        </w:tc>
        <w:tc>
          <w:tcPr>
            <w:tcW w:w="0" w:type="auto"/>
            <w:hideMark/>
          </w:tcPr>
          <w:p w14:paraId="0E0B0354" w14:textId="77777777" w:rsidR="006017FF" w:rsidRPr="006017FF" w:rsidRDefault="006017FF">
            <w:pPr>
              <w:rPr>
                <w:sz w:val="24"/>
                <w:szCs w:val="24"/>
              </w:rPr>
            </w:pPr>
            <w:r w:rsidRPr="006017FF">
              <w:rPr>
                <w:sz w:val="24"/>
                <w:szCs w:val="24"/>
              </w:rPr>
              <w:t>15.7</w:t>
            </w:r>
          </w:p>
        </w:tc>
        <w:tc>
          <w:tcPr>
            <w:tcW w:w="0" w:type="auto"/>
            <w:hideMark/>
          </w:tcPr>
          <w:p w14:paraId="578B53CE" w14:textId="77777777" w:rsidR="006017FF" w:rsidRPr="006017FF" w:rsidRDefault="006017FF">
            <w:pPr>
              <w:rPr>
                <w:sz w:val="24"/>
                <w:szCs w:val="24"/>
              </w:rPr>
            </w:pPr>
            <w:r w:rsidRPr="006017FF">
              <w:rPr>
                <w:sz w:val="24"/>
                <w:szCs w:val="24"/>
              </w:rPr>
              <w:t>3.2</w:t>
            </w:r>
          </w:p>
        </w:tc>
        <w:tc>
          <w:tcPr>
            <w:tcW w:w="0" w:type="auto"/>
            <w:hideMark/>
          </w:tcPr>
          <w:p w14:paraId="171AD8B6" w14:textId="77777777" w:rsidR="006017FF" w:rsidRPr="006017FF" w:rsidRDefault="006017FF">
            <w:pPr>
              <w:rPr>
                <w:sz w:val="24"/>
                <w:szCs w:val="24"/>
              </w:rPr>
            </w:pPr>
            <w:r w:rsidRPr="006017FF">
              <w:rPr>
                <w:sz w:val="24"/>
                <w:szCs w:val="24"/>
              </w:rPr>
              <w:t>2.5</w:t>
            </w:r>
          </w:p>
        </w:tc>
        <w:tc>
          <w:tcPr>
            <w:tcW w:w="0" w:type="auto"/>
            <w:hideMark/>
          </w:tcPr>
          <w:p w14:paraId="7BF86D8B" w14:textId="77777777" w:rsidR="006017FF" w:rsidRPr="006017FF" w:rsidRDefault="006017FF">
            <w:pPr>
              <w:rPr>
                <w:sz w:val="24"/>
                <w:szCs w:val="24"/>
              </w:rPr>
            </w:pPr>
            <w:r w:rsidRPr="006017FF">
              <w:rPr>
                <w:sz w:val="24"/>
                <w:szCs w:val="24"/>
              </w:rPr>
              <w:t>43.5</w:t>
            </w:r>
          </w:p>
        </w:tc>
      </w:tr>
      <w:tr w:rsidR="006017FF" w:rsidRPr="006017FF" w14:paraId="4761FBEF" w14:textId="77777777" w:rsidTr="006017FF">
        <w:tc>
          <w:tcPr>
            <w:tcW w:w="0" w:type="auto"/>
            <w:hideMark/>
          </w:tcPr>
          <w:p w14:paraId="0D509F20" w14:textId="77777777" w:rsidR="006017FF" w:rsidRPr="006017FF" w:rsidRDefault="006017FF">
            <w:pPr>
              <w:rPr>
                <w:sz w:val="24"/>
                <w:szCs w:val="24"/>
              </w:rPr>
            </w:pPr>
            <w:r w:rsidRPr="006017FF">
              <w:rPr>
                <w:sz w:val="24"/>
                <w:szCs w:val="24"/>
              </w:rPr>
              <w:t>2021</w:t>
            </w:r>
          </w:p>
        </w:tc>
        <w:tc>
          <w:tcPr>
            <w:tcW w:w="0" w:type="auto"/>
            <w:hideMark/>
          </w:tcPr>
          <w:p w14:paraId="68F5489E" w14:textId="77777777" w:rsidR="006017FF" w:rsidRPr="006017FF" w:rsidRDefault="006017FF">
            <w:pPr>
              <w:rPr>
                <w:sz w:val="24"/>
                <w:szCs w:val="24"/>
              </w:rPr>
            </w:pPr>
            <w:r w:rsidRPr="006017FF">
              <w:rPr>
                <w:sz w:val="24"/>
                <w:szCs w:val="24"/>
              </w:rPr>
              <w:t>30.5</w:t>
            </w:r>
          </w:p>
        </w:tc>
        <w:tc>
          <w:tcPr>
            <w:tcW w:w="0" w:type="auto"/>
            <w:hideMark/>
          </w:tcPr>
          <w:p w14:paraId="24EFC5DE" w14:textId="77777777" w:rsidR="006017FF" w:rsidRPr="006017FF" w:rsidRDefault="006017FF">
            <w:pPr>
              <w:rPr>
                <w:sz w:val="24"/>
                <w:szCs w:val="24"/>
              </w:rPr>
            </w:pPr>
            <w:r w:rsidRPr="006017FF">
              <w:rPr>
                <w:sz w:val="24"/>
                <w:szCs w:val="24"/>
              </w:rPr>
              <w:t>21.8</w:t>
            </w:r>
          </w:p>
        </w:tc>
        <w:tc>
          <w:tcPr>
            <w:tcW w:w="0" w:type="auto"/>
            <w:hideMark/>
          </w:tcPr>
          <w:p w14:paraId="1D86A1C7" w14:textId="77777777" w:rsidR="006017FF" w:rsidRPr="006017FF" w:rsidRDefault="006017FF">
            <w:pPr>
              <w:rPr>
                <w:sz w:val="24"/>
                <w:szCs w:val="24"/>
              </w:rPr>
            </w:pPr>
            <w:r w:rsidRPr="006017FF">
              <w:rPr>
                <w:sz w:val="24"/>
                <w:szCs w:val="24"/>
              </w:rPr>
              <w:t>4.1</w:t>
            </w:r>
          </w:p>
        </w:tc>
        <w:tc>
          <w:tcPr>
            <w:tcW w:w="0" w:type="auto"/>
            <w:hideMark/>
          </w:tcPr>
          <w:p w14:paraId="50F917BF" w14:textId="77777777" w:rsidR="006017FF" w:rsidRPr="006017FF" w:rsidRDefault="006017FF">
            <w:pPr>
              <w:rPr>
                <w:sz w:val="24"/>
                <w:szCs w:val="24"/>
              </w:rPr>
            </w:pPr>
            <w:r w:rsidRPr="006017FF">
              <w:rPr>
                <w:sz w:val="24"/>
                <w:szCs w:val="24"/>
              </w:rPr>
              <w:t>3.9</w:t>
            </w:r>
          </w:p>
        </w:tc>
        <w:tc>
          <w:tcPr>
            <w:tcW w:w="0" w:type="auto"/>
            <w:hideMark/>
          </w:tcPr>
          <w:p w14:paraId="7F10ED06" w14:textId="77777777" w:rsidR="006017FF" w:rsidRPr="006017FF" w:rsidRDefault="006017FF">
            <w:pPr>
              <w:rPr>
                <w:sz w:val="24"/>
                <w:szCs w:val="24"/>
              </w:rPr>
            </w:pPr>
            <w:r w:rsidRPr="006017FF">
              <w:rPr>
                <w:sz w:val="24"/>
                <w:szCs w:val="24"/>
              </w:rPr>
              <w:t>60.3</w:t>
            </w:r>
          </w:p>
        </w:tc>
      </w:tr>
      <w:tr w:rsidR="006017FF" w:rsidRPr="006017FF" w14:paraId="540FEC02" w14:textId="77777777" w:rsidTr="006017FF">
        <w:tc>
          <w:tcPr>
            <w:tcW w:w="0" w:type="auto"/>
            <w:hideMark/>
          </w:tcPr>
          <w:p w14:paraId="150AEA4D" w14:textId="77777777" w:rsidR="006017FF" w:rsidRPr="006017FF" w:rsidRDefault="006017FF">
            <w:pPr>
              <w:rPr>
                <w:sz w:val="24"/>
                <w:szCs w:val="24"/>
              </w:rPr>
            </w:pPr>
            <w:r w:rsidRPr="006017FF">
              <w:rPr>
                <w:sz w:val="24"/>
                <w:szCs w:val="24"/>
              </w:rPr>
              <w:t>2022</w:t>
            </w:r>
          </w:p>
        </w:tc>
        <w:tc>
          <w:tcPr>
            <w:tcW w:w="0" w:type="auto"/>
            <w:hideMark/>
          </w:tcPr>
          <w:p w14:paraId="5ECB43B8" w14:textId="77777777" w:rsidR="006017FF" w:rsidRPr="006017FF" w:rsidRDefault="006017FF">
            <w:pPr>
              <w:rPr>
                <w:sz w:val="24"/>
                <w:szCs w:val="24"/>
              </w:rPr>
            </w:pPr>
            <w:r w:rsidRPr="006017FF">
              <w:rPr>
                <w:sz w:val="24"/>
                <w:szCs w:val="24"/>
              </w:rPr>
              <w:t>27.2</w:t>
            </w:r>
          </w:p>
        </w:tc>
        <w:tc>
          <w:tcPr>
            <w:tcW w:w="0" w:type="auto"/>
            <w:hideMark/>
          </w:tcPr>
          <w:p w14:paraId="36F1C914" w14:textId="77777777" w:rsidR="006017FF" w:rsidRPr="006017FF" w:rsidRDefault="006017FF">
            <w:pPr>
              <w:rPr>
                <w:sz w:val="24"/>
                <w:szCs w:val="24"/>
              </w:rPr>
            </w:pPr>
            <w:r w:rsidRPr="006017FF">
              <w:rPr>
                <w:sz w:val="24"/>
                <w:szCs w:val="24"/>
              </w:rPr>
              <w:t>19.4</w:t>
            </w:r>
          </w:p>
        </w:tc>
        <w:tc>
          <w:tcPr>
            <w:tcW w:w="0" w:type="auto"/>
            <w:hideMark/>
          </w:tcPr>
          <w:p w14:paraId="74BBD8EF" w14:textId="77777777" w:rsidR="006017FF" w:rsidRPr="006017FF" w:rsidRDefault="006017FF">
            <w:pPr>
              <w:rPr>
                <w:sz w:val="24"/>
                <w:szCs w:val="24"/>
              </w:rPr>
            </w:pPr>
            <w:r w:rsidRPr="006017FF">
              <w:rPr>
                <w:sz w:val="24"/>
                <w:szCs w:val="24"/>
              </w:rPr>
              <w:t>3.8</w:t>
            </w:r>
          </w:p>
        </w:tc>
        <w:tc>
          <w:tcPr>
            <w:tcW w:w="0" w:type="auto"/>
            <w:hideMark/>
          </w:tcPr>
          <w:p w14:paraId="657E2C67" w14:textId="77777777" w:rsidR="006017FF" w:rsidRPr="006017FF" w:rsidRDefault="006017FF">
            <w:pPr>
              <w:rPr>
                <w:sz w:val="24"/>
                <w:szCs w:val="24"/>
              </w:rPr>
            </w:pPr>
            <w:r w:rsidRPr="006017FF">
              <w:rPr>
                <w:sz w:val="24"/>
                <w:szCs w:val="24"/>
              </w:rPr>
              <w:t>3.3</w:t>
            </w:r>
          </w:p>
        </w:tc>
        <w:tc>
          <w:tcPr>
            <w:tcW w:w="0" w:type="auto"/>
            <w:hideMark/>
          </w:tcPr>
          <w:p w14:paraId="347A54B1" w14:textId="77777777" w:rsidR="006017FF" w:rsidRPr="006017FF" w:rsidRDefault="006017FF">
            <w:pPr>
              <w:rPr>
                <w:sz w:val="24"/>
                <w:szCs w:val="24"/>
              </w:rPr>
            </w:pPr>
            <w:r w:rsidRPr="006017FF">
              <w:rPr>
                <w:sz w:val="24"/>
                <w:szCs w:val="24"/>
              </w:rPr>
              <w:t>53.7</w:t>
            </w:r>
          </w:p>
        </w:tc>
      </w:tr>
    </w:tbl>
    <w:p w14:paraId="109E015E" w14:textId="36B144D8" w:rsidR="005B72AE" w:rsidRDefault="005B72AE" w:rsidP="006017FF">
      <w:pPr>
        <w:rPr>
          <w:sz w:val="24"/>
          <w:szCs w:val="24"/>
          <w:lang w:eastAsia="en-IN"/>
        </w:rPr>
      </w:pPr>
      <w:r>
        <w:rPr>
          <w:noProof/>
        </w:rPr>
        <w:drawing>
          <wp:inline distT="0" distB="0" distL="0" distR="0" wp14:anchorId="49AAD2D5" wp14:editId="72D1A054">
            <wp:extent cx="5760720" cy="3390900"/>
            <wp:effectExtent l="0" t="0" r="11430" b="0"/>
            <wp:docPr id="1011075854" name="Chart 1">
              <a:extLst xmlns:a="http://schemas.openxmlformats.org/drawingml/2006/main">
                <a:ext uri="{FF2B5EF4-FFF2-40B4-BE49-F238E27FC236}">
                  <a16:creationId xmlns:a16="http://schemas.microsoft.com/office/drawing/2014/main" id="{5B11A8E2-C545-41AC-5A7D-9657778EDC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2796636" w14:textId="370D3459" w:rsidR="006017FF" w:rsidRPr="006017FF" w:rsidRDefault="006017FF" w:rsidP="006017FF">
      <w:pPr>
        <w:rPr>
          <w:sz w:val="24"/>
          <w:szCs w:val="24"/>
          <w:lang w:eastAsia="en-IN"/>
        </w:rPr>
      </w:pPr>
      <w:r w:rsidRPr="006017FF">
        <w:rPr>
          <w:sz w:val="24"/>
          <w:szCs w:val="24"/>
          <w:lang w:eastAsia="en-IN"/>
        </w:rPr>
        <w:t>The table outlines the trading revenue generated by investment banks from different financial products—equities, fixed income, commodities, and currencies—over four years (2019-2022). Here's an interpretation in paragraph form:</w:t>
      </w:r>
    </w:p>
    <w:p w14:paraId="3CDA2195" w14:textId="1652FA37" w:rsidR="006017FF" w:rsidRPr="006017FF" w:rsidRDefault="006017FF" w:rsidP="006017FF">
      <w:pPr>
        <w:rPr>
          <w:sz w:val="24"/>
          <w:szCs w:val="24"/>
          <w:lang w:eastAsia="en-IN"/>
        </w:rPr>
      </w:pPr>
      <w:r w:rsidRPr="006017FF">
        <w:rPr>
          <w:sz w:val="24"/>
          <w:szCs w:val="24"/>
          <w:lang w:eastAsia="en-IN"/>
        </w:rPr>
        <w:t xml:space="preserve">From 2019 to 2022, investment banks' trading revenue fluctuated across various financial products. In 2019, equities trading led with $25.3 billion, followed by fixed income at $18.4 billion, commodities at $3.6 billion, and currencies at $2.8 billion, </w:t>
      </w:r>
      <w:proofErr w:type="spellStart"/>
      <w:r w:rsidRPr="006017FF">
        <w:rPr>
          <w:sz w:val="24"/>
          <w:szCs w:val="24"/>
          <w:lang w:eastAsia="en-IN"/>
        </w:rPr>
        <w:t>totaling</w:t>
      </w:r>
      <w:proofErr w:type="spellEnd"/>
      <w:r w:rsidRPr="006017FF">
        <w:rPr>
          <w:sz w:val="24"/>
          <w:szCs w:val="24"/>
          <w:lang w:eastAsia="en-IN"/>
        </w:rPr>
        <w:t xml:space="preserve"> $50.1 billion. In 2020, trading revenue declined across all products, with equities at $22.1 billion, fixed income at $15.7 billion, commodities at $3.2 billion, and currencies at $2.5 billion, summing up to $43.5 billion. The year 2021 saw a significant increase, especially in equities, which generated $30.5 billion, with fixed income at $21.8 billion, commodities at $4.1 billion, and currencies at $3.9 billion, </w:t>
      </w:r>
      <w:proofErr w:type="spellStart"/>
      <w:r w:rsidRPr="006017FF">
        <w:rPr>
          <w:sz w:val="24"/>
          <w:szCs w:val="24"/>
          <w:lang w:eastAsia="en-IN"/>
        </w:rPr>
        <w:t>totaling</w:t>
      </w:r>
      <w:proofErr w:type="spellEnd"/>
      <w:r w:rsidRPr="006017FF">
        <w:rPr>
          <w:sz w:val="24"/>
          <w:szCs w:val="24"/>
          <w:lang w:eastAsia="en-IN"/>
        </w:rPr>
        <w:t xml:space="preserve"> $60.3 billion. In 2022, trading revenue decreased slightly, with equities at $27.2 billion, fixed income at $19.4 billion, commodities at $3.8 billion, and currencies at $3.3 billion, culminating in a total trading revenue of $53.7 billion. This data highlights the volatility and varying contributions of different financial products to overall trading revenue.</w:t>
      </w:r>
    </w:p>
    <w:p w14:paraId="32B25BDC" w14:textId="29E6C75C" w:rsidR="00964F90" w:rsidRPr="00964F90" w:rsidRDefault="00964F90" w:rsidP="00964F90">
      <w:pPr>
        <w:pStyle w:val="Heading1"/>
        <w:rPr>
          <w:rFonts w:eastAsia="Times New Roman"/>
          <w:lang w:eastAsia="en-IN"/>
        </w:rPr>
      </w:pPr>
      <w:r w:rsidRPr="00964F90">
        <w:rPr>
          <w:rFonts w:eastAsia="Times New Roman"/>
          <w:lang w:eastAsia="en-IN"/>
        </w:rPr>
        <w:lastRenderedPageBreak/>
        <w:t>Conclusion</w:t>
      </w:r>
    </w:p>
    <w:p w14:paraId="7F7AE840" w14:textId="77777777" w:rsidR="00964F90" w:rsidRPr="00964F90" w:rsidRDefault="00964F90" w:rsidP="00964F90">
      <w:p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kern w:val="0"/>
          <w:sz w:val="24"/>
          <w:szCs w:val="24"/>
          <w:lang w:eastAsia="en-IN"/>
          <w14:ligatures w14:val="none"/>
        </w:rPr>
        <w:t>Investment banking plays a crucial role in the financial markets by facilitating capital raising, providing advisory services, and enhancing market liquidity. The industry continues to evolve with innovations in AI, blockchain, and data analytics, making investment banks more efficient and better equipped to manage risks and serve their clients. As investment banking adapts to new technologies and changing market conditions, its importance in the global economy remains significant.</w:t>
      </w:r>
    </w:p>
    <w:p w14:paraId="3537230B" w14:textId="0992B085" w:rsidR="00964F90" w:rsidRPr="00964F90" w:rsidRDefault="00964F90">
      <w:pPr>
        <w:rPr>
          <w:sz w:val="24"/>
          <w:szCs w:val="24"/>
        </w:rPr>
      </w:pPr>
    </w:p>
    <w:p w14:paraId="5B8A98FC" w14:textId="77777777" w:rsidR="00964F90" w:rsidRPr="00964F90" w:rsidRDefault="00964F90">
      <w:pPr>
        <w:rPr>
          <w:sz w:val="24"/>
          <w:szCs w:val="24"/>
        </w:rPr>
      </w:pPr>
      <w:r w:rsidRPr="00964F90">
        <w:rPr>
          <w:sz w:val="24"/>
          <w:szCs w:val="24"/>
        </w:rPr>
        <w:br w:type="page"/>
      </w:r>
    </w:p>
    <w:p w14:paraId="55A88D2C" w14:textId="78AEC8C9" w:rsidR="00964F90" w:rsidRPr="00964F90" w:rsidRDefault="00964F90" w:rsidP="00964F90">
      <w:pPr>
        <w:pStyle w:val="Heading1"/>
        <w:jc w:val="center"/>
        <w:rPr>
          <w:rFonts w:eastAsia="Times New Roman"/>
          <w:lang w:eastAsia="en-IN"/>
        </w:rPr>
      </w:pPr>
      <w:r w:rsidRPr="00964F90">
        <w:rPr>
          <w:rFonts w:eastAsia="Times New Roman"/>
          <w:lang w:eastAsia="en-IN"/>
        </w:rPr>
        <w:lastRenderedPageBreak/>
        <w:t>Mergers and Acquisitions</w:t>
      </w:r>
      <w:r>
        <w:rPr>
          <w:rFonts w:eastAsia="Times New Roman"/>
          <w:lang w:eastAsia="en-IN"/>
        </w:rPr>
        <w:t xml:space="preserve"> (M&amp;A)</w:t>
      </w:r>
    </w:p>
    <w:p w14:paraId="3E3CA26F" w14:textId="77777777" w:rsidR="00964F90" w:rsidRPr="00964F90" w:rsidRDefault="00964F90" w:rsidP="00964F90">
      <w:pPr>
        <w:pStyle w:val="Heading1"/>
        <w:rPr>
          <w:rFonts w:eastAsia="Times New Roman"/>
          <w:lang w:eastAsia="en-IN"/>
        </w:rPr>
      </w:pPr>
      <w:r w:rsidRPr="00964F90">
        <w:rPr>
          <w:rFonts w:eastAsia="Times New Roman"/>
          <w:lang w:eastAsia="en-IN"/>
        </w:rPr>
        <w:t>Introduction</w:t>
      </w:r>
    </w:p>
    <w:p w14:paraId="373040CF" w14:textId="5CD1EF64" w:rsidR="00964F90" w:rsidRPr="00964F90" w:rsidRDefault="00964F90" w:rsidP="00964F90">
      <w:p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kern w:val="0"/>
          <w:sz w:val="24"/>
          <w:szCs w:val="24"/>
          <w:lang w:eastAsia="en-IN"/>
          <w14:ligatures w14:val="none"/>
        </w:rPr>
        <w:t>Mergers and acquisitions (M&amp;A) refer to the consolidation of companies or assets through various types of financial transactions. These activities are a fundamental aspect of corporate strategy, allowing companies to grow, diversify, and gain competitive advantages. M&amp;A transactions can reshape industries, create synergies, and provide new opportunities for businesses.</w:t>
      </w:r>
      <w:r w:rsidR="005853DE">
        <w:rPr>
          <w:rFonts w:eastAsia="Times New Roman" w:cs="Times New Roman"/>
          <w:kern w:val="0"/>
          <w:sz w:val="24"/>
          <w:szCs w:val="24"/>
          <w:lang w:eastAsia="en-IN"/>
          <w14:ligatures w14:val="none"/>
        </w:rPr>
        <w:br/>
      </w:r>
      <w:r w:rsidR="005853DE" w:rsidRPr="005853DE">
        <w:rPr>
          <w:rFonts w:eastAsia="Times New Roman" w:cs="Times New Roman"/>
          <w:kern w:val="0"/>
          <w:sz w:val="24"/>
          <w:szCs w:val="24"/>
          <w:lang w:eastAsia="en-IN"/>
          <w14:ligatures w14:val="none"/>
        </w:rPr>
        <w:t xml:space="preserve">Mergers and acquisitions expedite a bank's expansion and can be an alternative to establishing new branches. As banks become larger, there is more pressure for smaller banks to improve economies and efficiencies </w:t>
      </w:r>
      <w:proofErr w:type="gramStart"/>
      <w:r w:rsidR="005853DE" w:rsidRPr="005853DE">
        <w:rPr>
          <w:rFonts w:eastAsia="Times New Roman" w:cs="Times New Roman"/>
          <w:kern w:val="0"/>
          <w:sz w:val="24"/>
          <w:szCs w:val="24"/>
          <w:lang w:eastAsia="en-IN"/>
          <w14:ligatures w14:val="none"/>
        </w:rPr>
        <w:t>in order to</w:t>
      </w:r>
      <w:proofErr w:type="gramEnd"/>
      <w:r w:rsidR="005853DE" w:rsidRPr="005853DE">
        <w:rPr>
          <w:rFonts w:eastAsia="Times New Roman" w:cs="Times New Roman"/>
          <w:kern w:val="0"/>
          <w:sz w:val="24"/>
          <w:szCs w:val="24"/>
          <w:lang w:eastAsia="en-IN"/>
          <w14:ligatures w14:val="none"/>
        </w:rPr>
        <w:t xml:space="preserve"> compete with the larger banks.</w:t>
      </w:r>
    </w:p>
    <w:p w14:paraId="51331FC9" w14:textId="77777777" w:rsidR="00964F90" w:rsidRPr="00964F90" w:rsidRDefault="00964F90" w:rsidP="00964F90">
      <w:pPr>
        <w:pStyle w:val="Heading2"/>
        <w:rPr>
          <w:rFonts w:eastAsia="Times New Roman"/>
          <w:lang w:eastAsia="en-IN"/>
        </w:rPr>
      </w:pPr>
      <w:r w:rsidRPr="00964F90">
        <w:rPr>
          <w:rFonts w:eastAsia="Times New Roman"/>
          <w:lang w:eastAsia="en-IN"/>
        </w:rPr>
        <w:t>What Are Mergers and Acquisitions, and How Do They Differ?</w:t>
      </w:r>
    </w:p>
    <w:p w14:paraId="31575303" w14:textId="77777777" w:rsidR="00964F90" w:rsidRPr="00964F90" w:rsidRDefault="00964F90" w:rsidP="00964F90">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Mergers</w:t>
      </w:r>
      <w:r w:rsidRPr="00964F90">
        <w:rPr>
          <w:rFonts w:eastAsia="Times New Roman" w:cs="Times New Roman"/>
          <w:kern w:val="0"/>
          <w:sz w:val="24"/>
          <w:szCs w:val="24"/>
          <w:lang w:eastAsia="en-IN"/>
          <w14:ligatures w14:val="none"/>
        </w:rPr>
        <w:t>: A merger occurs when two companies combine to form a single entity. In a merger, both companies' stocks are surrendered, and new company stock is issued. Mergers are typically seen as a mutual decision between both companies, and they are often executed to strengthen market position, reduce competition, or achieve operational efficiencies.</w:t>
      </w:r>
    </w:p>
    <w:p w14:paraId="7E1870A1" w14:textId="77777777" w:rsidR="00964F90" w:rsidRPr="00964F90" w:rsidRDefault="00964F90" w:rsidP="00964F90">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Acquisitions</w:t>
      </w:r>
      <w:r w:rsidRPr="00964F90">
        <w:rPr>
          <w:rFonts w:eastAsia="Times New Roman" w:cs="Times New Roman"/>
          <w:kern w:val="0"/>
          <w:sz w:val="24"/>
          <w:szCs w:val="24"/>
          <w:lang w:eastAsia="en-IN"/>
          <w14:ligatures w14:val="none"/>
        </w:rPr>
        <w:t>: An acquisition happens when one company takes over another company and establishes itself as the new owner. In an acquisition, the acquiring company usually buys the majority stake in the target company. Acquisitions can be friendly or hostile, depending on whether the target company’s management agrees to the acquisition.</w:t>
      </w:r>
    </w:p>
    <w:p w14:paraId="0AA5C8D4" w14:textId="77777777" w:rsidR="00964F90" w:rsidRPr="00964F90" w:rsidRDefault="00964F90" w:rsidP="006017FF">
      <w:pPr>
        <w:pStyle w:val="Heading2"/>
        <w:rPr>
          <w:rFonts w:eastAsia="Times New Roman"/>
          <w:lang w:eastAsia="en-IN"/>
        </w:rPr>
      </w:pPr>
      <w:r w:rsidRPr="00964F90">
        <w:rPr>
          <w:rFonts w:eastAsia="Times New Roman"/>
          <w:lang w:eastAsia="en-IN"/>
        </w:rPr>
        <w:t>Why Do Companies Pursue M&amp;A Activities?</w:t>
      </w:r>
    </w:p>
    <w:p w14:paraId="151615B4" w14:textId="77777777" w:rsidR="00964F90" w:rsidRPr="00964F90" w:rsidRDefault="00964F90" w:rsidP="00964F90">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Growth and Expansion</w:t>
      </w:r>
      <w:r w:rsidRPr="00964F90">
        <w:rPr>
          <w:rFonts w:eastAsia="Times New Roman" w:cs="Times New Roman"/>
          <w:kern w:val="0"/>
          <w:sz w:val="24"/>
          <w:szCs w:val="24"/>
          <w:lang w:eastAsia="en-IN"/>
          <w14:ligatures w14:val="none"/>
        </w:rPr>
        <w:t>: Companies pursue M&amp;A to enter new markets, increase market share, and expand their geographic reach.</w:t>
      </w:r>
    </w:p>
    <w:p w14:paraId="0B4B6612" w14:textId="77777777" w:rsidR="00964F90" w:rsidRPr="00964F90" w:rsidRDefault="00964F90" w:rsidP="00964F90">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Synergies</w:t>
      </w:r>
      <w:r w:rsidRPr="00964F90">
        <w:rPr>
          <w:rFonts w:eastAsia="Times New Roman" w:cs="Times New Roman"/>
          <w:kern w:val="0"/>
          <w:sz w:val="24"/>
          <w:szCs w:val="24"/>
          <w:lang w:eastAsia="en-IN"/>
          <w14:ligatures w14:val="none"/>
        </w:rPr>
        <w:t>: M&amp;A can create synergies by combining resources, technologies, and capabilities, leading to cost savings and increased efficiencies.</w:t>
      </w:r>
    </w:p>
    <w:p w14:paraId="6697858C" w14:textId="77777777" w:rsidR="00964F90" w:rsidRPr="00964F90" w:rsidRDefault="00964F90" w:rsidP="00964F90">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Diversification</w:t>
      </w:r>
      <w:r w:rsidRPr="00964F90">
        <w:rPr>
          <w:rFonts w:eastAsia="Times New Roman" w:cs="Times New Roman"/>
          <w:kern w:val="0"/>
          <w:sz w:val="24"/>
          <w:szCs w:val="24"/>
          <w:lang w:eastAsia="en-IN"/>
          <w14:ligatures w14:val="none"/>
        </w:rPr>
        <w:t>: M&amp;A activities allow companies to diversify their product lines, services, and revenue streams, reducing dependence on a single market.</w:t>
      </w:r>
    </w:p>
    <w:p w14:paraId="5DEB30DC" w14:textId="77777777" w:rsidR="00964F90" w:rsidRPr="00964F90" w:rsidRDefault="00964F90" w:rsidP="00964F90">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Competitive Advantage</w:t>
      </w:r>
      <w:r w:rsidRPr="00964F90">
        <w:rPr>
          <w:rFonts w:eastAsia="Times New Roman" w:cs="Times New Roman"/>
          <w:kern w:val="0"/>
          <w:sz w:val="24"/>
          <w:szCs w:val="24"/>
          <w:lang w:eastAsia="en-IN"/>
          <w14:ligatures w14:val="none"/>
        </w:rPr>
        <w:t>: By acquiring competitors or companies with complementary strengths, businesses can enhance their competitive position.</w:t>
      </w:r>
    </w:p>
    <w:p w14:paraId="22BE626F" w14:textId="77777777" w:rsidR="00964F90" w:rsidRPr="00964F90" w:rsidRDefault="00964F90" w:rsidP="00964F90">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Innovation and R&amp;D</w:t>
      </w:r>
      <w:r w:rsidRPr="00964F90">
        <w:rPr>
          <w:rFonts w:eastAsia="Times New Roman" w:cs="Times New Roman"/>
          <w:kern w:val="0"/>
          <w:sz w:val="24"/>
          <w:szCs w:val="24"/>
          <w:lang w:eastAsia="en-IN"/>
          <w14:ligatures w14:val="none"/>
        </w:rPr>
        <w:t>: Acquiring companies with advanced technologies or strong research and development (R&amp;D) capabilities can accelerate innovation.</w:t>
      </w:r>
    </w:p>
    <w:p w14:paraId="7CD2EF1F" w14:textId="77777777" w:rsidR="00964F90" w:rsidRPr="00964F90" w:rsidRDefault="00964F90" w:rsidP="00964F90">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Tax Benefits</w:t>
      </w:r>
      <w:r w:rsidRPr="00964F90">
        <w:rPr>
          <w:rFonts w:eastAsia="Times New Roman" w:cs="Times New Roman"/>
          <w:kern w:val="0"/>
          <w:sz w:val="24"/>
          <w:szCs w:val="24"/>
          <w:lang w:eastAsia="en-IN"/>
          <w14:ligatures w14:val="none"/>
        </w:rPr>
        <w:t xml:space="preserve">: In some cases, M&amp;A transactions can provide tax benefits by utilizing loss </w:t>
      </w:r>
      <w:proofErr w:type="spellStart"/>
      <w:r w:rsidRPr="00964F90">
        <w:rPr>
          <w:rFonts w:eastAsia="Times New Roman" w:cs="Times New Roman"/>
          <w:kern w:val="0"/>
          <w:sz w:val="24"/>
          <w:szCs w:val="24"/>
          <w:lang w:eastAsia="en-IN"/>
          <w14:ligatures w14:val="none"/>
        </w:rPr>
        <w:t>carryforwards</w:t>
      </w:r>
      <w:proofErr w:type="spellEnd"/>
      <w:r w:rsidRPr="00964F90">
        <w:rPr>
          <w:rFonts w:eastAsia="Times New Roman" w:cs="Times New Roman"/>
          <w:kern w:val="0"/>
          <w:sz w:val="24"/>
          <w:szCs w:val="24"/>
          <w:lang w:eastAsia="en-IN"/>
          <w14:ligatures w14:val="none"/>
        </w:rPr>
        <w:t xml:space="preserve"> or other financial strategies.</w:t>
      </w:r>
    </w:p>
    <w:p w14:paraId="432C7E4F" w14:textId="77777777" w:rsidR="00964F90" w:rsidRPr="00964F90" w:rsidRDefault="00964F90" w:rsidP="006017FF">
      <w:pPr>
        <w:pStyle w:val="Heading2"/>
        <w:rPr>
          <w:rFonts w:eastAsia="Times New Roman"/>
          <w:lang w:eastAsia="en-IN"/>
        </w:rPr>
      </w:pPr>
      <w:r w:rsidRPr="00964F90">
        <w:rPr>
          <w:rFonts w:eastAsia="Times New Roman"/>
          <w:lang w:eastAsia="en-IN"/>
        </w:rPr>
        <w:lastRenderedPageBreak/>
        <w:t>What Are the Different Types of Mergers?</w:t>
      </w:r>
    </w:p>
    <w:p w14:paraId="1CF674E4" w14:textId="77777777" w:rsidR="00964F90" w:rsidRPr="00964F90" w:rsidRDefault="00964F90" w:rsidP="00964F90">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Horizontal Mergers</w:t>
      </w:r>
      <w:r w:rsidRPr="00964F90">
        <w:rPr>
          <w:rFonts w:eastAsia="Times New Roman" w:cs="Times New Roman"/>
          <w:kern w:val="0"/>
          <w:sz w:val="24"/>
          <w:szCs w:val="24"/>
          <w:lang w:eastAsia="en-IN"/>
          <w14:ligatures w14:val="none"/>
        </w:rPr>
        <w:t>: These occur between companies operating in the same industry and are typically competitors. The primary goal is to achieve economies of scale and increase market share. For example, the merger between two large telecom companies.</w:t>
      </w:r>
    </w:p>
    <w:p w14:paraId="35EF20A7" w14:textId="77777777" w:rsidR="00964F90" w:rsidRPr="00964F90" w:rsidRDefault="00964F90" w:rsidP="00964F90">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Vertical Mergers</w:t>
      </w:r>
      <w:r w:rsidRPr="00964F90">
        <w:rPr>
          <w:rFonts w:eastAsia="Times New Roman" w:cs="Times New Roman"/>
          <w:kern w:val="0"/>
          <w:sz w:val="24"/>
          <w:szCs w:val="24"/>
          <w:lang w:eastAsia="en-IN"/>
          <w14:ligatures w14:val="none"/>
        </w:rPr>
        <w:t>: These occur between companies operating at different stages of the production process within the same industry. For example, a car manufacturer merging with a tire company. Vertical mergers aim to improve supply chain efficiency and reduce costs.</w:t>
      </w:r>
    </w:p>
    <w:p w14:paraId="31C467A2" w14:textId="77777777" w:rsidR="00964F90" w:rsidRPr="00964F90" w:rsidRDefault="00964F90" w:rsidP="00964F90">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Conglomerate Mergers</w:t>
      </w:r>
      <w:r w:rsidRPr="00964F90">
        <w:rPr>
          <w:rFonts w:eastAsia="Times New Roman" w:cs="Times New Roman"/>
          <w:kern w:val="0"/>
          <w:sz w:val="24"/>
          <w:szCs w:val="24"/>
          <w:lang w:eastAsia="en-IN"/>
          <w14:ligatures w14:val="none"/>
        </w:rPr>
        <w:t>: These occur between companies in unrelated industries. The primary objective is diversification and risk reduction. For example, a food processing company merging with a media company.</w:t>
      </w:r>
    </w:p>
    <w:p w14:paraId="56C877D5" w14:textId="77777777" w:rsidR="00964F90" w:rsidRPr="00964F90" w:rsidRDefault="00964F90" w:rsidP="006017FF">
      <w:pPr>
        <w:pStyle w:val="Heading2"/>
        <w:rPr>
          <w:rFonts w:eastAsia="Times New Roman"/>
          <w:lang w:eastAsia="en-IN"/>
        </w:rPr>
      </w:pPr>
      <w:r w:rsidRPr="00964F90">
        <w:rPr>
          <w:rFonts w:eastAsia="Times New Roman"/>
          <w:lang w:eastAsia="en-IN"/>
        </w:rPr>
        <w:t>What Are the Different Types of Acquisitions?</w:t>
      </w:r>
    </w:p>
    <w:p w14:paraId="63AA193E" w14:textId="77777777" w:rsidR="00964F90" w:rsidRPr="00964F90" w:rsidRDefault="00964F90" w:rsidP="00964F90">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Friendly Acquisitions</w:t>
      </w:r>
      <w:r w:rsidRPr="00964F90">
        <w:rPr>
          <w:rFonts w:eastAsia="Times New Roman" w:cs="Times New Roman"/>
          <w:kern w:val="0"/>
          <w:sz w:val="24"/>
          <w:szCs w:val="24"/>
          <w:lang w:eastAsia="en-IN"/>
          <w14:ligatures w14:val="none"/>
        </w:rPr>
        <w:t>: These occur when the target company's management and board of directors agree to the acquisition. The process is cooperative, and both companies work together to ensure a smooth transition.</w:t>
      </w:r>
    </w:p>
    <w:p w14:paraId="0F974AD3" w14:textId="77777777" w:rsidR="00964F90" w:rsidRPr="00964F90" w:rsidRDefault="00964F90" w:rsidP="00964F90">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Hostile Acquisitions</w:t>
      </w:r>
      <w:r w:rsidRPr="00964F90">
        <w:rPr>
          <w:rFonts w:eastAsia="Times New Roman" w:cs="Times New Roman"/>
          <w:kern w:val="0"/>
          <w:sz w:val="24"/>
          <w:szCs w:val="24"/>
          <w:lang w:eastAsia="en-IN"/>
          <w14:ligatures w14:val="none"/>
        </w:rPr>
        <w:t>: These occur when the acquiring company pursues the acquisition despite opposition from the target company's management. Hostile acquisitions often involve tactics such as tender offers and proxy fights.</w:t>
      </w:r>
    </w:p>
    <w:p w14:paraId="3A1E3853" w14:textId="77777777" w:rsidR="00964F90" w:rsidRPr="00964F90" w:rsidRDefault="00964F90" w:rsidP="00964F90">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Leveraged Buyouts (LBOs)</w:t>
      </w:r>
      <w:r w:rsidRPr="00964F90">
        <w:rPr>
          <w:rFonts w:eastAsia="Times New Roman" w:cs="Times New Roman"/>
          <w:kern w:val="0"/>
          <w:sz w:val="24"/>
          <w:szCs w:val="24"/>
          <w:lang w:eastAsia="en-IN"/>
          <w14:ligatures w14:val="none"/>
        </w:rPr>
        <w:t>: In an LBO, a company is acquired using a significant amount of borrowed money (leverage) to meet the cost of acquisition. The assets of the acquired company often serve as collateral for the loans. LBOs are typically used by private equity firms to acquire companies with strong cash flows.</w:t>
      </w:r>
    </w:p>
    <w:p w14:paraId="3463A06B" w14:textId="77777777" w:rsidR="00964F90" w:rsidRPr="00964F90" w:rsidRDefault="00964F90" w:rsidP="006017FF">
      <w:pPr>
        <w:pStyle w:val="Heading2"/>
        <w:rPr>
          <w:rFonts w:eastAsia="Times New Roman"/>
          <w:lang w:eastAsia="en-IN"/>
        </w:rPr>
      </w:pPr>
      <w:r w:rsidRPr="00964F90">
        <w:rPr>
          <w:rFonts w:eastAsia="Times New Roman"/>
          <w:lang w:eastAsia="en-IN"/>
        </w:rPr>
        <w:t>What Are the Key Steps Involved in a Merger or Acquisition Process?</w:t>
      </w:r>
    </w:p>
    <w:p w14:paraId="6D0E01A9" w14:textId="77777777" w:rsidR="00964F90" w:rsidRPr="00964F90" w:rsidRDefault="00964F90" w:rsidP="00964F90">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Strategy Development</w:t>
      </w:r>
      <w:r w:rsidRPr="00964F90">
        <w:rPr>
          <w:rFonts w:eastAsia="Times New Roman" w:cs="Times New Roman"/>
          <w:kern w:val="0"/>
          <w:sz w:val="24"/>
          <w:szCs w:val="24"/>
          <w:lang w:eastAsia="en-IN"/>
          <w14:ligatures w14:val="none"/>
        </w:rPr>
        <w:t>: Define the strategic objectives and criteria for potential targets.</w:t>
      </w:r>
    </w:p>
    <w:p w14:paraId="4D629399" w14:textId="77777777" w:rsidR="00964F90" w:rsidRPr="00964F90" w:rsidRDefault="00964F90" w:rsidP="00964F90">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Target Identification and Screening</w:t>
      </w:r>
      <w:r w:rsidRPr="00964F90">
        <w:rPr>
          <w:rFonts w:eastAsia="Times New Roman" w:cs="Times New Roman"/>
          <w:kern w:val="0"/>
          <w:sz w:val="24"/>
          <w:szCs w:val="24"/>
          <w:lang w:eastAsia="en-IN"/>
          <w14:ligatures w14:val="none"/>
        </w:rPr>
        <w:t>: Identify potential targets that align with the strategic objectives and perform preliminary assessments.</w:t>
      </w:r>
    </w:p>
    <w:p w14:paraId="59C5414D" w14:textId="77777777" w:rsidR="00964F90" w:rsidRPr="00964F90" w:rsidRDefault="00964F90" w:rsidP="00964F90">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Due Diligence</w:t>
      </w:r>
      <w:r w:rsidRPr="00964F90">
        <w:rPr>
          <w:rFonts w:eastAsia="Times New Roman" w:cs="Times New Roman"/>
          <w:kern w:val="0"/>
          <w:sz w:val="24"/>
          <w:szCs w:val="24"/>
          <w:lang w:eastAsia="en-IN"/>
          <w14:ligatures w14:val="none"/>
        </w:rPr>
        <w:t>: Conduct thorough due diligence to assess the target's financial health, legal standing, market position, and potential risks.</w:t>
      </w:r>
    </w:p>
    <w:p w14:paraId="7F671650" w14:textId="77777777" w:rsidR="00964F90" w:rsidRPr="00964F90" w:rsidRDefault="00964F90" w:rsidP="00964F90">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Valuation and Pricing</w:t>
      </w:r>
      <w:r w:rsidRPr="00964F90">
        <w:rPr>
          <w:rFonts w:eastAsia="Times New Roman" w:cs="Times New Roman"/>
          <w:kern w:val="0"/>
          <w:sz w:val="24"/>
          <w:szCs w:val="24"/>
          <w:lang w:eastAsia="en-IN"/>
          <w14:ligatures w14:val="none"/>
        </w:rPr>
        <w:t>: Determine the value of the target company and establish an appropriate purchase price.</w:t>
      </w:r>
    </w:p>
    <w:p w14:paraId="30CFF81E" w14:textId="77777777" w:rsidR="00964F90" w:rsidRPr="00964F90" w:rsidRDefault="00964F90" w:rsidP="00964F90">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Negotiation and Agreement</w:t>
      </w:r>
      <w:r w:rsidRPr="00964F90">
        <w:rPr>
          <w:rFonts w:eastAsia="Times New Roman" w:cs="Times New Roman"/>
          <w:kern w:val="0"/>
          <w:sz w:val="24"/>
          <w:szCs w:val="24"/>
          <w:lang w:eastAsia="en-IN"/>
          <w14:ligatures w14:val="none"/>
        </w:rPr>
        <w:t>: Negotiate the terms of the deal and draft the acquisition agreement.</w:t>
      </w:r>
    </w:p>
    <w:p w14:paraId="356E76E2" w14:textId="77777777" w:rsidR="00964F90" w:rsidRPr="00964F90" w:rsidRDefault="00964F90" w:rsidP="00964F90">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Regulatory Approval</w:t>
      </w:r>
      <w:r w:rsidRPr="00964F90">
        <w:rPr>
          <w:rFonts w:eastAsia="Times New Roman" w:cs="Times New Roman"/>
          <w:kern w:val="0"/>
          <w:sz w:val="24"/>
          <w:szCs w:val="24"/>
          <w:lang w:eastAsia="en-IN"/>
          <w14:ligatures w14:val="none"/>
        </w:rPr>
        <w:t>: Obtain necessary approvals from regulatory bodies and shareholders.</w:t>
      </w:r>
    </w:p>
    <w:p w14:paraId="69D389BA" w14:textId="77777777" w:rsidR="00964F90" w:rsidRPr="00964F90" w:rsidRDefault="00964F90" w:rsidP="00964F90">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Integration Planning</w:t>
      </w:r>
      <w:r w:rsidRPr="00964F90">
        <w:rPr>
          <w:rFonts w:eastAsia="Times New Roman" w:cs="Times New Roman"/>
          <w:kern w:val="0"/>
          <w:sz w:val="24"/>
          <w:szCs w:val="24"/>
          <w:lang w:eastAsia="en-IN"/>
          <w14:ligatures w14:val="none"/>
        </w:rPr>
        <w:t>: Develop a detailed integration plan to combine the operations, cultures, and systems of both companies.</w:t>
      </w:r>
    </w:p>
    <w:p w14:paraId="7357854D" w14:textId="77777777" w:rsidR="00964F90" w:rsidRPr="00964F90" w:rsidRDefault="00964F90" w:rsidP="00964F90">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Execution and Integration</w:t>
      </w:r>
      <w:r w:rsidRPr="00964F90">
        <w:rPr>
          <w:rFonts w:eastAsia="Times New Roman" w:cs="Times New Roman"/>
          <w:kern w:val="0"/>
          <w:sz w:val="24"/>
          <w:szCs w:val="24"/>
          <w:lang w:eastAsia="en-IN"/>
          <w14:ligatures w14:val="none"/>
        </w:rPr>
        <w:t>: Execute the transaction and implement the integration plan to achieve the desired synergies and objectives.</w:t>
      </w:r>
    </w:p>
    <w:p w14:paraId="7FA1C7EA" w14:textId="77777777" w:rsidR="00964F90" w:rsidRPr="00964F90" w:rsidRDefault="00964F90" w:rsidP="006017FF">
      <w:pPr>
        <w:pStyle w:val="Heading2"/>
        <w:rPr>
          <w:rFonts w:eastAsia="Times New Roman"/>
          <w:lang w:eastAsia="en-IN"/>
        </w:rPr>
      </w:pPr>
      <w:r w:rsidRPr="00964F90">
        <w:rPr>
          <w:rFonts w:eastAsia="Times New Roman"/>
          <w:lang w:eastAsia="en-IN"/>
        </w:rPr>
        <w:lastRenderedPageBreak/>
        <w:t>How Do M&amp;A Activities Affect Employees, Customers, and Shareholders?</w:t>
      </w:r>
    </w:p>
    <w:p w14:paraId="7C7F6067" w14:textId="77777777" w:rsidR="00964F90" w:rsidRPr="00964F90" w:rsidRDefault="00964F90" w:rsidP="00964F90">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Employees</w:t>
      </w:r>
      <w:r w:rsidRPr="00964F90">
        <w:rPr>
          <w:rFonts w:eastAsia="Times New Roman" w:cs="Times New Roman"/>
          <w:kern w:val="0"/>
          <w:sz w:val="24"/>
          <w:szCs w:val="24"/>
          <w:lang w:eastAsia="en-IN"/>
          <w14:ligatures w14:val="none"/>
        </w:rPr>
        <w:t>: M&amp;A activities can lead to job redundancies, changes in corporate culture, and shifts in organizational structure. Effective communication and change management strategies are essential to address employee concerns and maintain morale.</w:t>
      </w:r>
    </w:p>
    <w:p w14:paraId="3DA24E1F" w14:textId="77777777" w:rsidR="00964F90" w:rsidRPr="00964F90" w:rsidRDefault="00964F90" w:rsidP="00964F90">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Customers</w:t>
      </w:r>
      <w:r w:rsidRPr="00964F90">
        <w:rPr>
          <w:rFonts w:eastAsia="Times New Roman" w:cs="Times New Roman"/>
          <w:kern w:val="0"/>
          <w:sz w:val="24"/>
          <w:szCs w:val="24"/>
          <w:lang w:eastAsia="en-IN"/>
          <w14:ligatures w14:val="none"/>
        </w:rPr>
        <w:t>: Customers may benefit from improved products, services, and innovation resulting from M&amp;A synergies. However, they may also experience disruptions during the integration process and changes in service levels or pricing.</w:t>
      </w:r>
    </w:p>
    <w:p w14:paraId="169BDB19" w14:textId="77777777" w:rsidR="00964F90" w:rsidRPr="00964F90" w:rsidRDefault="00964F90" w:rsidP="00964F90">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Shareholders</w:t>
      </w:r>
      <w:r w:rsidRPr="00964F90">
        <w:rPr>
          <w:rFonts w:eastAsia="Times New Roman" w:cs="Times New Roman"/>
          <w:kern w:val="0"/>
          <w:sz w:val="24"/>
          <w:szCs w:val="24"/>
          <w:lang w:eastAsia="en-IN"/>
          <w14:ligatures w14:val="none"/>
        </w:rPr>
        <w:t>: Shareholders of the acquiring company may benefit from increased market share, synergies, and growth opportunities. However, they also bear the risks associated with the transaction, including integration challenges and potential financial impacts. Shareholders of the target company typically receive a premium on their shares as compensation for the acquisition.</w:t>
      </w:r>
    </w:p>
    <w:p w14:paraId="74310DC5" w14:textId="77777777" w:rsidR="00964F90" w:rsidRPr="00964F90" w:rsidRDefault="00964F90" w:rsidP="006017FF">
      <w:pPr>
        <w:pStyle w:val="Heading2"/>
        <w:rPr>
          <w:rFonts w:eastAsia="Times New Roman"/>
          <w:lang w:eastAsia="en-IN"/>
        </w:rPr>
      </w:pPr>
      <w:r w:rsidRPr="00964F90">
        <w:rPr>
          <w:rFonts w:eastAsia="Times New Roman"/>
          <w:lang w:eastAsia="en-IN"/>
        </w:rPr>
        <w:t>How Do Companies Manage Risks Associated with M&amp;A Transactions?</w:t>
      </w:r>
    </w:p>
    <w:p w14:paraId="18EA278B" w14:textId="77777777" w:rsidR="00964F90" w:rsidRPr="00964F90" w:rsidRDefault="00964F90" w:rsidP="00964F90">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Thorough Due Diligence</w:t>
      </w:r>
      <w:r w:rsidRPr="00964F90">
        <w:rPr>
          <w:rFonts w:eastAsia="Times New Roman" w:cs="Times New Roman"/>
          <w:kern w:val="0"/>
          <w:sz w:val="24"/>
          <w:szCs w:val="24"/>
          <w:lang w:eastAsia="en-IN"/>
          <w14:ligatures w14:val="none"/>
        </w:rPr>
        <w:t>: Conducting comprehensive due diligence helps identify potential risks and issues early in the process.</w:t>
      </w:r>
    </w:p>
    <w:p w14:paraId="69FBC567" w14:textId="77777777" w:rsidR="00964F90" w:rsidRPr="00964F90" w:rsidRDefault="00964F90" w:rsidP="00964F90">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Clear Strategic Objectives</w:t>
      </w:r>
      <w:r w:rsidRPr="00964F90">
        <w:rPr>
          <w:rFonts w:eastAsia="Times New Roman" w:cs="Times New Roman"/>
          <w:kern w:val="0"/>
          <w:sz w:val="24"/>
          <w:szCs w:val="24"/>
          <w:lang w:eastAsia="en-IN"/>
          <w14:ligatures w14:val="none"/>
        </w:rPr>
        <w:t>: Defining clear strategic objectives and criteria ensures that the M&amp;A activities align with the company’s overall strategy.</w:t>
      </w:r>
    </w:p>
    <w:p w14:paraId="7AD0EC50" w14:textId="77777777" w:rsidR="00964F90" w:rsidRPr="00964F90" w:rsidRDefault="00964F90" w:rsidP="00964F90">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Effective Integration Planning</w:t>
      </w:r>
      <w:r w:rsidRPr="00964F90">
        <w:rPr>
          <w:rFonts w:eastAsia="Times New Roman" w:cs="Times New Roman"/>
          <w:kern w:val="0"/>
          <w:sz w:val="24"/>
          <w:szCs w:val="24"/>
          <w:lang w:eastAsia="en-IN"/>
          <w14:ligatures w14:val="none"/>
        </w:rPr>
        <w:t>: Developing a detailed integration plan and executing it effectively helps mitigate risks associated with combining operations, cultures, and systems.</w:t>
      </w:r>
    </w:p>
    <w:p w14:paraId="3C06A87B" w14:textId="77777777" w:rsidR="00964F90" w:rsidRPr="00964F90" w:rsidRDefault="00964F90" w:rsidP="00964F90">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Risk Management Strategies</w:t>
      </w:r>
      <w:r w:rsidRPr="00964F90">
        <w:rPr>
          <w:rFonts w:eastAsia="Times New Roman" w:cs="Times New Roman"/>
          <w:kern w:val="0"/>
          <w:sz w:val="24"/>
          <w:szCs w:val="24"/>
          <w:lang w:eastAsia="en-IN"/>
          <w14:ligatures w14:val="none"/>
        </w:rPr>
        <w:t>: Implementing risk management strategies, such as hedging, insurance, and contingency planning, helps address potential financial and operational risks.</w:t>
      </w:r>
    </w:p>
    <w:p w14:paraId="667A546B" w14:textId="77777777" w:rsidR="00964F90" w:rsidRPr="00964F90" w:rsidRDefault="00964F90" w:rsidP="00964F90">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b/>
          <w:bCs/>
          <w:kern w:val="0"/>
          <w:sz w:val="24"/>
          <w:szCs w:val="24"/>
          <w:lang w:eastAsia="en-IN"/>
          <w14:ligatures w14:val="none"/>
        </w:rPr>
        <w:t>Post-Merger Monitoring</w:t>
      </w:r>
      <w:r w:rsidRPr="00964F90">
        <w:rPr>
          <w:rFonts w:eastAsia="Times New Roman" w:cs="Times New Roman"/>
          <w:kern w:val="0"/>
          <w:sz w:val="24"/>
          <w:szCs w:val="24"/>
          <w:lang w:eastAsia="en-IN"/>
          <w14:ligatures w14:val="none"/>
        </w:rPr>
        <w:t>: Continuously monitoring the progress of the integration and addressing any emerging issues promptly ensures a successful outcome.</w:t>
      </w:r>
    </w:p>
    <w:p w14:paraId="749ED30E" w14:textId="77777777" w:rsidR="00B978F1" w:rsidRDefault="00B978F1">
      <w:pPr>
        <w:rPr>
          <w:rFonts w:asciiTheme="majorHAnsi" w:eastAsia="Times New Roman" w:hAnsiTheme="majorHAnsi" w:cstheme="majorBidi"/>
          <w:color w:val="0F4761" w:themeColor="accent1" w:themeShade="BF"/>
          <w:sz w:val="40"/>
          <w:szCs w:val="40"/>
          <w:lang w:eastAsia="en-IN"/>
        </w:rPr>
      </w:pPr>
      <w:r>
        <w:rPr>
          <w:rFonts w:eastAsia="Times New Roman"/>
          <w:lang w:eastAsia="en-IN"/>
        </w:rPr>
        <w:br w:type="page"/>
      </w:r>
    </w:p>
    <w:p w14:paraId="67E30C1E" w14:textId="36BFBC12" w:rsidR="00B978F1" w:rsidRDefault="00B978F1" w:rsidP="006017FF">
      <w:pPr>
        <w:pStyle w:val="Heading1"/>
        <w:rPr>
          <w:rFonts w:eastAsia="Times New Roman"/>
          <w:lang w:eastAsia="en-IN"/>
        </w:rPr>
      </w:pPr>
      <w:r>
        <w:rPr>
          <w:rFonts w:eastAsia="Times New Roman"/>
          <w:lang w:eastAsia="en-IN"/>
        </w:rPr>
        <w:lastRenderedPageBreak/>
        <w:t>Data tables related to Mergers &amp; Acquisitions (M&amp;A)</w:t>
      </w:r>
    </w:p>
    <w:p w14:paraId="686BCBA0" w14:textId="77777777" w:rsidR="00B978F1" w:rsidRDefault="00B978F1" w:rsidP="00B978F1">
      <w:pPr>
        <w:pStyle w:val="Heading2"/>
      </w:pPr>
      <w:r>
        <w:t>Average Deal Size of Mergers and Acquisitions in US Banking System (in $ millions)</w:t>
      </w:r>
    </w:p>
    <w:tbl>
      <w:tblPr>
        <w:tblStyle w:val="TableGrid"/>
        <w:tblW w:w="3998" w:type="dxa"/>
        <w:tblLook w:val="04A0" w:firstRow="1" w:lastRow="0" w:firstColumn="1" w:lastColumn="0" w:noHBand="0" w:noVBand="1"/>
      </w:tblPr>
      <w:tblGrid>
        <w:gridCol w:w="1018"/>
        <w:gridCol w:w="2980"/>
      </w:tblGrid>
      <w:tr w:rsidR="00B978F1" w:rsidRPr="00B978F1" w14:paraId="06DDAEA0" w14:textId="77777777" w:rsidTr="00B978F1">
        <w:trPr>
          <w:trHeight w:val="301"/>
        </w:trPr>
        <w:tc>
          <w:tcPr>
            <w:tcW w:w="0" w:type="auto"/>
            <w:hideMark/>
          </w:tcPr>
          <w:p w14:paraId="0A6FB090" w14:textId="77777777" w:rsidR="00B978F1" w:rsidRPr="00B978F1" w:rsidRDefault="00B978F1">
            <w:pPr>
              <w:jc w:val="center"/>
              <w:rPr>
                <w:b/>
                <w:bCs/>
                <w:sz w:val="24"/>
                <w:szCs w:val="24"/>
              </w:rPr>
            </w:pPr>
            <w:r w:rsidRPr="00B978F1">
              <w:rPr>
                <w:b/>
                <w:bCs/>
                <w:sz w:val="24"/>
                <w:szCs w:val="24"/>
              </w:rPr>
              <w:t>Year</w:t>
            </w:r>
          </w:p>
        </w:tc>
        <w:tc>
          <w:tcPr>
            <w:tcW w:w="0" w:type="auto"/>
            <w:hideMark/>
          </w:tcPr>
          <w:p w14:paraId="79D54C51" w14:textId="77777777" w:rsidR="00B978F1" w:rsidRPr="00B978F1" w:rsidRDefault="00B978F1">
            <w:pPr>
              <w:jc w:val="center"/>
              <w:rPr>
                <w:b/>
                <w:bCs/>
                <w:sz w:val="24"/>
                <w:szCs w:val="24"/>
              </w:rPr>
            </w:pPr>
            <w:r w:rsidRPr="00B978F1">
              <w:rPr>
                <w:b/>
                <w:bCs/>
                <w:sz w:val="24"/>
                <w:szCs w:val="24"/>
              </w:rPr>
              <w:t>Average Deal Size</w:t>
            </w:r>
          </w:p>
        </w:tc>
      </w:tr>
      <w:tr w:rsidR="00B978F1" w:rsidRPr="00B978F1" w14:paraId="473FA3B8" w14:textId="77777777" w:rsidTr="00B978F1">
        <w:trPr>
          <w:trHeight w:val="301"/>
        </w:trPr>
        <w:tc>
          <w:tcPr>
            <w:tcW w:w="0" w:type="auto"/>
            <w:hideMark/>
          </w:tcPr>
          <w:p w14:paraId="0180D285" w14:textId="77777777" w:rsidR="00B978F1" w:rsidRPr="00B978F1" w:rsidRDefault="00B978F1">
            <w:pPr>
              <w:rPr>
                <w:sz w:val="24"/>
                <w:szCs w:val="24"/>
              </w:rPr>
            </w:pPr>
            <w:r w:rsidRPr="00B978F1">
              <w:rPr>
                <w:sz w:val="24"/>
                <w:szCs w:val="24"/>
              </w:rPr>
              <w:t>2019</w:t>
            </w:r>
          </w:p>
        </w:tc>
        <w:tc>
          <w:tcPr>
            <w:tcW w:w="0" w:type="auto"/>
            <w:hideMark/>
          </w:tcPr>
          <w:p w14:paraId="4618FA1A" w14:textId="77777777" w:rsidR="00B978F1" w:rsidRPr="00B978F1" w:rsidRDefault="00B978F1">
            <w:pPr>
              <w:rPr>
                <w:sz w:val="24"/>
                <w:szCs w:val="24"/>
              </w:rPr>
            </w:pPr>
            <w:r w:rsidRPr="00B978F1">
              <w:rPr>
                <w:sz w:val="24"/>
                <w:szCs w:val="24"/>
              </w:rPr>
              <w:t>158.7</w:t>
            </w:r>
          </w:p>
        </w:tc>
      </w:tr>
      <w:tr w:rsidR="00B978F1" w:rsidRPr="00B978F1" w14:paraId="2281752E" w14:textId="77777777" w:rsidTr="00B978F1">
        <w:trPr>
          <w:trHeight w:val="314"/>
        </w:trPr>
        <w:tc>
          <w:tcPr>
            <w:tcW w:w="0" w:type="auto"/>
            <w:hideMark/>
          </w:tcPr>
          <w:p w14:paraId="6F789AD7" w14:textId="77777777" w:rsidR="00B978F1" w:rsidRPr="00B978F1" w:rsidRDefault="00B978F1">
            <w:pPr>
              <w:rPr>
                <w:sz w:val="24"/>
                <w:szCs w:val="24"/>
              </w:rPr>
            </w:pPr>
            <w:r w:rsidRPr="00B978F1">
              <w:rPr>
                <w:sz w:val="24"/>
                <w:szCs w:val="24"/>
              </w:rPr>
              <w:t>2020</w:t>
            </w:r>
          </w:p>
        </w:tc>
        <w:tc>
          <w:tcPr>
            <w:tcW w:w="0" w:type="auto"/>
            <w:hideMark/>
          </w:tcPr>
          <w:p w14:paraId="00D91183" w14:textId="77777777" w:rsidR="00B978F1" w:rsidRPr="00B978F1" w:rsidRDefault="00B978F1">
            <w:pPr>
              <w:rPr>
                <w:sz w:val="24"/>
                <w:szCs w:val="24"/>
              </w:rPr>
            </w:pPr>
            <w:r w:rsidRPr="00B978F1">
              <w:rPr>
                <w:sz w:val="24"/>
                <w:szCs w:val="24"/>
              </w:rPr>
              <w:t>156.0</w:t>
            </w:r>
          </w:p>
        </w:tc>
      </w:tr>
      <w:tr w:rsidR="00B978F1" w:rsidRPr="00B978F1" w14:paraId="7AC8673D" w14:textId="77777777" w:rsidTr="00B978F1">
        <w:trPr>
          <w:trHeight w:val="58"/>
        </w:trPr>
        <w:tc>
          <w:tcPr>
            <w:tcW w:w="0" w:type="auto"/>
            <w:hideMark/>
          </w:tcPr>
          <w:p w14:paraId="5B792E17" w14:textId="77777777" w:rsidR="00B978F1" w:rsidRPr="00B978F1" w:rsidRDefault="00B978F1">
            <w:pPr>
              <w:rPr>
                <w:sz w:val="24"/>
                <w:szCs w:val="24"/>
              </w:rPr>
            </w:pPr>
            <w:r w:rsidRPr="00B978F1">
              <w:rPr>
                <w:sz w:val="24"/>
                <w:szCs w:val="24"/>
              </w:rPr>
              <w:t>2021</w:t>
            </w:r>
          </w:p>
        </w:tc>
        <w:tc>
          <w:tcPr>
            <w:tcW w:w="0" w:type="auto"/>
            <w:hideMark/>
          </w:tcPr>
          <w:p w14:paraId="52EA1F87" w14:textId="77777777" w:rsidR="00B978F1" w:rsidRPr="00B978F1" w:rsidRDefault="00B978F1">
            <w:pPr>
              <w:rPr>
                <w:sz w:val="24"/>
                <w:szCs w:val="24"/>
              </w:rPr>
            </w:pPr>
            <w:r w:rsidRPr="00B978F1">
              <w:rPr>
                <w:sz w:val="24"/>
                <w:szCs w:val="24"/>
              </w:rPr>
              <w:t>180.0</w:t>
            </w:r>
          </w:p>
        </w:tc>
      </w:tr>
      <w:tr w:rsidR="00B978F1" w:rsidRPr="00B978F1" w14:paraId="6C249C86" w14:textId="77777777" w:rsidTr="00B978F1">
        <w:trPr>
          <w:trHeight w:val="301"/>
        </w:trPr>
        <w:tc>
          <w:tcPr>
            <w:tcW w:w="0" w:type="auto"/>
            <w:hideMark/>
          </w:tcPr>
          <w:p w14:paraId="752D9042" w14:textId="77777777" w:rsidR="00B978F1" w:rsidRPr="00B978F1" w:rsidRDefault="00B978F1">
            <w:pPr>
              <w:rPr>
                <w:sz w:val="24"/>
                <w:szCs w:val="24"/>
              </w:rPr>
            </w:pPr>
            <w:r w:rsidRPr="00B978F1">
              <w:rPr>
                <w:sz w:val="24"/>
                <w:szCs w:val="24"/>
              </w:rPr>
              <w:t>2022</w:t>
            </w:r>
          </w:p>
        </w:tc>
        <w:tc>
          <w:tcPr>
            <w:tcW w:w="0" w:type="auto"/>
            <w:hideMark/>
          </w:tcPr>
          <w:p w14:paraId="700432FA" w14:textId="77777777" w:rsidR="00B978F1" w:rsidRPr="00B978F1" w:rsidRDefault="00B978F1">
            <w:pPr>
              <w:rPr>
                <w:sz w:val="24"/>
                <w:szCs w:val="24"/>
              </w:rPr>
            </w:pPr>
            <w:r w:rsidRPr="00B978F1">
              <w:rPr>
                <w:sz w:val="24"/>
                <w:szCs w:val="24"/>
              </w:rPr>
              <w:t>155.3</w:t>
            </w:r>
          </w:p>
        </w:tc>
      </w:tr>
    </w:tbl>
    <w:p w14:paraId="757998B0" w14:textId="36543746" w:rsidR="00B978F1" w:rsidRDefault="00B978F1" w:rsidP="00B978F1">
      <w:pPr>
        <w:rPr>
          <w:sz w:val="24"/>
          <w:szCs w:val="24"/>
        </w:rPr>
      </w:pPr>
      <w:r>
        <w:rPr>
          <w:noProof/>
        </w:rPr>
        <w:drawing>
          <wp:inline distT="0" distB="0" distL="0" distR="0" wp14:anchorId="57D94B26" wp14:editId="427348D2">
            <wp:extent cx="5707380" cy="3131820"/>
            <wp:effectExtent l="0" t="0" r="7620" b="11430"/>
            <wp:docPr id="30633836" name="Chart 1">
              <a:extLst xmlns:a="http://schemas.openxmlformats.org/drawingml/2006/main">
                <a:ext uri="{FF2B5EF4-FFF2-40B4-BE49-F238E27FC236}">
                  <a16:creationId xmlns:a16="http://schemas.microsoft.com/office/drawing/2014/main" id="{F05745CF-780A-6908-6770-77D1AAFB8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2AE276C" w14:textId="5DAA9DEE" w:rsidR="00B978F1" w:rsidRDefault="00B978F1" w:rsidP="00B978F1">
      <w:pPr>
        <w:rPr>
          <w:sz w:val="24"/>
          <w:szCs w:val="24"/>
        </w:rPr>
      </w:pPr>
      <w:r w:rsidRPr="00B978F1">
        <w:rPr>
          <w:sz w:val="24"/>
          <w:szCs w:val="24"/>
        </w:rPr>
        <w:t xml:space="preserve">The Average Deal Size of Mergers and Acquisitions table gives us an idea of how much money is typically involved in mergers and acquisitions (M&amp;A) within the banking industry over several years. In 2019, the average deal size was about $158.7 million, showing that these transactions were quite substantial as banks looked to either merge with or acquire other banks to strengthen their operations. The following year, 2020, saw a slight decrease in the average deal size to around $156.0 million, suggesting that although M&amp;A activities continued, they were slightly smaller in scale compared to the previous year. By 2021, there was a significant increase in the average deal size to approximately $180.0 million, indicating larger and potentially more strategic transactions happening in the banking sector. However, by 2022, the average deal size decreased again to about $155.3 million, showing a trend towards smaller transaction sizes. These fluctuations in deal size reflect different levels of consolidation, strategic planning, and the overall economic conditions influencing banks' decisions to merge or acquire. This data highlights the significant financial impact and strategic importance of M&amp;A activities in shaping the US banking industry during these </w:t>
      </w:r>
      <w:proofErr w:type="spellStart"/>
      <w:proofErr w:type="gramStart"/>
      <w:r w:rsidRPr="00B978F1">
        <w:rPr>
          <w:sz w:val="24"/>
          <w:szCs w:val="24"/>
        </w:rPr>
        <w:t>years.Top</w:t>
      </w:r>
      <w:proofErr w:type="spellEnd"/>
      <w:proofErr w:type="gramEnd"/>
      <w:r w:rsidRPr="00B978F1">
        <w:rPr>
          <w:sz w:val="24"/>
          <w:szCs w:val="24"/>
        </w:rPr>
        <w:t xml:space="preserve"> 5 Largest Mergers and Acquisitions in US Banking System (by Deal Value, in $ billions)</w:t>
      </w:r>
    </w:p>
    <w:p w14:paraId="474E3382" w14:textId="66444939" w:rsidR="00B978F1" w:rsidRPr="00B978F1" w:rsidRDefault="00B978F1" w:rsidP="00B978F1">
      <w:pPr>
        <w:pStyle w:val="Heading2"/>
        <w:rPr>
          <w:sz w:val="24"/>
          <w:szCs w:val="24"/>
        </w:rPr>
      </w:pPr>
      <w:r>
        <w:lastRenderedPageBreak/>
        <w:t>Top 5 Largest Mergers and Acquisitions in US Banking System (by Deal Value, in $ billions)</w:t>
      </w:r>
    </w:p>
    <w:tbl>
      <w:tblPr>
        <w:tblStyle w:val="TableGrid"/>
        <w:tblW w:w="0" w:type="auto"/>
        <w:tblLook w:val="04A0" w:firstRow="1" w:lastRow="0" w:firstColumn="1" w:lastColumn="0" w:noHBand="0" w:noVBand="1"/>
      </w:tblPr>
      <w:tblGrid>
        <w:gridCol w:w="729"/>
        <w:gridCol w:w="6641"/>
        <w:gridCol w:w="1383"/>
      </w:tblGrid>
      <w:tr w:rsidR="00B978F1" w:rsidRPr="00B978F1" w14:paraId="6A63201E" w14:textId="77777777" w:rsidTr="00B978F1">
        <w:tc>
          <w:tcPr>
            <w:tcW w:w="0" w:type="auto"/>
            <w:hideMark/>
          </w:tcPr>
          <w:p w14:paraId="7E2B42E8" w14:textId="77777777" w:rsidR="00B978F1" w:rsidRPr="00B978F1" w:rsidRDefault="00B978F1">
            <w:pPr>
              <w:jc w:val="center"/>
              <w:rPr>
                <w:b/>
                <w:bCs/>
                <w:sz w:val="24"/>
                <w:szCs w:val="24"/>
              </w:rPr>
            </w:pPr>
            <w:r w:rsidRPr="00B978F1">
              <w:rPr>
                <w:b/>
                <w:bCs/>
                <w:sz w:val="24"/>
                <w:szCs w:val="24"/>
              </w:rPr>
              <w:t>Year</w:t>
            </w:r>
          </w:p>
        </w:tc>
        <w:tc>
          <w:tcPr>
            <w:tcW w:w="0" w:type="auto"/>
            <w:hideMark/>
          </w:tcPr>
          <w:p w14:paraId="5CB2B4F7" w14:textId="77777777" w:rsidR="00B978F1" w:rsidRPr="00B978F1" w:rsidRDefault="00B978F1">
            <w:pPr>
              <w:jc w:val="center"/>
              <w:rPr>
                <w:b/>
                <w:bCs/>
                <w:sz w:val="24"/>
                <w:szCs w:val="24"/>
              </w:rPr>
            </w:pPr>
            <w:r w:rsidRPr="00B978F1">
              <w:rPr>
                <w:b/>
                <w:bCs/>
                <w:sz w:val="24"/>
                <w:szCs w:val="24"/>
              </w:rPr>
              <w:t>Deal Name</w:t>
            </w:r>
          </w:p>
        </w:tc>
        <w:tc>
          <w:tcPr>
            <w:tcW w:w="0" w:type="auto"/>
            <w:hideMark/>
          </w:tcPr>
          <w:p w14:paraId="4ED55D24" w14:textId="77777777" w:rsidR="00B978F1" w:rsidRPr="00B978F1" w:rsidRDefault="00B978F1">
            <w:pPr>
              <w:jc w:val="center"/>
              <w:rPr>
                <w:b/>
                <w:bCs/>
                <w:sz w:val="24"/>
                <w:szCs w:val="24"/>
              </w:rPr>
            </w:pPr>
            <w:r w:rsidRPr="00B978F1">
              <w:rPr>
                <w:b/>
                <w:bCs/>
                <w:sz w:val="24"/>
                <w:szCs w:val="24"/>
              </w:rPr>
              <w:t>Deal Value</w:t>
            </w:r>
          </w:p>
        </w:tc>
      </w:tr>
      <w:tr w:rsidR="00B978F1" w:rsidRPr="00B978F1" w14:paraId="2B2D0EBE" w14:textId="77777777" w:rsidTr="00B978F1">
        <w:tc>
          <w:tcPr>
            <w:tcW w:w="0" w:type="auto"/>
            <w:hideMark/>
          </w:tcPr>
          <w:p w14:paraId="77D40A45" w14:textId="77777777" w:rsidR="00B978F1" w:rsidRPr="00B978F1" w:rsidRDefault="00B978F1">
            <w:pPr>
              <w:rPr>
                <w:sz w:val="24"/>
                <w:szCs w:val="24"/>
              </w:rPr>
            </w:pPr>
            <w:r w:rsidRPr="00B978F1">
              <w:rPr>
                <w:sz w:val="24"/>
                <w:szCs w:val="24"/>
              </w:rPr>
              <w:t>2019</w:t>
            </w:r>
          </w:p>
        </w:tc>
        <w:tc>
          <w:tcPr>
            <w:tcW w:w="0" w:type="auto"/>
            <w:hideMark/>
          </w:tcPr>
          <w:p w14:paraId="1C9ADE12" w14:textId="77777777" w:rsidR="00B978F1" w:rsidRPr="00B978F1" w:rsidRDefault="00B978F1">
            <w:pPr>
              <w:rPr>
                <w:sz w:val="24"/>
                <w:szCs w:val="24"/>
              </w:rPr>
            </w:pPr>
            <w:r w:rsidRPr="00B978F1">
              <w:rPr>
                <w:sz w:val="24"/>
                <w:szCs w:val="24"/>
              </w:rPr>
              <w:t>BB&amp;T Corporation and SunTrust Banks, Inc.</w:t>
            </w:r>
          </w:p>
        </w:tc>
        <w:tc>
          <w:tcPr>
            <w:tcW w:w="0" w:type="auto"/>
            <w:hideMark/>
          </w:tcPr>
          <w:p w14:paraId="7C462CAE" w14:textId="77777777" w:rsidR="00B978F1" w:rsidRPr="00B978F1" w:rsidRDefault="00B978F1">
            <w:pPr>
              <w:rPr>
                <w:sz w:val="24"/>
                <w:szCs w:val="24"/>
              </w:rPr>
            </w:pPr>
            <w:r w:rsidRPr="00B978F1">
              <w:rPr>
                <w:sz w:val="24"/>
                <w:szCs w:val="24"/>
              </w:rPr>
              <w:t>28.1</w:t>
            </w:r>
          </w:p>
        </w:tc>
      </w:tr>
      <w:tr w:rsidR="00B978F1" w:rsidRPr="00B978F1" w14:paraId="5E885810" w14:textId="77777777" w:rsidTr="00B978F1">
        <w:tc>
          <w:tcPr>
            <w:tcW w:w="0" w:type="auto"/>
            <w:hideMark/>
          </w:tcPr>
          <w:p w14:paraId="7A9B487D" w14:textId="77777777" w:rsidR="00B978F1" w:rsidRPr="00B978F1" w:rsidRDefault="00B978F1">
            <w:pPr>
              <w:rPr>
                <w:sz w:val="24"/>
                <w:szCs w:val="24"/>
              </w:rPr>
            </w:pPr>
            <w:r w:rsidRPr="00B978F1">
              <w:rPr>
                <w:sz w:val="24"/>
                <w:szCs w:val="24"/>
              </w:rPr>
              <w:t>2019</w:t>
            </w:r>
          </w:p>
        </w:tc>
        <w:tc>
          <w:tcPr>
            <w:tcW w:w="0" w:type="auto"/>
            <w:hideMark/>
          </w:tcPr>
          <w:p w14:paraId="3238EFD4" w14:textId="77777777" w:rsidR="00B978F1" w:rsidRPr="00B978F1" w:rsidRDefault="00B978F1">
            <w:pPr>
              <w:rPr>
                <w:sz w:val="24"/>
                <w:szCs w:val="24"/>
              </w:rPr>
            </w:pPr>
            <w:r w:rsidRPr="00B978F1">
              <w:rPr>
                <w:sz w:val="24"/>
                <w:szCs w:val="24"/>
              </w:rPr>
              <w:t xml:space="preserve">First Horizon National Corporation and </w:t>
            </w:r>
            <w:proofErr w:type="spellStart"/>
            <w:r w:rsidRPr="00B978F1">
              <w:rPr>
                <w:sz w:val="24"/>
                <w:szCs w:val="24"/>
              </w:rPr>
              <w:t>IberiaBank</w:t>
            </w:r>
            <w:proofErr w:type="spellEnd"/>
            <w:r w:rsidRPr="00B978F1">
              <w:rPr>
                <w:sz w:val="24"/>
                <w:szCs w:val="24"/>
              </w:rPr>
              <w:t xml:space="preserve"> Corporation</w:t>
            </w:r>
          </w:p>
        </w:tc>
        <w:tc>
          <w:tcPr>
            <w:tcW w:w="0" w:type="auto"/>
            <w:hideMark/>
          </w:tcPr>
          <w:p w14:paraId="4D555AC7" w14:textId="77777777" w:rsidR="00B978F1" w:rsidRPr="00B978F1" w:rsidRDefault="00B978F1">
            <w:pPr>
              <w:rPr>
                <w:sz w:val="24"/>
                <w:szCs w:val="24"/>
              </w:rPr>
            </w:pPr>
            <w:r w:rsidRPr="00B978F1">
              <w:rPr>
                <w:sz w:val="24"/>
                <w:szCs w:val="24"/>
              </w:rPr>
              <w:t>3.9</w:t>
            </w:r>
          </w:p>
        </w:tc>
      </w:tr>
      <w:tr w:rsidR="00B978F1" w:rsidRPr="00B978F1" w14:paraId="17E4B192" w14:textId="77777777" w:rsidTr="00B978F1">
        <w:tc>
          <w:tcPr>
            <w:tcW w:w="0" w:type="auto"/>
            <w:hideMark/>
          </w:tcPr>
          <w:p w14:paraId="2FA73A80" w14:textId="77777777" w:rsidR="00B978F1" w:rsidRPr="00B978F1" w:rsidRDefault="00B978F1">
            <w:pPr>
              <w:rPr>
                <w:sz w:val="24"/>
                <w:szCs w:val="24"/>
              </w:rPr>
            </w:pPr>
            <w:r w:rsidRPr="00B978F1">
              <w:rPr>
                <w:sz w:val="24"/>
                <w:szCs w:val="24"/>
              </w:rPr>
              <w:t>2020</w:t>
            </w:r>
          </w:p>
        </w:tc>
        <w:tc>
          <w:tcPr>
            <w:tcW w:w="0" w:type="auto"/>
            <w:hideMark/>
          </w:tcPr>
          <w:p w14:paraId="3D7C0E6D" w14:textId="77777777" w:rsidR="00B978F1" w:rsidRPr="00B978F1" w:rsidRDefault="00B978F1">
            <w:pPr>
              <w:rPr>
                <w:sz w:val="24"/>
                <w:szCs w:val="24"/>
              </w:rPr>
            </w:pPr>
            <w:r w:rsidRPr="00B978F1">
              <w:rPr>
                <w:sz w:val="24"/>
                <w:szCs w:val="24"/>
              </w:rPr>
              <w:t>PNC Financial Services Group and BBVA USA</w:t>
            </w:r>
          </w:p>
        </w:tc>
        <w:tc>
          <w:tcPr>
            <w:tcW w:w="0" w:type="auto"/>
            <w:hideMark/>
          </w:tcPr>
          <w:p w14:paraId="5B4241D7" w14:textId="77777777" w:rsidR="00B978F1" w:rsidRPr="00B978F1" w:rsidRDefault="00B978F1">
            <w:pPr>
              <w:rPr>
                <w:sz w:val="24"/>
                <w:szCs w:val="24"/>
              </w:rPr>
            </w:pPr>
            <w:r w:rsidRPr="00B978F1">
              <w:rPr>
                <w:sz w:val="24"/>
                <w:szCs w:val="24"/>
              </w:rPr>
              <w:t>11.6</w:t>
            </w:r>
          </w:p>
        </w:tc>
      </w:tr>
      <w:tr w:rsidR="00B978F1" w:rsidRPr="00B978F1" w14:paraId="13A7F230" w14:textId="77777777" w:rsidTr="00B978F1">
        <w:tc>
          <w:tcPr>
            <w:tcW w:w="0" w:type="auto"/>
            <w:hideMark/>
          </w:tcPr>
          <w:p w14:paraId="3B7CE70F" w14:textId="77777777" w:rsidR="00B978F1" w:rsidRPr="00B978F1" w:rsidRDefault="00B978F1">
            <w:pPr>
              <w:rPr>
                <w:sz w:val="24"/>
                <w:szCs w:val="24"/>
              </w:rPr>
            </w:pPr>
            <w:r w:rsidRPr="00B978F1">
              <w:rPr>
                <w:sz w:val="24"/>
                <w:szCs w:val="24"/>
              </w:rPr>
              <w:t>2020</w:t>
            </w:r>
          </w:p>
        </w:tc>
        <w:tc>
          <w:tcPr>
            <w:tcW w:w="0" w:type="auto"/>
            <w:hideMark/>
          </w:tcPr>
          <w:p w14:paraId="41B90D0E" w14:textId="77777777" w:rsidR="00B978F1" w:rsidRPr="00B978F1" w:rsidRDefault="00B978F1">
            <w:pPr>
              <w:rPr>
                <w:sz w:val="24"/>
                <w:szCs w:val="24"/>
              </w:rPr>
            </w:pPr>
            <w:r w:rsidRPr="00B978F1">
              <w:rPr>
                <w:sz w:val="24"/>
                <w:szCs w:val="24"/>
              </w:rPr>
              <w:t>Huntington Bancshares and TCF Financial Corporation</w:t>
            </w:r>
          </w:p>
        </w:tc>
        <w:tc>
          <w:tcPr>
            <w:tcW w:w="0" w:type="auto"/>
            <w:hideMark/>
          </w:tcPr>
          <w:p w14:paraId="7336AD6C" w14:textId="77777777" w:rsidR="00B978F1" w:rsidRPr="00B978F1" w:rsidRDefault="00B978F1">
            <w:pPr>
              <w:rPr>
                <w:sz w:val="24"/>
                <w:szCs w:val="24"/>
              </w:rPr>
            </w:pPr>
            <w:r w:rsidRPr="00B978F1">
              <w:rPr>
                <w:sz w:val="24"/>
                <w:szCs w:val="24"/>
              </w:rPr>
              <w:t>6.0</w:t>
            </w:r>
          </w:p>
        </w:tc>
      </w:tr>
      <w:tr w:rsidR="00B978F1" w:rsidRPr="00B978F1" w14:paraId="63E705F3" w14:textId="77777777" w:rsidTr="00B978F1">
        <w:tc>
          <w:tcPr>
            <w:tcW w:w="0" w:type="auto"/>
            <w:hideMark/>
          </w:tcPr>
          <w:p w14:paraId="2D02C8EC" w14:textId="77777777" w:rsidR="00B978F1" w:rsidRPr="00B978F1" w:rsidRDefault="00B978F1">
            <w:pPr>
              <w:rPr>
                <w:sz w:val="24"/>
                <w:szCs w:val="24"/>
              </w:rPr>
            </w:pPr>
            <w:r w:rsidRPr="00B978F1">
              <w:rPr>
                <w:sz w:val="24"/>
                <w:szCs w:val="24"/>
              </w:rPr>
              <w:t>2021</w:t>
            </w:r>
          </w:p>
        </w:tc>
        <w:tc>
          <w:tcPr>
            <w:tcW w:w="0" w:type="auto"/>
            <w:hideMark/>
          </w:tcPr>
          <w:p w14:paraId="5EE2C306" w14:textId="77777777" w:rsidR="00B978F1" w:rsidRPr="00B978F1" w:rsidRDefault="00B978F1">
            <w:pPr>
              <w:rPr>
                <w:sz w:val="24"/>
                <w:szCs w:val="24"/>
              </w:rPr>
            </w:pPr>
            <w:r w:rsidRPr="00B978F1">
              <w:rPr>
                <w:sz w:val="24"/>
                <w:szCs w:val="24"/>
              </w:rPr>
              <w:t>M&amp;T Bank Corporation and People's United Financial, Inc.</w:t>
            </w:r>
          </w:p>
        </w:tc>
        <w:tc>
          <w:tcPr>
            <w:tcW w:w="0" w:type="auto"/>
            <w:hideMark/>
          </w:tcPr>
          <w:p w14:paraId="3C60AD59" w14:textId="77777777" w:rsidR="00B978F1" w:rsidRPr="00B978F1" w:rsidRDefault="00B978F1">
            <w:pPr>
              <w:rPr>
                <w:sz w:val="24"/>
                <w:szCs w:val="24"/>
              </w:rPr>
            </w:pPr>
            <w:r w:rsidRPr="00B978F1">
              <w:rPr>
                <w:sz w:val="24"/>
                <w:szCs w:val="24"/>
              </w:rPr>
              <w:t>7.6</w:t>
            </w:r>
          </w:p>
        </w:tc>
      </w:tr>
    </w:tbl>
    <w:p w14:paraId="40005B91" w14:textId="17A8795C" w:rsidR="00D2280E" w:rsidRDefault="00D2280E" w:rsidP="00B978F1">
      <w:pPr>
        <w:rPr>
          <w:sz w:val="24"/>
          <w:szCs w:val="24"/>
        </w:rPr>
      </w:pPr>
      <w:r>
        <w:rPr>
          <w:noProof/>
        </w:rPr>
        <w:drawing>
          <wp:inline distT="0" distB="0" distL="0" distR="0" wp14:anchorId="35447C8A" wp14:editId="52E5DD9E">
            <wp:extent cx="5715000" cy="3002280"/>
            <wp:effectExtent l="0" t="0" r="0" b="7620"/>
            <wp:docPr id="690133756" name="Chart 1">
              <a:extLst xmlns:a="http://schemas.openxmlformats.org/drawingml/2006/main">
                <a:ext uri="{FF2B5EF4-FFF2-40B4-BE49-F238E27FC236}">
                  <a16:creationId xmlns:a16="http://schemas.microsoft.com/office/drawing/2014/main" id="{97EEDEED-91BD-37D8-3EB5-0A2CEA1B90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BA90201" w14:textId="4FD1D5B5" w:rsidR="00B978F1" w:rsidRPr="00B978F1" w:rsidRDefault="00B978F1" w:rsidP="00B978F1">
      <w:pPr>
        <w:rPr>
          <w:sz w:val="24"/>
          <w:szCs w:val="24"/>
          <w:lang w:eastAsia="en-IN"/>
        </w:rPr>
      </w:pPr>
      <w:r w:rsidRPr="00B978F1">
        <w:rPr>
          <w:sz w:val="24"/>
          <w:szCs w:val="24"/>
        </w:rPr>
        <w:t xml:space="preserve">The top 5 largest mergers and acquisitions in the US banking system by deal value showcase significant strategic moves within the industry over recent years. In 2019, the merger between BB&amp;T Corporation and SunTrust Banks, Inc., valued at $28.1 billion, formed Truist Financial Corporation, creating one of the largest financial institutions in the country. This merger aimed to enhance competitive capabilities and market presence across a broader geographic footprint. Also in 2019, First Horizon National Corporation's acquisition of </w:t>
      </w:r>
      <w:proofErr w:type="spellStart"/>
      <w:r w:rsidRPr="00B978F1">
        <w:rPr>
          <w:sz w:val="24"/>
          <w:szCs w:val="24"/>
        </w:rPr>
        <w:t>IberiaBank</w:t>
      </w:r>
      <w:proofErr w:type="spellEnd"/>
      <w:r w:rsidRPr="00B978F1">
        <w:rPr>
          <w:sz w:val="24"/>
          <w:szCs w:val="24"/>
        </w:rPr>
        <w:t xml:space="preserve"> Corporation for $3.9 billion expanded its reach in the southeastern US, particularly in Louisiana. Moving to 2020, PNC Financial Services Group's $11.6 billion acquisition of BBVA USA significantly bolstered its operations, particularly in Texas and the southwestern states, strengthening its position as one of the largest regional banks nationwide. Similarly, Huntington Bancshares' $6.0 billion acquisition of TCF Financial Corporation in 2020 expanded its market share in the Midwest, contributing to its growth strategy in key regional markets. Lastly, in 2021, M&amp;T Bank Corporation's acquisition of People's United Financial, Inc., valued at $7.6 billion, aimed to enhance its presence in the Northeast and broaden its customer base. These transactions highlight the strategic importance of mergers and acquisitions in expanding market reach, enhancing competitive strength, and driving growth in the dynamic landscape of the US banking sector.</w:t>
      </w:r>
    </w:p>
    <w:p w14:paraId="7E056FA0" w14:textId="775736ED" w:rsidR="00964F90" w:rsidRPr="00964F90" w:rsidRDefault="00964F90" w:rsidP="006017FF">
      <w:pPr>
        <w:pStyle w:val="Heading1"/>
        <w:rPr>
          <w:rFonts w:eastAsia="Times New Roman"/>
          <w:lang w:eastAsia="en-IN"/>
        </w:rPr>
      </w:pPr>
      <w:r w:rsidRPr="00964F90">
        <w:rPr>
          <w:rFonts w:eastAsia="Times New Roman"/>
          <w:lang w:eastAsia="en-IN"/>
        </w:rPr>
        <w:lastRenderedPageBreak/>
        <w:t>Conclusion</w:t>
      </w:r>
    </w:p>
    <w:p w14:paraId="31983667" w14:textId="77777777" w:rsidR="00964F90" w:rsidRPr="00964F90" w:rsidRDefault="00964F90" w:rsidP="00964F90">
      <w:pPr>
        <w:spacing w:before="100" w:beforeAutospacing="1" w:after="100" w:afterAutospacing="1" w:line="240" w:lineRule="auto"/>
        <w:rPr>
          <w:rFonts w:eastAsia="Times New Roman" w:cs="Times New Roman"/>
          <w:kern w:val="0"/>
          <w:sz w:val="24"/>
          <w:szCs w:val="24"/>
          <w:lang w:eastAsia="en-IN"/>
          <w14:ligatures w14:val="none"/>
        </w:rPr>
      </w:pPr>
      <w:r w:rsidRPr="00964F90">
        <w:rPr>
          <w:rFonts w:eastAsia="Times New Roman" w:cs="Times New Roman"/>
          <w:kern w:val="0"/>
          <w:sz w:val="24"/>
          <w:szCs w:val="24"/>
          <w:lang w:eastAsia="en-IN"/>
          <w14:ligatures w14:val="none"/>
        </w:rPr>
        <w:t>Mergers and acquisitions are complex but essential components of corporate strategy, enabling companies to grow, diversify, and gain competitive advantages. Understanding the different types of mergers and acquisitions, the reasons behind them, and the key steps involved in the process is crucial for successful M&amp;A transactions. By effectively managing the associated risks and impacts, companies can achieve their strategic objectives and create value for their stakeholders.</w:t>
      </w:r>
    </w:p>
    <w:p w14:paraId="77B8DA11" w14:textId="77777777" w:rsidR="008A21E4" w:rsidRPr="00964F90" w:rsidRDefault="008A21E4">
      <w:pPr>
        <w:rPr>
          <w:sz w:val="24"/>
          <w:szCs w:val="24"/>
        </w:rPr>
      </w:pPr>
    </w:p>
    <w:sectPr w:rsidR="008A21E4" w:rsidRPr="00964F90" w:rsidSect="00D2280E">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D0306"/>
    <w:multiLevelType w:val="multilevel"/>
    <w:tmpl w:val="74B0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55606"/>
    <w:multiLevelType w:val="multilevel"/>
    <w:tmpl w:val="BFEC5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AB3F4B"/>
    <w:multiLevelType w:val="multilevel"/>
    <w:tmpl w:val="CA8A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C691A"/>
    <w:multiLevelType w:val="multilevel"/>
    <w:tmpl w:val="A5F4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16B67"/>
    <w:multiLevelType w:val="multilevel"/>
    <w:tmpl w:val="270A0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007793"/>
    <w:multiLevelType w:val="multilevel"/>
    <w:tmpl w:val="24B8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B74051"/>
    <w:multiLevelType w:val="multilevel"/>
    <w:tmpl w:val="2E9E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BA610E"/>
    <w:multiLevelType w:val="multilevel"/>
    <w:tmpl w:val="627C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DC0370"/>
    <w:multiLevelType w:val="multilevel"/>
    <w:tmpl w:val="3F6C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B84485"/>
    <w:multiLevelType w:val="multilevel"/>
    <w:tmpl w:val="E2AE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D11CB5"/>
    <w:multiLevelType w:val="multilevel"/>
    <w:tmpl w:val="0DA0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74639A"/>
    <w:multiLevelType w:val="multilevel"/>
    <w:tmpl w:val="CCD6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811703"/>
    <w:multiLevelType w:val="multilevel"/>
    <w:tmpl w:val="1C9C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C8320F"/>
    <w:multiLevelType w:val="multilevel"/>
    <w:tmpl w:val="49BC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0136162">
    <w:abstractNumId w:val="4"/>
  </w:num>
  <w:num w:numId="2" w16cid:durableId="1732775085">
    <w:abstractNumId w:val="5"/>
  </w:num>
  <w:num w:numId="3" w16cid:durableId="402264568">
    <w:abstractNumId w:val="11"/>
  </w:num>
  <w:num w:numId="4" w16cid:durableId="2045054154">
    <w:abstractNumId w:val="0"/>
  </w:num>
  <w:num w:numId="5" w16cid:durableId="872114762">
    <w:abstractNumId w:val="9"/>
  </w:num>
  <w:num w:numId="6" w16cid:durableId="825779231">
    <w:abstractNumId w:val="13"/>
  </w:num>
  <w:num w:numId="7" w16cid:durableId="286395339">
    <w:abstractNumId w:val="7"/>
  </w:num>
  <w:num w:numId="8" w16cid:durableId="877468418">
    <w:abstractNumId w:val="6"/>
  </w:num>
  <w:num w:numId="9" w16cid:durableId="81029663">
    <w:abstractNumId w:val="10"/>
  </w:num>
  <w:num w:numId="10" w16cid:durableId="1119761679">
    <w:abstractNumId w:val="12"/>
  </w:num>
  <w:num w:numId="11" w16cid:durableId="1457020671">
    <w:abstractNumId w:val="3"/>
  </w:num>
  <w:num w:numId="12" w16cid:durableId="320357959">
    <w:abstractNumId w:val="1"/>
  </w:num>
  <w:num w:numId="13" w16cid:durableId="2056926519">
    <w:abstractNumId w:val="8"/>
  </w:num>
  <w:num w:numId="14" w16cid:durableId="5798731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F90"/>
    <w:rsid w:val="005853DE"/>
    <w:rsid w:val="005B72AE"/>
    <w:rsid w:val="006017FF"/>
    <w:rsid w:val="0088182B"/>
    <w:rsid w:val="008A21E4"/>
    <w:rsid w:val="00964F90"/>
    <w:rsid w:val="00B978F1"/>
    <w:rsid w:val="00D2280E"/>
    <w:rsid w:val="00E602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EE5CA"/>
  <w15:chartTrackingRefBased/>
  <w15:docId w15:val="{54783B01-491F-45D4-9290-4D7AAE62F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F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4F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4F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64F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F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F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F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F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F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F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4F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4F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64F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F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F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F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F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F90"/>
    <w:rPr>
      <w:rFonts w:eastAsiaTheme="majorEastAsia" w:cstheme="majorBidi"/>
      <w:color w:val="272727" w:themeColor="text1" w:themeTint="D8"/>
    </w:rPr>
  </w:style>
  <w:style w:type="paragraph" w:styleId="Title">
    <w:name w:val="Title"/>
    <w:basedOn w:val="Normal"/>
    <w:next w:val="Normal"/>
    <w:link w:val="TitleChar"/>
    <w:uiPriority w:val="10"/>
    <w:qFormat/>
    <w:rsid w:val="00964F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F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F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F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F90"/>
    <w:pPr>
      <w:spacing w:before="160"/>
      <w:jc w:val="center"/>
    </w:pPr>
    <w:rPr>
      <w:i/>
      <w:iCs/>
      <w:color w:val="404040" w:themeColor="text1" w:themeTint="BF"/>
    </w:rPr>
  </w:style>
  <w:style w:type="character" w:customStyle="1" w:styleId="QuoteChar">
    <w:name w:val="Quote Char"/>
    <w:basedOn w:val="DefaultParagraphFont"/>
    <w:link w:val="Quote"/>
    <w:uiPriority w:val="29"/>
    <w:rsid w:val="00964F90"/>
    <w:rPr>
      <w:i/>
      <w:iCs/>
      <w:color w:val="404040" w:themeColor="text1" w:themeTint="BF"/>
    </w:rPr>
  </w:style>
  <w:style w:type="paragraph" w:styleId="ListParagraph">
    <w:name w:val="List Paragraph"/>
    <w:basedOn w:val="Normal"/>
    <w:uiPriority w:val="34"/>
    <w:qFormat/>
    <w:rsid w:val="00964F90"/>
    <w:pPr>
      <w:ind w:left="720"/>
      <w:contextualSpacing/>
    </w:pPr>
  </w:style>
  <w:style w:type="character" w:styleId="IntenseEmphasis">
    <w:name w:val="Intense Emphasis"/>
    <w:basedOn w:val="DefaultParagraphFont"/>
    <w:uiPriority w:val="21"/>
    <w:qFormat/>
    <w:rsid w:val="00964F90"/>
    <w:rPr>
      <w:i/>
      <w:iCs/>
      <w:color w:val="0F4761" w:themeColor="accent1" w:themeShade="BF"/>
    </w:rPr>
  </w:style>
  <w:style w:type="paragraph" w:styleId="IntenseQuote">
    <w:name w:val="Intense Quote"/>
    <w:basedOn w:val="Normal"/>
    <w:next w:val="Normal"/>
    <w:link w:val="IntenseQuoteChar"/>
    <w:uiPriority w:val="30"/>
    <w:qFormat/>
    <w:rsid w:val="00964F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F90"/>
    <w:rPr>
      <w:i/>
      <w:iCs/>
      <w:color w:val="0F4761" w:themeColor="accent1" w:themeShade="BF"/>
    </w:rPr>
  </w:style>
  <w:style w:type="character" w:styleId="IntenseReference">
    <w:name w:val="Intense Reference"/>
    <w:basedOn w:val="DefaultParagraphFont"/>
    <w:uiPriority w:val="32"/>
    <w:qFormat/>
    <w:rsid w:val="00964F90"/>
    <w:rPr>
      <w:b/>
      <w:bCs/>
      <w:smallCaps/>
      <w:color w:val="0F4761" w:themeColor="accent1" w:themeShade="BF"/>
      <w:spacing w:val="5"/>
    </w:rPr>
  </w:style>
  <w:style w:type="paragraph" w:styleId="NormalWeb">
    <w:name w:val="Normal (Web)"/>
    <w:basedOn w:val="Normal"/>
    <w:uiPriority w:val="99"/>
    <w:semiHidden/>
    <w:unhideWhenUsed/>
    <w:rsid w:val="00964F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64F90"/>
    <w:rPr>
      <w:b/>
      <w:bCs/>
    </w:rPr>
  </w:style>
  <w:style w:type="table" w:styleId="TableGrid">
    <w:name w:val="Table Grid"/>
    <w:basedOn w:val="TableNormal"/>
    <w:uiPriority w:val="39"/>
    <w:rsid w:val="00601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448370">
      <w:bodyDiv w:val="1"/>
      <w:marLeft w:val="0"/>
      <w:marRight w:val="0"/>
      <w:marTop w:val="0"/>
      <w:marBottom w:val="0"/>
      <w:divBdr>
        <w:top w:val="none" w:sz="0" w:space="0" w:color="auto"/>
        <w:left w:val="none" w:sz="0" w:space="0" w:color="auto"/>
        <w:bottom w:val="none" w:sz="0" w:space="0" w:color="auto"/>
        <w:right w:val="none" w:sz="0" w:space="0" w:color="auto"/>
      </w:divBdr>
    </w:div>
    <w:div w:id="400711305">
      <w:bodyDiv w:val="1"/>
      <w:marLeft w:val="0"/>
      <w:marRight w:val="0"/>
      <w:marTop w:val="0"/>
      <w:marBottom w:val="0"/>
      <w:divBdr>
        <w:top w:val="none" w:sz="0" w:space="0" w:color="auto"/>
        <w:left w:val="none" w:sz="0" w:space="0" w:color="auto"/>
        <w:bottom w:val="none" w:sz="0" w:space="0" w:color="auto"/>
        <w:right w:val="none" w:sz="0" w:space="0" w:color="auto"/>
      </w:divBdr>
    </w:div>
    <w:div w:id="589310290">
      <w:bodyDiv w:val="1"/>
      <w:marLeft w:val="0"/>
      <w:marRight w:val="0"/>
      <w:marTop w:val="0"/>
      <w:marBottom w:val="0"/>
      <w:divBdr>
        <w:top w:val="none" w:sz="0" w:space="0" w:color="auto"/>
        <w:left w:val="none" w:sz="0" w:space="0" w:color="auto"/>
        <w:bottom w:val="none" w:sz="0" w:space="0" w:color="auto"/>
        <w:right w:val="none" w:sz="0" w:space="0" w:color="auto"/>
      </w:divBdr>
    </w:div>
    <w:div w:id="777603364">
      <w:bodyDiv w:val="1"/>
      <w:marLeft w:val="0"/>
      <w:marRight w:val="0"/>
      <w:marTop w:val="0"/>
      <w:marBottom w:val="0"/>
      <w:divBdr>
        <w:top w:val="none" w:sz="0" w:space="0" w:color="auto"/>
        <w:left w:val="none" w:sz="0" w:space="0" w:color="auto"/>
        <w:bottom w:val="none" w:sz="0" w:space="0" w:color="auto"/>
        <w:right w:val="none" w:sz="0" w:space="0" w:color="auto"/>
      </w:divBdr>
    </w:div>
    <w:div w:id="780223391">
      <w:bodyDiv w:val="1"/>
      <w:marLeft w:val="0"/>
      <w:marRight w:val="0"/>
      <w:marTop w:val="0"/>
      <w:marBottom w:val="0"/>
      <w:divBdr>
        <w:top w:val="none" w:sz="0" w:space="0" w:color="auto"/>
        <w:left w:val="none" w:sz="0" w:space="0" w:color="auto"/>
        <w:bottom w:val="none" w:sz="0" w:space="0" w:color="auto"/>
        <w:right w:val="none" w:sz="0" w:space="0" w:color="auto"/>
      </w:divBdr>
    </w:div>
    <w:div w:id="1635713246">
      <w:bodyDiv w:val="1"/>
      <w:marLeft w:val="0"/>
      <w:marRight w:val="0"/>
      <w:marTop w:val="0"/>
      <w:marBottom w:val="0"/>
      <w:divBdr>
        <w:top w:val="none" w:sz="0" w:space="0" w:color="auto"/>
        <w:left w:val="none" w:sz="0" w:space="0" w:color="auto"/>
        <w:bottom w:val="none" w:sz="0" w:space="0" w:color="auto"/>
        <w:right w:val="none" w:sz="0" w:space="0" w:color="auto"/>
      </w:divBdr>
    </w:div>
    <w:div w:id="209728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Investment Banking Revenue by Type of Client (in $ billions)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Sheet1!$B$3</c:f>
              <c:strCache>
                <c:ptCount val="1"/>
                <c:pt idx="0">
                  <c:v>Corporate Clients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Sheet1!$A$4:$A$7</c:f>
              <c:numCache>
                <c:formatCode>General</c:formatCode>
                <c:ptCount val="4"/>
                <c:pt idx="0">
                  <c:v>2019</c:v>
                </c:pt>
                <c:pt idx="1">
                  <c:v>2020</c:v>
                </c:pt>
                <c:pt idx="2">
                  <c:v>2021</c:v>
                </c:pt>
                <c:pt idx="3">
                  <c:v>2022</c:v>
                </c:pt>
              </c:numCache>
            </c:numRef>
          </c:cat>
          <c:val>
            <c:numRef>
              <c:f>Sheet1!$B$4:$B$7</c:f>
              <c:numCache>
                <c:formatCode>General</c:formatCode>
                <c:ptCount val="4"/>
                <c:pt idx="0">
                  <c:v>80</c:v>
                </c:pt>
                <c:pt idx="1">
                  <c:v>90</c:v>
                </c:pt>
                <c:pt idx="2">
                  <c:v>110</c:v>
                </c:pt>
                <c:pt idx="3">
                  <c:v>100</c:v>
                </c:pt>
              </c:numCache>
            </c:numRef>
          </c:val>
          <c:extLst>
            <c:ext xmlns:c16="http://schemas.microsoft.com/office/drawing/2014/chart" uri="{C3380CC4-5D6E-409C-BE32-E72D297353CC}">
              <c16:uniqueId val="{00000000-A7FB-4B0E-8607-10912A93BEF5}"/>
            </c:ext>
          </c:extLst>
        </c:ser>
        <c:ser>
          <c:idx val="1"/>
          <c:order val="1"/>
          <c:tx>
            <c:strRef>
              <c:f>Sheet1!$C$3</c:f>
              <c:strCache>
                <c:ptCount val="1"/>
                <c:pt idx="0">
                  <c:v>Institutional Clients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Sheet1!$A$4:$A$7</c:f>
              <c:numCache>
                <c:formatCode>General</c:formatCode>
                <c:ptCount val="4"/>
                <c:pt idx="0">
                  <c:v>2019</c:v>
                </c:pt>
                <c:pt idx="1">
                  <c:v>2020</c:v>
                </c:pt>
                <c:pt idx="2">
                  <c:v>2021</c:v>
                </c:pt>
                <c:pt idx="3">
                  <c:v>2022</c:v>
                </c:pt>
              </c:numCache>
            </c:numRef>
          </c:cat>
          <c:val>
            <c:numRef>
              <c:f>Sheet1!$C$4:$C$7</c:f>
              <c:numCache>
                <c:formatCode>General</c:formatCode>
                <c:ptCount val="4"/>
                <c:pt idx="0">
                  <c:v>45</c:v>
                </c:pt>
                <c:pt idx="1">
                  <c:v>48</c:v>
                </c:pt>
                <c:pt idx="2">
                  <c:v>55</c:v>
                </c:pt>
                <c:pt idx="3">
                  <c:v>47</c:v>
                </c:pt>
              </c:numCache>
            </c:numRef>
          </c:val>
          <c:extLst>
            <c:ext xmlns:c16="http://schemas.microsoft.com/office/drawing/2014/chart" uri="{C3380CC4-5D6E-409C-BE32-E72D297353CC}">
              <c16:uniqueId val="{00000001-A7FB-4B0E-8607-10912A93BEF5}"/>
            </c:ext>
          </c:extLst>
        </c:ser>
        <c:ser>
          <c:idx val="2"/>
          <c:order val="2"/>
          <c:tx>
            <c:strRef>
              <c:f>Sheet1!$D$3</c:f>
              <c:strCache>
                <c:ptCount val="1"/>
                <c:pt idx="0">
                  <c:v>Government Clients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Sheet1!$A$4:$A$7</c:f>
              <c:numCache>
                <c:formatCode>General</c:formatCode>
                <c:ptCount val="4"/>
                <c:pt idx="0">
                  <c:v>2019</c:v>
                </c:pt>
                <c:pt idx="1">
                  <c:v>2020</c:v>
                </c:pt>
                <c:pt idx="2">
                  <c:v>2021</c:v>
                </c:pt>
                <c:pt idx="3">
                  <c:v>2022</c:v>
                </c:pt>
              </c:numCache>
            </c:numRef>
          </c:cat>
          <c:val>
            <c:numRef>
              <c:f>Sheet1!$D$4:$D$7</c:f>
              <c:numCache>
                <c:formatCode>General</c:formatCode>
                <c:ptCount val="4"/>
                <c:pt idx="0">
                  <c:v>14</c:v>
                </c:pt>
                <c:pt idx="1">
                  <c:v>8.3000000000000007</c:v>
                </c:pt>
                <c:pt idx="2">
                  <c:v>13.7</c:v>
                </c:pt>
                <c:pt idx="3">
                  <c:v>10.4</c:v>
                </c:pt>
              </c:numCache>
            </c:numRef>
          </c:val>
          <c:extLst>
            <c:ext xmlns:c16="http://schemas.microsoft.com/office/drawing/2014/chart" uri="{C3380CC4-5D6E-409C-BE32-E72D297353CC}">
              <c16:uniqueId val="{00000002-A7FB-4B0E-8607-10912A93BEF5}"/>
            </c:ext>
          </c:extLst>
        </c:ser>
        <c:dLbls>
          <c:dLblPos val="outEnd"/>
          <c:showLegendKey val="0"/>
          <c:showVal val="1"/>
          <c:showCatName val="0"/>
          <c:showSerName val="0"/>
          <c:showPercent val="0"/>
          <c:showBubbleSize val="0"/>
        </c:dLbls>
        <c:gapWidth val="219"/>
        <c:overlap val="-27"/>
        <c:axId val="707415392"/>
        <c:axId val="707385632"/>
      </c:barChart>
      <c:catAx>
        <c:axId val="707415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385632"/>
        <c:crosses val="autoZero"/>
        <c:auto val="1"/>
        <c:lblAlgn val="ctr"/>
        <c:lblOffset val="100"/>
        <c:noMultiLvlLbl val="0"/>
      </c:catAx>
      <c:valAx>
        <c:axId val="707385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415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Trading Revenue by Product (in $ billions) </a:t>
            </a:r>
            <a:endParaRPr lang="en-IN"/>
          </a:p>
        </c:rich>
      </c:tx>
      <c:layout>
        <c:manualLayout>
          <c:xMode val="edge"/>
          <c:yMode val="edge"/>
          <c:x val="0.17499999999999999"/>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Sheet2!$A$4</c:f>
              <c:strCache>
                <c:ptCount val="1"/>
                <c:pt idx="0">
                  <c:v>2019</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Sheet2!$B$3:$E$3</c:f>
              <c:strCache>
                <c:ptCount val="4"/>
                <c:pt idx="0">
                  <c:v>Equities</c:v>
                </c:pt>
                <c:pt idx="1">
                  <c:v>Fixed Income</c:v>
                </c:pt>
                <c:pt idx="2">
                  <c:v>Commodities</c:v>
                </c:pt>
                <c:pt idx="3">
                  <c:v>Currencies</c:v>
                </c:pt>
              </c:strCache>
            </c:strRef>
          </c:cat>
          <c:val>
            <c:numRef>
              <c:f>Sheet2!$B$4:$E$4</c:f>
              <c:numCache>
                <c:formatCode>General</c:formatCode>
                <c:ptCount val="4"/>
                <c:pt idx="0">
                  <c:v>25.3</c:v>
                </c:pt>
                <c:pt idx="1">
                  <c:v>18.399999999999999</c:v>
                </c:pt>
                <c:pt idx="2">
                  <c:v>3.6</c:v>
                </c:pt>
                <c:pt idx="3">
                  <c:v>2.8</c:v>
                </c:pt>
              </c:numCache>
            </c:numRef>
          </c:val>
          <c:extLst>
            <c:ext xmlns:c16="http://schemas.microsoft.com/office/drawing/2014/chart" uri="{C3380CC4-5D6E-409C-BE32-E72D297353CC}">
              <c16:uniqueId val="{00000000-6844-4429-9713-8CA08085ACC4}"/>
            </c:ext>
          </c:extLst>
        </c:ser>
        <c:ser>
          <c:idx val="1"/>
          <c:order val="1"/>
          <c:tx>
            <c:strRef>
              <c:f>Sheet2!$A$5</c:f>
              <c:strCache>
                <c:ptCount val="1"/>
                <c:pt idx="0">
                  <c:v>2020</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Sheet2!$B$3:$E$3</c:f>
              <c:strCache>
                <c:ptCount val="4"/>
                <c:pt idx="0">
                  <c:v>Equities</c:v>
                </c:pt>
                <c:pt idx="1">
                  <c:v>Fixed Income</c:v>
                </c:pt>
                <c:pt idx="2">
                  <c:v>Commodities</c:v>
                </c:pt>
                <c:pt idx="3">
                  <c:v>Currencies</c:v>
                </c:pt>
              </c:strCache>
            </c:strRef>
          </c:cat>
          <c:val>
            <c:numRef>
              <c:f>Sheet2!$B$5:$E$5</c:f>
              <c:numCache>
                <c:formatCode>General</c:formatCode>
                <c:ptCount val="4"/>
                <c:pt idx="0">
                  <c:v>22.1</c:v>
                </c:pt>
                <c:pt idx="1">
                  <c:v>15.7</c:v>
                </c:pt>
                <c:pt idx="2">
                  <c:v>3.2</c:v>
                </c:pt>
                <c:pt idx="3">
                  <c:v>2.5</c:v>
                </c:pt>
              </c:numCache>
            </c:numRef>
          </c:val>
          <c:extLst>
            <c:ext xmlns:c16="http://schemas.microsoft.com/office/drawing/2014/chart" uri="{C3380CC4-5D6E-409C-BE32-E72D297353CC}">
              <c16:uniqueId val="{00000001-6844-4429-9713-8CA08085ACC4}"/>
            </c:ext>
          </c:extLst>
        </c:ser>
        <c:ser>
          <c:idx val="2"/>
          <c:order val="2"/>
          <c:tx>
            <c:strRef>
              <c:f>Sheet2!$A$6</c:f>
              <c:strCache>
                <c:ptCount val="1"/>
                <c:pt idx="0">
                  <c:v>2021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Sheet2!$B$3:$E$3</c:f>
              <c:strCache>
                <c:ptCount val="4"/>
                <c:pt idx="0">
                  <c:v>Equities</c:v>
                </c:pt>
                <c:pt idx="1">
                  <c:v>Fixed Income</c:v>
                </c:pt>
                <c:pt idx="2">
                  <c:v>Commodities</c:v>
                </c:pt>
                <c:pt idx="3">
                  <c:v>Currencies</c:v>
                </c:pt>
              </c:strCache>
            </c:strRef>
          </c:cat>
          <c:val>
            <c:numRef>
              <c:f>Sheet2!$B$6:$E$6</c:f>
              <c:numCache>
                <c:formatCode>General</c:formatCode>
                <c:ptCount val="4"/>
                <c:pt idx="0">
                  <c:v>30.5</c:v>
                </c:pt>
                <c:pt idx="1">
                  <c:v>21.8</c:v>
                </c:pt>
                <c:pt idx="2">
                  <c:v>4.0999999999999996</c:v>
                </c:pt>
                <c:pt idx="3">
                  <c:v>3.9</c:v>
                </c:pt>
              </c:numCache>
            </c:numRef>
          </c:val>
          <c:extLst>
            <c:ext xmlns:c16="http://schemas.microsoft.com/office/drawing/2014/chart" uri="{C3380CC4-5D6E-409C-BE32-E72D297353CC}">
              <c16:uniqueId val="{00000002-6844-4429-9713-8CA08085ACC4}"/>
            </c:ext>
          </c:extLst>
        </c:ser>
        <c:ser>
          <c:idx val="3"/>
          <c:order val="3"/>
          <c:tx>
            <c:strRef>
              <c:f>Sheet2!$A$7</c:f>
              <c:strCache>
                <c:ptCount val="1"/>
                <c:pt idx="0">
                  <c:v>2022</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Sheet2!$B$3:$E$3</c:f>
              <c:strCache>
                <c:ptCount val="4"/>
                <c:pt idx="0">
                  <c:v>Equities</c:v>
                </c:pt>
                <c:pt idx="1">
                  <c:v>Fixed Income</c:v>
                </c:pt>
                <c:pt idx="2">
                  <c:v>Commodities</c:v>
                </c:pt>
                <c:pt idx="3">
                  <c:v>Currencies</c:v>
                </c:pt>
              </c:strCache>
            </c:strRef>
          </c:cat>
          <c:val>
            <c:numRef>
              <c:f>Sheet2!$B$7:$E$7</c:f>
              <c:numCache>
                <c:formatCode>General</c:formatCode>
                <c:ptCount val="4"/>
                <c:pt idx="0">
                  <c:v>27.2</c:v>
                </c:pt>
                <c:pt idx="1">
                  <c:v>19.399999999999999</c:v>
                </c:pt>
                <c:pt idx="2">
                  <c:v>3.8</c:v>
                </c:pt>
                <c:pt idx="3">
                  <c:v>3.3</c:v>
                </c:pt>
              </c:numCache>
            </c:numRef>
          </c:val>
          <c:extLst>
            <c:ext xmlns:c16="http://schemas.microsoft.com/office/drawing/2014/chart" uri="{C3380CC4-5D6E-409C-BE32-E72D297353CC}">
              <c16:uniqueId val="{00000003-6844-4429-9713-8CA08085ACC4}"/>
            </c:ext>
          </c:extLst>
        </c:ser>
        <c:dLbls>
          <c:dLblPos val="outEnd"/>
          <c:showLegendKey val="0"/>
          <c:showVal val="1"/>
          <c:showCatName val="0"/>
          <c:showSerName val="0"/>
          <c:showPercent val="0"/>
          <c:showBubbleSize val="0"/>
        </c:dLbls>
        <c:gapWidth val="182"/>
        <c:axId val="615671679"/>
        <c:axId val="615674559"/>
      </c:barChart>
      <c:catAx>
        <c:axId val="61567167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674559"/>
        <c:crosses val="autoZero"/>
        <c:auto val="1"/>
        <c:lblAlgn val="ctr"/>
        <c:lblOffset val="100"/>
        <c:noMultiLvlLbl val="0"/>
      </c:catAx>
      <c:valAx>
        <c:axId val="61567455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6716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Average Deal Size of Mergers and Acquisitions in US Banking System (in $ millions)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Sheet3!$B$3</c:f>
              <c:strCache>
                <c:ptCount val="1"/>
                <c:pt idx="0">
                  <c:v>Average Deal Size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Sheet3!$A$4:$A$7</c:f>
              <c:numCache>
                <c:formatCode>General</c:formatCode>
                <c:ptCount val="4"/>
                <c:pt idx="0">
                  <c:v>2019</c:v>
                </c:pt>
                <c:pt idx="1">
                  <c:v>2020</c:v>
                </c:pt>
                <c:pt idx="2">
                  <c:v>2021</c:v>
                </c:pt>
                <c:pt idx="3">
                  <c:v>2022</c:v>
                </c:pt>
              </c:numCache>
            </c:numRef>
          </c:cat>
          <c:val>
            <c:numRef>
              <c:f>Sheet3!$B$4:$B$7</c:f>
              <c:numCache>
                <c:formatCode>General</c:formatCode>
                <c:ptCount val="4"/>
                <c:pt idx="0">
                  <c:v>158.69999999999999</c:v>
                </c:pt>
                <c:pt idx="1">
                  <c:v>156</c:v>
                </c:pt>
                <c:pt idx="2">
                  <c:v>180</c:v>
                </c:pt>
                <c:pt idx="3">
                  <c:v>155.30000000000001</c:v>
                </c:pt>
              </c:numCache>
            </c:numRef>
          </c:val>
          <c:extLst>
            <c:ext xmlns:c16="http://schemas.microsoft.com/office/drawing/2014/chart" uri="{C3380CC4-5D6E-409C-BE32-E72D297353CC}">
              <c16:uniqueId val="{00000000-FBCC-4596-BB98-D06B9D045B9A}"/>
            </c:ext>
          </c:extLst>
        </c:ser>
        <c:dLbls>
          <c:dLblPos val="outEnd"/>
          <c:showLegendKey val="0"/>
          <c:showVal val="1"/>
          <c:showCatName val="0"/>
          <c:showSerName val="0"/>
          <c:showPercent val="0"/>
          <c:showBubbleSize val="0"/>
        </c:dLbls>
        <c:gapWidth val="219"/>
        <c:overlap val="-27"/>
        <c:axId val="799228032"/>
        <c:axId val="799230912"/>
      </c:barChart>
      <c:catAx>
        <c:axId val="799228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230912"/>
        <c:crosses val="autoZero"/>
        <c:auto val="1"/>
        <c:lblAlgn val="ctr"/>
        <c:lblOffset val="100"/>
        <c:noMultiLvlLbl val="0"/>
      </c:catAx>
      <c:valAx>
        <c:axId val="799230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228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Top 5 Largest Mergers and Acquisitions in US Banking System (by Deal Value, in $ billions)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Sheet4!$C$3</c:f>
              <c:strCache>
                <c:ptCount val="1"/>
                <c:pt idx="0">
                  <c:v>Deal Value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Sheet4!$B$4:$B$8</c:f>
              <c:strCache>
                <c:ptCount val="5"/>
                <c:pt idx="0">
                  <c:v>BB&amp;T Corporation and SunTrust Banks, Inc.</c:v>
                </c:pt>
                <c:pt idx="1">
                  <c:v>First Horizon National Corporation and IberiaBank Corporation</c:v>
                </c:pt>
                <c:pt idx="2">
                  <c:v>PNC Financial Services Group and BBVA USA</c:v>
                </c:pt>
                <c:pt idx="3">
                  <c:v>Huntington Bancshares and TCF Financial Corporation</c:v>
                </c:pt>
                <c:pt idx="4">
                  <c:v>M&amp;T Bank Corporation and People's United Financial, Inc.</c:v>
                </c:pt>
              </c:strCache>
              <c:extLst/>
            </c:strRef>
          </c:cat>
          <c:val>
            <c:numRef>
              <c:f>Sheet4!$C$4:$C$8</c:f>
              <c:numCache>
                <c:formatCode>General</c:formatCode>
                <c:ptCount val="5"/>
                <c:pt idx="0">
                  <c:v>28.1</c:v>
                </c:pt>
                <c:pt idx="1">
                  <c:v>3.9</c:v>
                </c:pt>
                <c:pt idx="2">
                  <c:v>11.6</c:v>
                </c:pt>
                <c:pt idx="3">
                  <c:v>6</c:v>
                </c:pt>
                <c:pt idx="4">
                  <c:v>7.6</c:v>
                </c:pt>
              </c:numCache>
            </c:numRef>
          </c:val>
          <c:extLst>
            <c:ext xmlns:c16="http://schemas.microsoft.com/office/drawing/2014/chart" uri="{C3380CC4-5D6E-409C-BE32-E72D297353CC}">
              <c16:uniqueId val="{00000000-3199-4FB2-87EB-9ACB24297C31}"/>
            </c:ext>
          </c:extLst>
        </c:ser>
        <c:dLbls>
          <c:dLblPos val="outEnd"/>
          <c:showLegendKey val="0"/>
          <c:showVal val="1"/>
          <c:showCatName val="0"/>
          <c:showSerName val="0"/>
          <c:showPercent val="0"/>
          <c:showBubbleSize val="0"/>
        </c:dLbls>
        <c:gapWidth val="219"/>
        <c:overlap val="-27"/>
        <c:axId val="615665439"/>
        <c:axId val="615672639"/>
      </c:barChart>
      <c:catAx>
        <c:axId val="6156654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672639"/>
        <c:crosses val="autoZero"/>
        <c:auto val="1"/>
        <c:lblAlgn val="ctr"/>
        <c:lblOffset val="100"/>
        <c:noMultiLvlLbl val="0"/>
      </c:catAx>
      <c:valAx>
        <c:axId val="615672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6654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12</Pages>
  <Words>3235</Words>
  <Characters>18441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1</cp:revision>
  <dcterms:created xsi:type="dcterms:W3CDTF">2024-07-12T06:22:00Z</dcterms:created>
  <dcterms:modified xsi:type="dcterms:W3CDTF">2024-07-12T07:17:00Z</dcterms:modified>
</cp:coreProperties>
</file>