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6B59" w14:textId="08ABCD21" w:rsidR="007B72D8" w:rsidRDefault="00805FF4" w:rsidP="00805FF4">
      <w:pPr>
        <w:pStyle w:val="Heading1"/>
        <w:jc w:val="center"/>
      </w:pPr>
      <w:r w:rsidRPr="00805FF4">
        <w:t>BANKING SYSTEM GLOBALIZATION IN U.S. BANKING</w:t>
      </w:r>
    </w:p>
    <w:p w14:paraId="3032D56A" w14:textId="41E917DF" w:rsidR="007B72D8" w:rsidRDefault="007B72D8" w:rsidP="007B72D8">
      <w:pPr>
        <w:rPr>
          <w:sz w:val="24"/>
          <w:szCs w:val="24"/>
        </w:rPr>
      </w:pPr>
      <w:r w:rsidRPr="00805FF4">
        <w:rPr>
          <w:sz w:val="24"/>
          <w:szCs w:val="24"/>
        </w:rPr>
        <w:t>Globalization in the U.S. banking system involves expanding operations beyond domestic borders to engage in international markets. This expansion requires various strategies, comes with several challenges and risks, and offers both advantages and disadvantages. Here’s a detailed examination of each aspect:</w:t>
      </w:r>
    </w:p>
    <w:p w14:paraId="6C7A9DEC" w14:textId="593A7FF4" w:rsidR="008C3B6A" w:rsidRDefault="008C3B6A" w:rsidP="007B72D8">
      <w:pPr>
        <w:rPr>
          <w:sz w:val="24"/>
          <w:szCs w:val="24"/>
        </w:rPr>
      </w:pPr>
      <w:r>
        <w:rPr>
          <w:sz w:val="24"/>
          <w:szCs w:val="24"/>
        </w:rPr>
        <w:t>D</w:t>
      </w:r>
      <w:r w:rsidRPr="008C3B6A">
        <w:rPr>
          <w:sz w:val="24"/>
          <w:szCs w:val="24"/>
        </w:rPr>
        <w:t>ata points related to Banking System Globalization in U.S. Banking:</w:t>
      </w:r>
    </w:p>
    <w:tbl>
      <w:tblPr>
        <w:tblStyle w:val="ListTable3"/>
        <w:tblW w:w="9358" w:type="dxa"/>
        <w:tblLook w:val="04A0" w:firstRow="1" w:lastRow="0" w:firstColumn="1" w:lastColumn="0" w:noHBand="0" w:noVBand="1"/>
      </w:tblPr>
      <w:tblGrid>
        <w:gridCol w:w="4851"/>
        <w:gridCol w:w="4507"/>
      </w:tblGrid>
      <w:tr w:rsidR="00C777F9" w:rsidRPr="008C3B6A" w14:paraId="0C49745C" w14:textId="77777777" w:rsidTr="00C777F9">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4851" w:type="dxa"/>
            <w:noWrap/>
            <w:hideMark/>
          </w:tcPr>
          <w:p w14:paraId="474F3EC6" w14:textId="77777777" w:rsidR="008C3B6A" w:rsidRPr="008C3B6A" w:rsidRDefault="008C3B6A">
            <w:pPr>
              <w:rPr>
                <w:sz w:val="24"/>
                <w:szCs w:val="24"/>
              </w:rPr>
            </w:pPr>
            <w:r w:rsidRPr="008C3B6A">
              <w:rPr>
                <w:sz w:val="24"/>
                <w:szCs w:val="24"/>
              </w:rPr>
              <w:t>Data Point</w:t>
            </w:r>
          </w:p>
        </w:tc>
        <w:tc>
          <w:tcPr>
            <w:tcW w:w="4507" w:type="dxa"/>
            <w:noWrap/>
            <w:hideMark/>
          </w:tcPr>
          <w:p w14:paraId="46281F66" w14:textId="77777777" w:rsidR="008C3B6A" w:rsidRPr="008C3B6A" w:rsidRDefault="008C3B6A">
            <w:pPr>
              <w:cnfStyle w:val="100000000000" w:firstRow="1" w:lastRow="0" w:firstColumn="0" w:lastColumn="0" w:oddVBand="0" w:evenVBand="0" w:oddHBand="0" w:evenHBand="0" w:firstRowFirstColumn="0" w:firstRowLastColumn="0" w:lastRowFirstColumn="0" w:lastRowLastColumn="0"/>
              <w:rPr>
                <w:sz w:val="24"/>
                <w:szCs w:val="24"/>
              </w:rPr>
            </w:pPr>
            <w:r w:rsidRPr="008C3B6A">
              <w:rPr>
                <w:sz w:val="24"/>
                <w:szCs w:val="24"/>
              </w:rPr>
              <w:t>Value/Statistic</w:t>
            </w:r>
          </w:p>
        </w:tc>
      </w:tr>
      <w:tr w:rsidR="00C777F9" w:rsidRPr="008C3B6A" w14:paraId="1F7E985C"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79019AE6" w14:textId="77777777" w:rsidR="008C3B6A" w:rsidRPr="008C3B6A" w:rsidRDefault="008C3B6A">
            <w:pPr>
              <w:rPr>
                <w:sz w:val="24"/>
                <w:szCs w:val="24"/>
              </w:rPr>
            </w:pPr>
            <w:r w:rsidRPr="008C3B6A">
              <w:rPr>
                <w:sz w:val="24"/>
                <w:szCs w:val="24"/>
              </w:rPr>
              <w:t>Number of Countries Operated by Citibank</w:t>
            </w:r>
          </w:p>
        </w:tc>
        <w:tc>
          <w:tcPr>
            <w:tcW w:w="4507" w:type="dxa"/>
            <w:noWrap/>
            <w:hideMark/>
          </w:tcPr>
          <w:p w14:paraId="4DA07392"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Over 100</w:t>
            </w:r>
          </w:p>
        </w:tc>
      </w:tr>
      <w:tr w:rsidR="00C777F9" w:rsidRPr="008C3B6A" w14:paraId="3EFE89D3"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56A7BF9C" w14:textId="77777777" w:rsidR="008C3B6A" w:rsidRPr="008C3B6A" w:rsidRDefault="008C3B6A">
            <w:pPr>
              <w:rPr>
                <w:sz w:val="24"/>
                <w:szCs w:val="24"/>
              </w:rPr>
            </w:pPr>
            <w:r w:rsidRPr="008C3B6A">
              <w:rPr>
                <w:sz w:val="24"/>
                <w:szCs w:val="24"/>
              </w:rPr>
              <w:t>Number of Countries Operated by JPMorgan Chase</w:t>
            </w:r>
          </w:p>
        </w:tc>
        <w:tc>
          <w:tcPr>
            <w:tcW w:w="4507" w:type="dxa"/>
            <w:noWrap/>
            <w:hideMark/>
          </w:tcPr>
          <w:p w14:paraId="7C6EBABB"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Over 60</w:t>
            </w:r>
          </w:p>
        </w:tc>
      </w:tr>
      <w:tr w:rsidR="00C777F9" w:rsidRPr="008C3B6A" w14:paraId="0AEAB58F"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45FA4116" w14:textId="77777777" w:rsidR="008C3B6A" w:rsidRPr="008C3B6A" w:rsidRDefault="008C3B6A">
            <w:pPr>
              <w:rPr>
                <w:sz w:val="24"/>
                <w:szCs w:val="24"/>
              </w:rPr>
            </w:pPr>
            <w:r w:rsidRPr="008C3B6A">
              <w:rPr>
                <w:sz w:val="24"/>
                <w:szCs w:val="24"/>
              </w:rPr>
              <w:t>Number of Countries Operated by Bank of America</w:t>
            </w:r>
          </w:p>
        </w:tc>
        <w:tc>
          <w:tcPr>
            <w:tcW w:w="4507" w:type="dxa"/>
            <w:noWrap/>
            <w:hideMark/>
          </w:tcPr>
          <w:p w14:paraId="2C9FD63D" w14:textId="49A51EA1"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 xml:space="preserve">Presence in </w:t>
            </w:r>
            <w:r w:rsidR="0045511A" w:rsidRPr="008C3B6A">
              <w:rPr>
                <w:sz w:val="24"/>
                <w:szCs w:val="24"/>
              </w:rPr>
              <w:t>Europe, Asia</w:t>
            </w:r>
            <w:r w:rsidRPr="008C3B6A">
              <w:rPr>
                <w:sz w:val="24"/>
                <w:szCs w:val="24"/>
              </w:rPr>
              <w:t xml:space="preserve"> and Latin America</w:t>
            </w:r>
          </w:p>
        </w:tc>
      </w:tr>
      <w:tr w:rsidR="00C777F9" w:rsidRPr="008C3B6A" w14:paraId="47FFF629"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6943E8CB" w14:textId="77777777" w:rsidR="008C3B6A" w:rsidRPr="008C3B6A" w:rsidRDefault="008C3B6A">
            <w:pPr>
              <w:rPr>
                <w:sz w:val="24"/>
                <w:szCs w:val="24"/>
              </w:rPr>
            </w:pPr>
            <w:r w:rsidRPr="008C3B6A">
              <w:rPr>
                <w:sz w:val="24"/>
                <w:szCs w:val="24"/>
              </w:rPr>
              <w:t>Revenue from International Operations (Citibank)</w:t>
            </w:r>
          </w:p>
        </w:tc>
        <w:tc>
          <w:tcPr>
            <w:tcW w:w="4507" w:type="dxa"/>
            <w:noWrap/>
            <w:hideMark/>
          </w:tcPr>
          <w:p w14:paraId="6D469646"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Approximately 41% of total revenue (2020)</w:t>
            </w:r>
          </w:p>
        </w:tc>
      </w:tr>
      <w:tr w:rsidR="00C777F9" w:rsidRPr="008C3B6A" w14:paraId="2513AABF"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4193711D" w14:textId="77777777" w:rsidR="008C3B6A" w:rsidRPr="008C3B6A" w:rsidRDefault="008C3B6A">
            <w:pPr>
              <w:rPr>
                <w:sz w:val="24"/>
                <w:szCs w:val="24"/>
              </w:rPr>
            </w:pPr>
            <w:r w:rsidRPr="008C3B6A">
              <w:rPr>
                <w:sz w:val="24"/>
                <w:szCs w:val="24"/>
              </w:rPr>
              <w:t>Revenue from International Operations (JPMorgan Chase)</w:t>
            </w:r>
          </w:p>
        </w:tc>
        <w:tc>
          <w:tcPr>
            <w:tcW w:w="4507" w:type="dxa"/>
            <w:noWrap/>
            <w:hideMark/>
          </w:tcPr>
          <w:p w14:paraId="506746CB" w14:textId="26BC2B16"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 xml:space="preserve">$36.4 </w:t>
            </w:r>
            <w:r w:rsidR="0045511A" w:rsidRPr="008C3B6A">
              <w:rPr>
                <w:sz w:val="24"/>
                <w:szCs w:val="24"/>
              </w:rPr>
              <w:t>billion, contributing</w:t>
            </w:r>
            <w:r w:rsidRPr="008C3B6A">
              <w:rPr>
                <w:sz w:val="24"/>
                <w:szCs w:val="24"/>
              </w:rPr>
              <w:t xml:space="preserve"> to 34% of total revenue (2020)</w:t>
            </w:r>
          </w:p>
        </w:tc>
      </w:tr>
      <w:tr w:rsidR="00C777F9" w:rsidRPr="008C3B6A" w14:paraId="7B51F5AD"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7E8A226C" w14:textId="77777777" w:rsidR="008C3B6A" w:rsidRPr="008C3B6A" w:rsidRDefault="008C3B6A">
            <w:pPr>
              <w:rPr>
                <w:sz w:val="24"/>
                <w:szCs w:val="24"/>
              </w:rPr>
            </w:pPr>
            <w:r w:rsidRPr="008C3B6A">
              <w:rPr>
                <w:sz w:val="24"/>
                <w:szCs w:val="24"/>
              </w:rPr>
              <w:t>Revenue from International Operations (Bank of America)</w:t>
            </w:r>
          </w:p>
        </w:tc>
        <w:tc>
          <w:tcPr>
            <w:tcW w:w="4507" w:type="dxa"/>
            <w:noWrap/>
            <w:hideMark/>
          </w:tcPr>
          <w:p w14:paraId="14577C8D" w14:textId="10CAC40D"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 xml:space="preserve">$13.2 </w:t>
            </w:r>
            <w:r w:rsidR="0045511A" w:rsidRPr="008C3B6A">
              <w:rPr>
                <w:sz w:val="24"/>
                <w:szCs w:val="24"/>
              </w:rPr>
              <w:t>billion, contributing</w:t>
            </w:r>
            <w:r w:rsidRPr="008C3B6A">
              <w:rPr>
                <w:sz w:val="24"/>
                <w:szCs w:val="24"/>
              </w:rPr>
              <w:t xml:space="preserve"> to 21% of total revenue (2020)</w:t>
            </w:r>
          </w:p>
        </w:tc>
      </w:tr>
      <w:tr w:rsidR="00C777F9" w:rsidRPr="008C3B6A" w14:paraId="6958EF9C"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124AE07E" w14:textId="77777777" w:rsidR="008C3B6A" w:rsidRPr="008C3B6A" w:rsidRDefault="008C3B6A">
            <w:pPr>
              <w:rPr>
                <w:sz w:val="24"/>
                <w:szCs w:val="24"/>
              </w:rPr>
            </w:pPr>
            <w:r w:rsidRPr="008C3B6A">
              <w:rPr>
                <w:sz w:val="24"/>
                <w:szCs w:val="24"/>
              </w:rPr>
              <w:t>Total Value of Cross-Border Transactions (U.S.)</w:t>
            </w:r>
          </w:p>
        </w:tc>
        <w:tc>
          <w:tcPr>
            <w:tcW w:w="4507" w:type="dxa"/>
            <w:noWrap/>
            <w:hideMark/>
          </w:tcPr>
          <w:p w14:paraId="5D92F1F3"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Over $12 trillion (2020, SWIFT)</w:t>
            </w:r>
          </w:p>
        </w:tc>
      </w:tr>
      <w:tr w:rsidR="00C777F9" w:rsidRPr="008C3B6A" w14:paraId="4A5643B6"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13ED28F0" w14:textId="77777777" w:rsidR="008C3B6A" w:rsidRPr="008C3B6A" w:rsidRDefault="008C3B6A">
            <w:pPr>
              <w:rPr>
                <w:sz w:val="24"/>
                <w:szCs w:val="24"/>
              </w:rPr>
            </w:pPr>
            <w:r w:rsidRPr="008C3B6A">
              <w:rPr>
                <w:sz w:val="24"/>
                <w:szCs w:val="24"/>
              </w:rPr>
              <w:t>Number of Foreign Branches (Bank of America)</w:t>
            </w:r>
          </w:p>
        </w:tc>
        <w:tc>
          <w:tcPr>
            <w:tcW w:w="4507" w:type="dxa"/>
            <w:noWrap/>
            <w:hideMark/>
          </w:tcPr>
          <w:p w14:paraId="0C483CEF"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Over 50</w:t>
            </w:r>
          </w:p>
        </w:tc>
      </w:tr>
      <w:tr w:rsidR="00C777F9" w:rsidRPr="008C3B6A" w14:paraId="59FB530A"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6A70815E" w14:textId="77777777" w:rsidR="008C3B6A" w:rsidRPr="008C3B6A" w:rsidRDefault="008C3B6A">
            <w:pPr>
              <w:rPr>
                <w:sz w:val="24"/>
                <w:szCs w:val="24"/>
              </w:rPr>
            </w:pPr>
            <w:r w:rsidRPr="008C3B6A">
              <w:rPr>
                <w:sz w:val="24"/>
                <w:szCs w:val="24"/>
              </w:rPr>
              <w:t>Number of Foreign Subsidiaries (JPMorgan Chase)</w:t>
            </w:r>
          </w:p>
        </w:tc>
        <w:tc>
          <w:tcPr>
            <w:tcW w:w="4507" w:type="dxa"/>
            <w:noWrap/>
            <w:hideMark/>
          </w:tcPr>
          <w:p w14:paraId="791FF4B2"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Over 4,000 subsidiaries worldwide</w:t>
            </w:r>
          </w:p>
        </w:tc>
      </w:tr>
      <w:tr w:rsidR="00C777F9" w:rsidRPr="008C3B6A" w14:paraId="5DE255D1"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19AD8293" w14:textId="77777777" w:rsidR="008C3B6A" w:rsidRPr="008C3B6A" w:rsidRDefault="008C3B6A">
            <w:pPr>
              <w:rPr>
                <w:sz w:val="24"/>
                <w:szCs w:val="24"/>
              </w:rPr>
            </w:pPr>
            <w:r w:rsidRPr="008C3B6A">
              <w:rPr>
                <w:sz w:val="24"/>
                <w:szCs w:val="24"/>
              </w:rPr>
              <w:t>Market Share in UK Investment Banking (JPMorgan)</w:t>
            </w:r>
          </w:p>
        </w:tc>
        <w:tc>
          <w:tcPr>
            <w:tcW w:w="4507" w:type="dxa"/>
            <w:noWrap/>
            <w:hideMark/>
          </w:tcPr>
          <w:p w14:paraId="3076F002"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Among the top investment banks in terms of market share</w:t>
            </w:r>
          </w:p>
        </w:tc>
      </w:tr>
      <w:tr w:rsidR="00C777F9" w:rsidRPr="008C3B6A" w14:paraId="03C21269"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4F030BA4" w14:textId="77777777" w:rsidR="008C3B6A" w:rsidRPr="008C3B6A" w:rsidRDefault="008C3B6A">
            <w:pPr>
              <w:rPr>
                <w:sz w:val="24"/>
                <w:szCs w:val="24"/>
              </w:rPr>
            </w:pPr>
            <w:r w:rsidRPr="008C3B6A">
              <w:rPr>
                <w:sz w:val="24"/>
                <w:szCs w:val="24"/>
              </w:rPr>
              <w:t>Total Value of M&amp;A Deals Advised (Goldman Sachs)</w:t>
            </w:r>
          </w:p>
        </w:tc>
        <w:tc>
          <w:tcPr>
            <w:tcW w:w="4507" w:type="dxa"/>
            <w:noWrap/>
            <w:hideMark/>
          </w:tcPr>
          <w:p w14:paraId="42E26ED1"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$1.2 trillion in announced transactions (2020)</w:t>
            </w:r>
          </w:p>
        </w:tc>
      </w:tr>
      <w:tr w:rsidR="00C777F9" w:rsidRPr="008C3B6A" w14:paraId="73C8CADC"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4748E863" w14:textId="77777777" w:rsidR="008C3B6A" w:rsidRPr="008C3B6A" w:rsidRDefault="008C3B6A">
            <w:pPr>
              <w:rPr>
                <w:sz w:val="24"/>
                <w:szCs w:val="24"/>
              </w:rPr>
            </w:pPr>
            <w:r w:rsidRPr="008C3B6A">
              <w:rPr>
                <w:sz w:val="24"/>
                <w:szCs w:val="24"/>
              </w:rPr>
              <w:t>Total Value of International Underwriting (Bank of America)</w:t>
            </w:r>
          </w:p>
        </w:tc>
        <w:tc>
          <w:tcPr>
            <w:tcW w:w="4507" w:type="dxa"/>
            <w:noWrap/>
            <w:hideMark/>
          </w:tcPr>
          <w:p w14:paraId="5307F82D"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Over $200 billion in global underwriting (2020)</w:t>
            </w:r>
          </w:p>
        </w:tc>
      </w:tr>
      <w:tr w:rsidR="00C777F9" w:rsidRPr="008C3B6A" w14:paraId="70737489"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791B4511" w14:textId="77777777" w:rsidR="008C3B6A" w:rsidRPr="008C3B6A" w:rsidRDefault="008C3B6A">
            <w:pPr>
              <w:rPr>
                <w:sz w:val="24"/>
                <w:szCs w:val="24"/>
              </w:rPr>
            </w:pPr>
            <w:r w:rsidRPr="008C3B6A">
              <w:rPr>
                <w:sz w:val="24"/>
                <w:szCs w:val="24"/>
              </w:rPr>
              <w:t>Foreign Currency Reserves (U.S. Banks)</w:t>
            </w:r>
          </w:p>
        </w:tc>
        <w:tc>
          <w:tcPr>
            <w:tcW w:w="4507" w:type="dxa"/>
            <w:noWrap/>
            <w:hideMark/>
          </w:tcPr>
          <w:p w14:paraId="263593CA"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Over $200 billion (2021)</w:t>
            </w:r>
          </w:p>
        </w:tc>
      </w:tr>
      <w:tr w:rsidR="00C777F9" w:rsidRPr="008C3B6A" w14:paraId="0BF2329B"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184AA8E7" w14:textId="77777777" w:rsidR="008C3B6A" w:rsidRPr="008C3B6A" w:rsidRDefault="008C3B6A">
            <w:pPr>
              <w:rPr>
                <w:sz w:val="24"/>
                <w:szCs w:val="24"/>
              </w:rPr>
            </w:pPr>
            <w:r w:rsidRPr="008C3B6A">
              <w:rPr>
                <w:sz w:val="24"/>
                <w:szCs w:val="24"/>
              </w:rPr>
              <w:t>Total Assets Managed Internationally (Citibank)</w:t>
            </w:r>
          </w:p>
        </w:tc>
        <w:tc>
          <w:tcPr>
            <w:tcW w:w="4507" w:type="dxa"/>
            <w:noWrap/>
            <w:hideMark/>
          </w:tcPr>
          <w:p w14:paraId="033E6696"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$1.1 trillion (2020)</w:t>
            </w:r>
          </w:p>
        </w:tc>
      </w:tr>
      <w:tr w:rsidR="00C777F9" w:rsidRPr="008C3B6A" w14:paraId="45591A62" w14:textId="77777777" w:rsidTr="00C777F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658C1AEF" w14:textId="77777777" w:rsidR="008C3B6A" w:rsidRPr="008C3B6A" w:rsidRDefault="008C3B6A">
            <w:pPr>
              <w:rPr>
                <w:sz w:val="24"/>
                <w:szCs w:val="24"/>
              </w:rPr>
            </w:pPr>
            <w:r w:rsidRPr="008C3B6A">
              <w:rPr>
                <w:sz w:val="24"/>
                <w:szCs w:val="24"/>
              </w:rPr>
              <w:t>Global Employment by JPMorgan Chase</w:t>
            </w:r>
          </w:p>
        </w:tc>
        <w:tc>
          <w:tcPr>
            <w:tcW w:w="4507" w:type="dxa"/>
            <w:noWrap/>
            <w:hideMark/>
          </w:tcPr>
          <w:p w14:paraId="4AF21D41" w14:textId="77777777" w:rsidR="008C3B6A" w:rsidRPr="008C3B6A" w:rsidRDefault="008C3B6A">
            <w:pPr>
              <w:cnfStyle w:val="000000100000" w:firstRow="0" w:lastRow="0" w:firstColumn="0" w:lastColumn="0" w:oddVBand="0" w:evenVBand="0" w:oddHBand="1" w:evenHBand="0" w:firstRowFirstColumn="0" w:firstRowLastColumn="0" w:lastRowFirstColumn="0" w:lastRowLastColumn="0"/>
              <w:rPr>
                <w:sz w:val="24"/>
                <w:szCs w:val="24"/>
              </w:rPr>
            </w:pPr>
            <w:r w:rsidRPr="008C3B6A">
              <w:rPr>
                <w:sz w:val="24"/>
                <w:szCs w:val="24"/>
              </w:rPr>
              <w:t>Over 255,000 employees worldwide</w:t>
            </w:r>
          </w:p>
        </w:tc>
      </w:tr>
      <w:tr w:rsidR="00C777F9" w:rsidRPr="008C3B6A" w14:paraId="76BC1D70" w14:textId="77777777" w:rsidTr="00C777F9">
        <w:trPr>
          <w:trHeight w:val="518"/>
        </w:trPr>
        <w:tc>
          <w:tcPr>
            <w:cnfStyle w:val="001000000000" w:firstRow="0" w:lastRow="0" w:firstColumn="1" w:lastColumn="0" w:oddVBand="0" w:evenVBand="0" w:oddHBand="0" w:evenHBand="0" w:firstRowFirstColumn="0" w:firstRowLastColumn="0" w:lastRowFirstColumn="0" w:lastRowLastColumn="0"/>
            <w:tcW w:w="4851" w:type="dxa"/>
            <w:noWrap/>
            <w:hideMark/>
          </w:tcPr>
          <w:p w14:paraId="0655FE4B" w14:textId="77777777" w:rsidR="008C3B6A" w:rsidRPr="008C3B6A" w:rsidRDefault="008C3B6A">
            <w:pPr>
              <w:rPr>
                <w:sz w:val="24"/>
                <w:szCs w:val="24"/>
              </w:rPr>
            </w:pPr>
            <w:r w:rsidRPr="008C3B6A">
              <w:rPr>
                <w:sz w:val="24"/>
                <w:szCs w:val="24"/>
              </w:rPr>
              <w:t>Number of Retail Banking Locations Outside U.S. (Bank of America)</w:t>
            </w:r>
          </w:p>
        </w:tc>
        <w:tc>
          <w:tcPr>
            <w:tcW w:w="4507" w:type="dxa"/>
            <w:noWrap/>
            <w:hideMark/>
          </w:tcPr>
          <w:p w14:paraId="2C092ACF" w14:textId="77777777" w:rsidR="008C3B6A" w:rsidRPr="008C3B6A" w:rsidRDefault="008C3B6A">
            <w:pPr>
              <w:cnfStyle w:val="000000000000" w:firstRow="0" w:lastRow="0" w:firstColumn="0" w:lastColumn="0" w:oddVBand="0" w:evenVBand="0" w:oddHBand="0" w:evenHBand="0" w:firstRowFirstColumn="0" w:firstRowLastColumn="0" w:lastRowFirstColumn="0" w:lastRowLastColumn="0"/>
              <w:rPr>
                <w:sz w:val="24"/>
                <w:szCs w:val="24"/>
              </w:rPr>
            </w:pPr>
            <w:r w:rsidRPr="008C3B6A">
              <w:rPr>
                <w:sz w:val="24"/>
                <w:szCs w:val="24"/>
              </w:rPr>
              <w:t>Over 1,000 branches and offices in more than 40 countries</w:t>
            </w:r>
          </w:p>
        </w:tc>
      </w:tr>
    </w:tbl>
    <w:p w14:paraId="54599881" w14:textId="77777777" w:rsidR="008C3B6A" w:rsidRPr="00805FF4" w:rsidRDefault="008C3B6A" w:rsidP="007B72D8">
      <w:pPr>
        <w:rPr>
          <w:sz w:val="24"/>
          <w:szCs w:val="24"/>
        </w:rPr>
      </w:pPr>
    </w:p>
    <w:p w14:paraId="027472D2" w14:textId="373C6B61" w:rsidR="007B72D8" w:rsidRDefault="007B72D8" w:rsidP="00805FF4">
      <w:pPr>
        <w:pStyle w:val="Heading2"/>
      </w:pPr>
      <w:r>
        <w:lastRenderedPageBreak/>
        <w:t>Strategies for Globalization</w:t>
      </w:r>
    </w:p>
    <w:p w14:paraId="48658249" w14:textId="3009FDBD" w:rsidR="007B72D8" w:rsidRPr="009672C4" w:rsidRDefault="007B72D8" w:rsidP="007B72D8">
      <w:pPr>
        <w:rPr>
          <w:b/>
          <w:bCs/>
          <w:sz w:val="24"/>
          <w:szCs w:val="24"/>
        </w:rPr>
      </w:pPr>
      <w:r w:rsidRPr="009672C4">
        <w:rPr>
          <w:b/>
          <w:bCs/>
          <w:sz w:val="24"/>
          <w:szCs w:val="24"/>
        </w:rPr>
        <w:t xml:space="preserve">1. Mergers and Acquisitions: </w:t>
      </w:r>
    </w:p>
    <w:p w14:paraId="3EE16332" w14:textId="56A6992E" w:rsidR="007B72D8" w:rsidRPr="00805FF4" w:rsidRDefault="007B72D8" w:rsidP="007B72D8">
      <w:pPr>
        <w:rPr>
          <w:sz w:val="24"/>
          <w:szCs w:val="24"/>
        </w:rPr>
      </w:pPr>
      <w:r w:rsidRPr="00805FF4">
        <w:rPr>
          <w:sz w:val="24"/>
          <w:szCs w:val="24"/>
        </w:rPr>
        <w:t xml:space="preserve">   U.S. banks often pursue mergers and acquisitions (M&amp;A) to quickly establish a presence in foreign markets. By acquiring or merging with local banks, they gain immediate access to an established customer base, local market knowledge, and existing regulatory compliance structures. This approach helps mitigate entry barriers and accelerates market penetration. For instance, Citigroup’s acquisition of Banamex in Mexico and HSBC’s acquisition of Republic National Bank in the U.S. exemplify how M&amp;A can drive international growth.</w:t>
      </w:r>
    </w:p>
    <w:p w14:paraId="67A74C01" w14:textId="6CBCC985" w:rsidR="007B72D8" w:rsidRPr="009672C4" w:rsidRDefault="007B72D8" w:rsidP="007B72D8">
      <w:pPr>
        <w:rPr>
          <w:b/>
          <w:bCs/>
          <w:sz w:val="24"/>
          <w:szCs w:val="24"/>
        </w:rPr>
      </w:pPr>
      <w:r w:rsidRPr="009672C4">
        <w:rPr>
          <w:b/>
          <w:bCs/>
          <w:sz w:val="24"/>
          <w:szCs w:val="24"/>
        </w:rPr>
        <w:t xml:space="preserve">2. Joint Ventures and Partnerships: </w:t>
      </w:r>
    </w:p>
    <w:p w14:paraId="7943C607" w14:textId="504F580C" w:rsidR="007B72D8" w:rsidRPr="00805FF4" w:rsidRDefault="007B72D8" w:rsidP="007B72D8">
      <w:pPr>
        <w:rPr>
          <w:sz w:val="24"/>
          <w:szCs w:val="24"/>
        </w:rPr>
      </w:pPr>
      <w:r w:rsidRPr="00805FF4">
        <w:rPr>
          <w:sz w:val="24"/>
          <w:szCs w:val="24"/>
        </w:rPr>
        <w:t xml:space="preserve">   Forming strategic alliances with foreign banks allows U.S. banks to leverage local expertise while sharing risks. These joint ventures can involve co-branded products, shared technology platforms, or combined resources for large-scale projects. By partnering with local entities, U.S. banks can better navigate regulatory landscapes and cultural nuances. For example, JPMorgan Chase’s partnership with ICBC in China helps it tap into the Chinese market while benefiting from ICBC’s extensive local network and knowledge.</w:t>
      </w:r>
    </w:p>
    <w:p w14:paraId="38110683" w14:textId="0E2FE7EA" w:rsidR="007B72D8" w:rsidRPr="009672C4" w:rsidRDefault="007B72D8" w:rsidP="007B72D8">
      <w:pPr>
        <w:rPr>
          <w:b/>
          <w:bCs/>
          <w:sz w:val="24"/>
          <w:szCs w:val="24"/>
        </w:rPr>
      </w:pPr>
      <w:r w:rsidRPr="009672C4">
        <w:rPr>
          <w:b/>
          <w:bCs/>
          <w:sz w:val="24"/>
          <w:szCs w:val="24"/>
        </w:rPr>
        <w:t xml:space="preserve">3. Branch Expansion: </w:t>
      </w:r>
    </w:p>
    <w:p w14:paraId="54F860AC" w14:textId="0EF19223" w:rsidR="007B72D8" w:rsidRPr="00805FF4" w:rsidRDefault="007B72D8" w:rsidP="007B72D8">
      <w:pPr>
        <w:rPr>
          <w:sz w:val="24"/>
          <w:szCs w:val="24"/>
        </w:rPr>
      </w:pPr>
      <w:r w:rsidRPr="00805FF4">
        <w:rPr>
          <w:sz w:val="24"/>
          <w:szCs w:val="24"/>
        </w:rPr>
        <w:t xml:space="preserve">   Establishing physical branches in key international financial hubs like London, Hong Kong, and Singapore allows U.S. banks to provide localized services and build brand presence. This physical presence is crucial for serving multinational corporations and affluent clients who require comprehensive banking services across borders. Banks like Bank of America and Goldman Sachs have strategically placed branches in global cities to support their international operations and client needs.</w:t>
      </w:r>
    </w:p>
    <w:p w14:paraId="57A1892A" w14:textId="6F56BB95" w:rsidR="007B72D8" w:rsidRPr="009672C4" w:rsidRDefault="007B72D8" w:rsidP="007B72D8">
      <w:pPr>
        <w:rPr>
          <w:b/>
          <w:bCs/>
          <w:sz w:val="24"/>
          <w:szCs w:val="24"/>
        </w:rPr>
      </w:pPr>
      <w:r w:rsidRPr="009672C4">
        <w:rPr>
          <w:b/>
          <w:bCs/>
          <w:sz w:val="24"/>
          <w:szCs w:val="24"/>
        </w:rPr>
        <w:t xml:space="preserve">4. Digital Banking: </w:t>
      </w:r>
    </w:p>
    <w:p w14:paraId="6B1800F3" w14:textId="77777777" w:rsidR="007B72D8" w:rsidRPr="00805FF4" w:rsidRDefault="007B72D8" w:rsidP="007B72D8">
      <w:pPr>
        <w:rPr>
          <w:sz w:val="24"/>
          <w:szCs w:val="24"/>
        </w:rPr>
      </w:pPr>
      <w:r w:rsidRPr="00805FF4">
        <w:rPr>
          <w:sz w:val="24"/>
          <w:szCs w:val="24"/>
        </w:rPr>
        <w:t xml:space="preserve">   Leveraging technology, U.S. banks can offer services globally without a significant physical footprint. Digital platforms allow banks to provide online banking, mobile apps, and digital financial services to a worldwide audience. This approach is cost-effective and scalable, reaching markets </w:t>
      </w:r>
      <w:proofErr w:type="gramStart"/>
      <w:r w:rsidRPr="00805FF4">
        <w:rPr>
          <w:sz w:val="24"/>
          <w:szCs w:val="24"/>
        </w:rPr>
        <w:t>where</w:t>
      </w:r>
      <w:proofErr w:type="gramEnd"/>
      <w:r w:rsidRPr="00805FF4">
        <w:rPr>
          <w:sz w:val="24"/>
          <w:szCs w:val="24"/>
        </w:rPr>
        <w:t xml:space="preserve"> setting up physical branches might be impractical. Citigroup, for example, has invested heavily in digital banking solutions to serve customers in over </w:t>
      </w:r>
      <w:r w:rsidRPr="0045511A">
        <w:rPr>
          <w:b/>
          <w:bCs/>
          <w:sz w:val="24"/>
          <w:szCs w:val="24"/>
        </w:rPr>
        <w:t>100 countries</w:t>
      </w:r>
      <w:r w:rsidRPr="00805FF4">
        <w:rPr>
          <w:sz w:val="24"/>
          <w:szCs w:val="24"/>
        </w:rPr>
        <w:t>.</w:t>
      </w:r>
    </w:p>
    <w:p w14:paraId="12E94B50" w14:textId="77777777" w:rsidR="007B72D8" w:rsidRPr="00805FF4" w:rsidRDefault="007B72D8" w:rsidP="007B72D8">
      <w:pPr>
        <w:rPr>
          <w:sz w:val="24"/>
          <w:szCs w:val="24"/>
        </w:rPr>
      </w:pPr>
    </w:p>
    <w:p w14:paraId="1AFAF83C" w14:textId="2D52886B" w:rsidR="007B72D8" w:rsidRPr="009672C4" w:rsidRDefault="007B72D8" w:rsidP="007B72D8">
      <w:pPr>
        <w:rPr>
          <w:b/>
          <w:bCs/>
          <w:sz w:val="24"/>
          <w:szCs w:val="24"/>
        </w:rPr>
      </w:pPr>
      <w:r w:rsidRPr="009672C4">
        <w:rPr>
          <w:b/>
          <w:bCs/>
          <w:sz w:val="24"/>
          <w:szCs w:val="24"/>
        </w:rPr>
        <w:t xml:space="preserve">5. Product Diversification: </w:t>
      </w:r>
    </w:p>
    <w:p w14:paraId="29917D8B" w14:textId="3F3389DB" w:rsidR="007B72D8" w:rsidRPr="00805FF4" w:rsidRDefault="007B72D8" w:rsidP="007B72D8">
      <w:pPr>
        <w:rPr>
          <w:sz w:val="24"/>
          <w:szCs w:val="24"/>
        </w:rPr>
      </w:pPr>
      <w:r w:rsidRPr="00805FF4">
        <w:rPr>
          <w:sz w:val="24"/>
          <w:szCs w:val="24"/>
        </w:rPr>
        <w:t xml:space="preserve">   Offering a diverse range of financial products tailored to local markets helps U.S. banks meet varied customer needs globally. These products can include tailored investment options, localized credit products, and specific corporate banking services. Customizing products to align with local market demands and regulatory requirements ensures better acceptance and competitiveness. Goldman Sachs offers different </w:t>
      </w:r>
      <w:r w:rsidRPr="00805FF4">
        <w:rPr>
          <w:sz w:val="24"/>
          <w:szCs w:val="24"/>
        </w:rPr>
        <w:lastRenderedPageBreak/>
        <w:t>financial products in Europe compared to those in the U.S., catering to specific market dynamics and customer preferences.</w:t>
      </w:r>
    </w:p>
    <w:p w14:paraId="44B3FB2A" w14:textId="64801105" w:rsidR="007B72D8" w:rsidRPr="00805FF4" w:rsidRDefault="007B72D8" w:rsidP="00805FF4">
      <w:pPr>
        <w:pStyle w:val="Heading2"/>
      </w:pPr>
      <w:r w:rsidRPr="00805FF4">
        <w:t xml:space="preserve"> Challenges and Risks</w:t>
      </w:r>
    </w:p>
    <w:p w14:paraId="47B760E9" w14:textId="382813A8" w:rsidR="007B72D8" w:rsidRPr="009672C4" w:rsidRDefault="007B72D8" w:rsidP="007B72D8">
      <w:pPr>
        <w:rPr>
          <w:b/>
          <w:bCs/>
          <w:sz w:val="24"/>
          <w:szCs w:val="24"/>
        </w:rPr>
      </w:pPr>
      <w:r w:rsidRPr="009672C4">
        <w:rPr>
          <w:b/>
          <w:bCs/>
          <w:sz w:val="24"/>
          <w:szCs w:val="24"/>
        </w:rPr>
        <w:t xml:space="preserve">1. Regulatory Differences: </w:t>
      </w:r>
    </w:p>
    <w:p w14:paraId="628BC4CE" w14:textId="06F588EE" w:rsidR="007B72D8" w:rsidRPr="00805FF4" w:rsidRDefault="007B72D8" w:rsidP="007B72D8">
      <w:pPr>
        <w:rPr>
          <w:sz w:val="24"/>
          <w:szCs w:val="24"/>
        </w:rPr>
      </w:pPr>
      <w:r w:rsidRPr="00805FF4">
        <w:rPr>
          <w:sz w:val="24"/>
          <w:szCs w:val="24"/>
        </w:rPr>
        <w:t xml:space="preserve">   Different countries have varied regulatory frameworks that U.S. banks must comply with. Navigating these regulations requires significant resources and expertise. Each market may have unique laws regarding capital requirements, consumer protection, anti-money laundering (AML) standards, and tax policies. For example, European Union’s stringent data privacy laws under GDPR impose different compliance challenges compared to the U.S. framework. Adapting to these regulatory environments demands a robust legal and compliance infrastructure within the bank.</w:t>
      </w:r>
    </w:p>
    <w:p w14:paraId="2709FAC3" w14:textId="74583899" w:rsidR="007B72D8" w:rsidRPr="009672C4" w:rsidRDefault="007B72D8" w:rsidP="007B72D8">
      <w:pPr>
        <w:rPr>
          <w:b/>
          <w:bCs/>
          <w:sz w:val="24"/>
          <w:szCs w:val="24"/>
        </w:rPr>
      </w:pPr>
      <w:r w:rsidRPr="009672C4">
        <w:rPr>
          <w:b/>
          <w:bCs/>
          <w:sz w:val="24"/>
          <w:szCs w:val="24"/>
        </w:rPr>
        <w:t xml:space="preserve">2. Cultural Differences: </w:t>
      </w:r>
    </w:p>
    <w:p w14:paraId="4223DD27" w14:textId="1492CA49" w:rsidR="007B72D8" w:rsidRPr="00805FF4" w:rsidRDefault="007B72D8" w:rsidP="007B72D8">
      <w:pPr>
        <w:rPr>
          <w:sz w:val="24"/>
          <w:szCs w:val="24"/>
        </w:rPr>
      </w:pPr>
      <w:r w:rsidRPr="00805FF4">
        <w:rPr>
          <w:sz w:val="24"/>
          <w:szCs w:val="24"/>
        </w:rPr>
        <w:t xml:space="preserve">   Understanding and adapting to cultural differences is critical for successful international banking operations. Business practices, consumer </w:t>
      </w:r>
      <w:proofErr w:type="spellStart"/>
      <w:r w:rsidRPr="00805FF4">
        <w:rPr>
          <w:sz w:val="24"/>
          <w:szCs w:val="24"/>
        </w:rPr>
        <w:t>behavior</w:t>
      </w:r>
      <w:proofErr w:type="spellEnd"/>
      <w:r w:rsidRPr="00805FF4">
        <w:rPr>
          <w:sz w:val="24"/>
          <w:szCs w:val="24"/>
        </w:rPr>
        <w:t>, and communication styles vary widely across regions. U.S. banks must tailor their marketing strategies, customer service approaches, and product offerings to resonate with local customers. For instance, customer expectations in Japan, where relationship banking is highly valued, differ significantly from those in the U.S., necessitating a more personalized approach.</w:t>
      </w:r>
    </w:p>
    <w:p w14:paraId="74E7E919" w14:textId="0EF68249" w:rsidR="007B72D8" w:rsidRPr="009672C4" w:rsidRDefault="007B72D8" w:rsidP="007B72D8">
      <w:pPr>
        <w:rPr>
          <w:b/>
          <w:bCs/>
          <w:sz w:val="24"/>
          <w:szCs w:val="24"/>
        </w:rPr>
      </w:pPr>
      <w:r w:rsidRPr="009672C4">
        <w:rPr>
          <w:b/>
          <w:bCs/>
          <w:sz w:val="24"/>
          <w:szCs w:val="24"/>
        </w:rPr>
        <w:t xml:space="preserve">3. Political Risk: </w:t>
      </w:r>
    </w:p>
    <w:p w14:paraId="410A3FA7" w14:textId="5E67125B" w:rsidR="007B72D8" w:rsidRPr="00805FF4" w:rsidRDefault="007B72D8" w:rsidP="007B72D8">
      <w:pPr>
        <w:rPr>
          <w:sz w:val="24"/>
          <w:szCs w:val="24"/>
        </w:rPr>
      </w:pPr>
      <w:r w:rsidRPr="00805FF4">
        <w:rPr>
          <w:sz w:val="24"/>
          <w:szCs w:val="24"/>
        </w:rPr>
        <w:t xml:space="preserve">   Political instability and changes in government policies can pose significant risks to banking operations abroad. Factors such as expropriation, nationalization, and changes in foreign investment laws can impact the stability and profitability of foreign ventures. U.S. banks operating in emerging markets must closely monitor political developments and have contingency plans in place. For example, Citigroup’s operations in Argentina have faced challenges due to the country’s economic and political volatility.</w:t>
      </w:r>
    </w:p>
    <w:p w14:paraId="4138B220" w14:textId="33F6A97A" w:rsidR="007B72D8" w:rsidRPr="009672C4" w:rsidRDefault="007B72D8" w:rsidP="007B72D8">
      <w:pPr>
        <w:rPr>
          <w:b/>
          <w:bCs/>
          <w:sz w:val="24"/>
          <w:szCs w:val="24"/>
        </w:rPr>
      </w:pPr>
      <w:r w:rsidRPr="009672C4">
        <w:rPr>
          <w:b/>
          <w:bCs/>
          <w:sz w:val="24"/>
          <w:szCs w:val="24"/>
        </w:rPr>
        <w:t xml:space="preserve">4. Currency Risk: </w:t>
      </w:r>
    </w:p>
    <w:p w14:paraId="6BEB114F" w14:textId="333823F9" w:rsidR="007B72D8" w:rsidRPr="00805FF4" w:rsidRDefault="007B72D8" w:rsidP="007B72D8">
      <w:pPr>
        <w:rPr>
          <w:sz w:val="24"/>
          <w:szCs w:val="24"/>
        </w:rPr>
      </w:pPr>
      <w:r w:rsidRPr="00805FF4">
        <w:rPr>
          <w:sz w:val="24"/>
          <w:szCs w:val="24"/>
        </w:rPr>
        <w:t xml:space="preserve">   Fluctuations in exchange rates can affect the profitability of international operations. Currency risk arises when revenues generated in foreign currencies need to be converted back to the U.S. dollar. Adverse movements in exchange rates can erode profits and impact financial stability. To mitigate this risk, U.S. banks employ hedging strategies using financial derivatives like futures, options, and swaps to lock in </w:t>
      </w:r>
      <w:proofErr w:type="spellStart"/>
      <w:r w:rsidRPr="00805FF4">
        <w:rPr>
          <w:sz w:val="24"/>
          <w:szCs w:val="24"/>
        </w:rPr>
        <w:t>favorable</w:t>
      </w:r>
      <w:proofErr w:type="spellEnd"/>
      <w:r w:rsidRPr="00805FF4">
        <w:rPr>
          <w:sz w:val="24"/>
          <w:szCs w:val="24"/>
        </w:rPr>
        <w:t xml:space="preserve"> exchange rates.</w:t>
      </w:r>
    </w:p>
    <w:p w14:paraId="3403EE19" w14:textId="124E4809" w:rsidR="007B72D8" w:rsidRPr="009672C4" w:rsidRDefault="007B72D8" w:rsidP="007B72D8">
      <w:pPr>
        <w:rPr>
          <w:b/>
          <w:bCs/>
          <w:sz w:val="24"/>
          <w:szCs w:val="24"/>
        </w:rPr>
      </w:pPr>
      <w:r w:rsidRPr="009672C4">
        <w:rPr>
          <w:b/>
          <w:bCs/>
          <w:sz w:val="24"/>
          <w:szCs w:val="24"/>
        </w:rPr>
        <w:t xml:space="preserve">5. Operational Risk: </w:t>
      </w:r>
    </w:p>
    <w:p w14:paraId="362BCA10" w14:textId="273FADC6" w:rsidR="007B72D8" w:rsidRPr="00805FF4" w:rsidRDefault="007B72D8" w:rsidP="007B72D8">
      <w:pPr>
        <w:rPr>
          <w:sz w:val="24"/>
          <w:szCs w:val="24"/>
        </w:rPr>
      </w:pPr>
      <w:r w:rsidRPr="00805FF4">
        <w:rPr>
          <w:sz w:val="24"/>
          <w:szCs w:val="24"/>
        </w:rPr>
        <w:t xml:space="preserve">   Managing operations across diverse geographies involves complexities related to different time zones, languages, and business practices. Ensuring consistent service quality, data security, and operational efficiency requires significant investment in technology and human resources. Banks must implement standardized processes and </w:t>
      </w:r>
      <w:r w:rsidRPr="00805FF4">
        <w:rPr>
          <w:sz w:val="24"/>
          <w:szCs w:val="24"/>
        </w:rPr>
        <w:lastRenderedPageBreak/>
        <w:t>robust IT systems to manage cross-border operations effectively. For example, JPMorgan Chase’s global network relies on advanced IT infrastructure to maintain seamless operations across its international branches.</w:t>
      </w:r>
    </w:p>
    <w:p w14:paraId="44B89EE9" w14:textId="6ED973E3" w:rsidR="007B72D8" w:rsidRPr="00805FF4" w:rsidRDefault="007B72D8" w:rsidP="00805FF4">
      <w:pPr>
        <w:pStyle w:val="Heading2"/>
      </w:pPr>
      <w:r w:rsidRPr="00805FF4">
        <w:t>Overcoming Challenges and Risks</w:t>
      </w:r>
    </w:p>
    <w:p w14:paraId="79B52815" w14:textId="69BB3D43" w:rsidR="007B72D8" w:rsidRPr="009672C4" w:rsidRDefault="007B72D8" w:rsidP="007B72D8">
      <w:pPr>
        <w:rPr>
          <w:b/>
          <w:bCs/>
          <w:sz w:val="24"/>
          <w:szCs w:val="24"/>
        </w:rPr>
      </w:pPr>
      <w:r w:rsidRPr="009672C4">
        <w:rPr>
          <w:b/>
          <w:bCs/>
          <w:sz w:val="24"/>
          <w:szCs w:val="24"/>
        </w:rPr>
        <w:t xml:space="preserve">1. Local Expertise: </w:t>
      </w:r>
    </w:p>
    <w:p w14:paraId="35CFACDC" w14:textId="77777777" w:rsidR="007B72D8" w:rsidRPr="00805FF4" w:rsidRDefault="007B72D8" w:rsidP="007B72D8">
      <w:pPr>
        <w:rPr>
          <w:sz w:val="24"/>
          <w:szCs w:val="24"/>
        </w:rPr>
      </w:pPr>
      <w:r w:rsidRPr="00805FF4">
        <w:rPr>
          <w:sz w:val="24"/>
          <w:szCs w:val="24"/>
        </w:rPr>
        <w:t xml:space="preserve">   Hiring local management and staff helps U.S. banks navigate the regulatory and cultural landscapes more effectively. Local experts bring valuable insights into market conditions, consumer </w:t>
      </w:r>
      <w:proofErr w:type="spellStart"/>
      <w:r w:rsidRPr="00805FF4">
        <w:rPr>
          <w:sz w:val="24"/>
          <w:szCs w:val="24"/>
        </w:rPr>
        <w:t>behavior</w:t>
      </w:r>
      <w:proofErr w:type="spellEnd"/>
      <w:r w:rsidRPr="00805FF4">
        <w:rPr>
          <w:sz w:val="24"/>
          <w:szCs w:val="24"/>
        </w:rPr>
        <w:t>, and regulatory nuances. They also help build relationships with local stakeholders, including regulators and business partners. For instance, Bank of America employs local executives in its international branches to ensure compliance and foster local market integration.</w:t>
      </w:r>
    </w:p>
    <w:p w14:paraId="2A97A947" w14:textId="1C9020A4" w:rsidR="007B72D8" w:rsidRPr="009672C4" w:rsidRDefault="007B72D8" w:rsidP="007B72D8">
      <w:pPr>
        <w:rPr>
          <w:b/>
          <w:bCs/>
          <w:sz w:val="24"/>
          <w:szCs w:val="24"/>
        </w:rPr>
      </w:pPr>
      <w:r w:rsidRPr="009672C4">
        <w:rPr>
          <w:b/>
          <w:bCs/>
          <w:sz w:val="24"/>
          <w:szCs w:val="24"/>
        </w:rPr>
        <w:t xml:space="preserve">2. Hedging Strategies: </w:t>
      </w:r>
    </w:p>
    <w:p w14:paraId="1745CA0F" w14:textId="77777777" w:rsidR="007B72D8" w:rsidRPr="00805FF4" w:rsidRDefault="007B72D8" w:rsidP="007B72D8">
      <w:pPr>
        <w:rPr>
          <w:sz w:val="24"/>
          <w:szCs w:val="24"/>
        </w:rPr>
      </w:pPr>
      <w:r w:rsidRPr="00805FF4">
        <w:rPr>
          <w:sz w:val="24"/>
          <w:szCs w:val="24"/>
        </w:rPr>
        <w:t xml:space="preserve">   To manage currency and political risks, U.S. banks use hedging strategies. These financial instruments help mitigate the impact of adverse movements in exchange rates and political events. For example, banks may use forward contracts to lock in exchange rates for future transactions, reducing uncertainty. Additionally, political risk insurance can provide coverage against losses resulting from political instability, ensuring financial protection for international operations.</w:t>
      </w:r>
    </w:p>
    <w:p w14:paraId="2AAB6BEF" w14:textId="3931249D" w:rsidR="007B72D8" w:rsidRPr="009672C4" w:rsidRDefault="007B72D8" w:rsidP="007B72D8">
      <w:pPr>
        <w:rPr>
          <w:b/>
          <w:bCs/>
          <w:sz w:val="24"/>
          <w:szCs w:val="24"/>
        </w:rPr>
      </w:pPr>
      <w:r w:rsidRPr="009672C4">
        <w:rPr>
          <w:b/>
          <w:bCs/>
          <w:sz w:val="24"/>
          <w:szCs w:val="24"/>
        </w:rPr>
        <w:t xml:space="preserve">3. Strong Compliance Programs: </w:t>
      </w:r>
    </w:p>
    <w:p w14:paraId="0D587656" w14:textId="77777777" w:rsidR="007B72D8" w:rsidRPr="00805FF4" w:rsidRDefault="007B72D8" w:rsidP="007B72D8">
      <w:pPr>
        <w:rPr>
          <w:sz w:val="24"/>
          <w:szCs w:val="24"/>
        </w:rPr>
      </w:pPr>
      <w:r w:rsidRPr="00805FF4">
        <w:rPr>
          <w:sz w:val="24"/>
          <w:szCs w:val="24"/>
        </w:rPr>
        <w:t xml:space="preserve">   Establishing robust compliance frameworks is essential for adhering to local laws and regulations. U.S. banks invest in comprehensive compliance programs, including regular audits, training programs, and technology solutions to monitor and enforce compliance. These programs help prevent regulatory violations and protect the bank’s reputation. For instance, Citigroup has implemented extensive AML and Know Your Customer (KYC) protocols to ensure compliance with global standards.</w:t>
      </w:r>
    </w:p>
    <w:p w14:paraId="12DA6D90" w14:textId="69C5BBEC" w:rsidR="007B72D8" w:rsidRPr="009672C4" w:rsidRDefault="007B72D8" w:rsidP="007B72D8">
      <w:pPr>
        <w:rPr>
          <w:b/>
          <w:bCs/>
          <w:sz w:val="24"/>
          <w:szCs w:val="24"/>
        </w:rPr>
      </w:pPr>
      <w:r w:rsidRPr="009672C4">
        <w:rPr>
          <w:b/>
          <w:bCs/>
          <w:sz w:val="24"/>
          <w:szCs w:val="24"/>
        </w:rPr>
        <w:t xml:space="preserve">4. Technology Investments: </w:t>
      </w:r>
    </w:p>
    <w:p w14:paraId="60A9E79B" w14:textId="77777777" w:rsidR="007B72D8" w:rsidRPr="00805FF4" w:rsidRDefault="007B72D8" w:rsidP="007B72D8">
      <w:pPr>
        <w:rPr>
          <w:sz w:val="24"/>
          <w:szCs w:val="24"/>
        </w:rPr>
      </w:pPr>
      <w:r w:rsidRPr="00805FF4">
        <w:rPr>
          <w:sz w:val="24"/>
          <w:szCs w:val="24"/>
        </w:rPr>
        <w:t xml:space="preserve">   Investing in advanced technology enhances risk management and operational efficiency. U.S. banks deploy sophisticated IT systems to monitor transactions, detect fraud, and manage data security across international operations. Technology also enables seamless integration of global operations, ensuring consistent service quality. For example, JPMorgan Chase uses advanced analytics and AI to detect anomalies and prevent financial crimes in real-time.</w:t>
      </w:r>
    </w:p>
    <w:p w14:paraId="01E8D188" w14:textId="346F756A" w:rsidR="007B72D8" w:rsidRPr="009672C4" w:rsidRDefault="007B72D8" w:rsidP="007B72D8">
      <w:pPr>
        <w:rPr>
          <w:b/>
          <w:bCs/>
          <w:sz w:val="24"/>
          <w:szCs w:val="24"/>
        </w:rPr>
      </w:pPr>
      <w:r w:rsidRPr="009672C4">
        <w:rPr>
          <w:b/>
          <w:bCs/>
          <w:sz w:val="24"/>
          <w:szCs w:val="24"/>
        </w:rPr>
        <w:t xml:space="preserve">5. Continuous Learning and Adaptation: </w:t>
      </w:r>
    </w:p>
    <w:p w14:paraId="2DE2A832" w14:textId="15673C72" w:rsidR="007B72D8" w:rsidRPr="00805FF4" w:rsidRDefault="007B72D8" w:rsidP="007B72D8">
      <w:pPr>
        <w:rPr>
          <w:sz w:val="24"/>
          <w:szCs w:val="24"/>
        </w:rPr>
      </w:pPr>
      <w:r w:rsidRPr="00805FF4">
        <w:rPr>
          <w:sz w:val="24"/>
          <w:szCs w:val="24"/>
        </w:rPr>
        <w:t xml:space="preserve">   U.S. banks must continuously update their strategies based on market feedback and global trends. This involves learning from past experiences, monitoring market developments, and adapting to changing conditions. Regularly revising business models and operational practices ensures that banks remain competitive and responsive to global challenges. For instance, Bank of America’s strategic reviews and </w:t>
      </w:r>
      <w:r w:rsidRPr="00805FF4">
        <w:rPr>
          <w:sz w:val="24"/>
          <w:szCs w:val="24"/>
        </w:rPr>
        <w:lastRenderedPageBreak/>
        <w:t>market research inform its global expansion decisions, helping it stay ahead of industry trends.</w:t>
      </w:r>
    </w:p>
    <w:p w14:paraId="6B5B4780" w14:textId="675EE5A4" w:rsidR="007B72D8" w:rsidRPr="00805FF4" w:rsidRDefault="007B72D8" w:rsidP="00805FF4">
      <w:pPr>
        <w:pStyle w:val="Heading2"/>
      </w:pPr>
      <w:r w:rsidRPr="00805FF4">
        <w:t>Advantages and Disadvantages</w:t>
      </w:r>
    </w:p>
    <w:p w14:paraId="4852512F" w14:textId="646BCE6F" w:rsidR="007B72D8" w:rsidRPr="00805FF4" w:rsidRDefault="007B72D8" w:rsidP="00805FF4">
      <w:pPr>
        <w:pStyle w:val="Heading2"/>
      </w:pPr>
      <w:r w:rsidRPr="00805FF4">
        <w:t>Advantages:</w:t>
      </w:r>
    </w:p>
    <w:p w14:paraId="190166BF" w14:textId="475CFB3E" w:rsidR="007B72D8" w:rsidRPr="009672C4" w:rsidRDefault="007B72D8" w:rsidP="007B72D8">
      <w:pPr>
        <w:rPr>
          <w:b/>
          <w:bCs/>
          <w:sz w:val="24"/>
          <w:szCs w:val="24"/>
        </w:rPr>
      </w:pPr>
      <w:r w:rsidRPr="009672C4">
        <w:rPr>
          <w:b/>
          <w:bCs/>
          <w:sz w:val="24"/>
          <w:szCs w:val="24"/>
        </w:rPr>
        <w:t xml:space="preserve">1. Market Diversification: </w:t>
      </w:r>
    </w:p>
    <w:p w14:paraId="65CF6BBA" w14:textId="77777777" w:rsidR="007B72D8" w:rsidRPr="00805FF4" w:rsidRDefault="007B72D8" w:rsidP="007B72D8">
      <w:pPr>
        <w:rPr>
          <w:sz w:val="24"/>
          <w:szCs w:val="24"/>
        </w:rPr>
      </w:pPr>
      <w:r w:rsidRPr="00805FF4">
        <w:rPr>
          <w:sz w:val="24"/>
          <w:szCs w:val="24"/>
        </w:rPr>
        <w:t xml:space="preserve">   Expanding globally allows U.S. banks to reduce their dependency on the domestic market. Diversification across multiple markets spreads risk and reduces the impact of economic downturns in any single region. This stability enhances overall financial performance. For example, Citigroup’s presence in over </w:t>
      </w:r>
      <w:r w:rsidRPr="0045511A">
        <w:rPr>
          <w:b/>
          <w:bCs/>
          <w:sz w:val="24"/>
          <w:szCs w:val="24"/>
        </w:rPr>
        <w:t>100 countries</w:t>
      </w:r>
      <w:r w:rsidRPr="00805FF4">
        <w:rPr>
          <w:sz w:val="24"/>
          <w:szCs w:val="24"/>
        </w:rPr>
        <w:t xml:space="preserve"> provides a balanced revenue stream, mitigating the impact of U.S. market fluctuations.</w:t>
      </w:r>
    </w:p>
    <w:p w14:paraId="6BEFBD8A" w14:textId="2E7780D4" w:rsidR="007B72D8" w:rsidRPr="009672C4" w:rsidRDefault="007B72D8" w:rsidP="007B72D8">
      <w:pPr>
        <w:rPr>
          <w:b/>
          <w:bCs/>
          <w:sz w:val="24"/>
          <w:szCs w:val="24"/>
        </w:rPr>
      </w:pPr>
      <w:r w:rsidRPr="009672C4">
        <w:rPr>
          <w:b/>
          <w:bCs/>
          <w:sz w:val="24"/>
          <w:szCs w:val="24"/>
        </w:rPr>
        <w:t xml:space="preserve">2. Revenue Growth: </w:t>
      </w:r>
    </w:p>
    <w:p w14:paraId="67473551" w14:textId="77777777" w:rsidR="007B72D8" w:rsidRPr="00805FF4" w:rsidRDefault="007B72D8" w:rsidP="007B72D8">
      <w:pPr>
        <w:rPr>
          <w:sz w:val="24"/>
          <w:szCs w:val="24"/>
        </w:rPr>
      </w:pPr>
      <w:r w:rsidRPr="00805FF4">
        <w:rPr>
          <w:sz w:val="24"/>
          <w:szCs w:val="24"/>
        </w:rPr>
        <w:t xml:space="preserve">   Access to new revenue streams in foreign markets drives overall growth. Emerging markets</w:t>
      </w:r>
      <w:proofErr w:type="gramStart"/>
      <w:r w:rsidRPr="00805FF4">
        <w:rPr>
          <w:sz w:val="24"/>
          <w:szCs w:val="24"/>
        </w:rPr>
        <w:t>, in particular, offer</w:t>
      </w:r>
      <w:proofErr w:type="gramEnd"/>
      <w:r w:rsidRPr="00805FF4">
        <w:rPr>
          <w:sz w:val="24"/>
          <w:szCs w:val="24"/>
        </w:rPr>
        <w:t xml:space="preserve"> significant growth opportunities due to their expanding economies and increasing demand for financial services. By tapping into these markets, U.S. banks can achieve higher growth rates compared to the mature domestic market. For instance, Goldman Sachs has capitalized on the rapid economic growth in Asia to boost its revenue.</w:t>
      </w:r>
    </w:p>
    <w:p w14:paraId="5E9FB2E8" w14:textId="4D280061" w:rsidR="007B72D8" w:rsidRPr="009672C4" w:rsidRDefault="007B72D8" w:rsidP="007B72D8">
      <w:pPr>
        <w:rPr>
          <w:b/>
          <w:bCs/>
          <w:sz w:val="24"/>
          <w:szCs w:val="24"/>
        </w:rPr>
      </w:pPr>
      <w:r w:rsidRPr="009672C4">
        <w:rPr>
          <w:b/>
          <w:bCs/>
          <w:sz w:val="24"/>
          <w:szCs w:val="24"/>
        </w:rPr>
        <w:t xml:space="preserve">3. Economies of Scale: </w:t>
      </w:r>
    </w:p>
    <w:p w14:paraId="2F9F4E1E" w14:textId="77777777" w:rsidR="007B72D8" w:rsidRPr="00805FF4" w:rsidRDefault="007B72D8" w:rsidP="007B72D8">
      <w:pPr>
        <w:rPr>
          <w:sz w:val="24"/>
          <w:szCs w:val="24"/>
        </w:rPr>
      </w:pPr>
      <w:r w:rsidRPr="00805FF4">
        <w:rPr>
          <w:sz w:val="24"/>
          <w:szCs w:val="24"/>
        </w:rPr>
        <w:t xml:space="preserve">   Operating on a global scale enables U.S. banks to achieve cost advantages through economies of scale. Shared resources, centralized operations, and bulk purchasing reduce costs per unit, enhancing profitability. For example, JPMorgan Chase leverages its global infrastructure to optimize costs and improve operational efficiency across its international branches.</w:t>
      </w:r>
    </w:p>
    <w:p w14:paraId="32452778" w14:textId="225BD996" w:rsidR="007B72D8" w:rsidRPr="009672C4" w:rsidRDefault="007B72D8" w:rsidP="007B72D8">
      <w:pPr>
        <w:rPr>
          <w:b/>
          <w:bCs/>
          <w:sz w:val="24"/>
          <w:szCs w:val="24"/>
        </w:rPr>
      </w:pPr>
      <w:r w:rsidRPr="009672C4">
        <w:rPr>
          <w:b/>
          <w:bCs/>
          <w:sz w:val="24"/>
          <w:szCs w:val="24"/>
        </w:rPr>
        <w:t xml:space="preserve">4. Innovation: </w:t>
      </w:r>
    </w:p>
    <w:p w14:paraId="2505F687" w14:textId="408DA7B2" w:rsidR="007B72D8" w:rsidRPr="00805FF4" w:rsidRDefault="007B72D8" w:rsidP="007B72D8">
      <w:pPr>
        <w:rPr>
          <w:sz w:val="24"/>
          <w:szCs w:val="24"/>
        </w:rPr>
      </w:pPr>
      <w:r w:rsidRPr="00805FF4">
        <w:rPr>
          <w:sz w:val="24"/>
          <w:szCs w:val="24"/>
        </w:rPr>
        <w:t xml:space="preserve">   Exposure to global best practices and innovation enhances the competitive edge of U.S. banks. By interacting with diverse markets, banks can adopt innovative solutions and improve their product offerings. Cross-border knowledge transfer fosters creativity and drives advancements in financial services. For instance, Bank of America’s international presence has enabled it to implement innovative digital banking solutions inspired by global trends.</w:t>
      </w:r>
    </w:p>
    <w:p w14:paraId="70CF6637" w14:textId="6058917F" w:rsidR="007B72D8" w:rsidRPr="00805FF4" w:rsidRDefault="007B72D8" w:rsidP="00805FF4">
      <w:pPr>
        <w:pStyle w:val="Heading2"/>
      </w:pPr>
      <w:r w:rsidRPr="00805FF4">
        <w:t>Disadvantages:</w:t>
      </w:r>
    </w:p>
    <w:p w14:paraId="64A8B2DF" w14:textId="6B506122" w:rsidR="007B72D8" w:rsidRPr="009672C4" w:rsidRDefault="007B72D8" w:rsidP="007B72D8">
      <w:pPr>
        <w:rPr>
          <w:b/>
          <w:bCs/>
          <w:sz w:val="24"/>
          <w:szCs w:val="24"/>
        </w:rPr>
      </w:pPr>
      <w:r w:rsidRPr="009672C4">
        <w:rPr>
          <w:b/>
          <w:bCs/>
          <w:sz w:val="24"/>
          <w:szCs w:val="24"/>
        </w:rPr>
        <w:t xml:space="preserve">1. Complexity: </w:t>
      </w:r>
    </w:p>
    <w:p w14:paraId="36E2F79E" w14:textId="77777777" w:rsidR="007B72D8" w:rsidRPr="00805FF4" w:rsidRDefault="007B72D8" w:rsidP="007B72D8">
      <w:pPr>
        <w:rPr>
          <w:sz w:val="24"/>
          <w:szCs w:val="24"/>
        </w:rPr>
      </w:pPr>
      <w:r w:rsidRPr="00805FF4">
        <w:rPr>
          <w:sz w:val="24"/>
          <w:szCs w:val="24"/>
        </w:rPr>
        <w:t xml:space="preserve">   International operations introduce significant complexity in management and coordination. Different time zones, languages, and regulatory requirements add layers of complexity to daily operations. Managing these complexities requires sophisticated systems and highly skilled personnel, increasing operational challenges. For example, </w:t>
      </w:r>
      <w:r w:rsidRPr="00805FF4">
        <w:rPr>
          <w:sz w:val="24"/>
          <w:szCs w:val="24"/>
        </w:rPr>
        <w:lastRenderedPageBreak/>
        <w:t>Citigroup’s extensive global network demands meticulous coordination and robust management practices to ensure smooth operations.</w:t>
      </w:r>
    </w:p>
    <w:p w14:paraId="552D6D3F" w14:textId="16B67484" w:rsidR="007B72D8" w:rsidRPr="009672C4" w:rsidRDefault="007B72D8" w:rsidP="007B72D8">
      <w:pPr>
        <w:rPr>
          <w:b/>
          <w:bCs/>
          <w:sz w:val="24"/>
          <w:szCs w:val="24"/>
        </w:rPr>
      </w:pPr>
      <w:r w:rsidRPr="009672C4">
        <w:rPr>
          <w:b/>
          <w:bCs/>
          <w:sz w:val="24"/>
          <w:szCs w:val="24"/>
        </w:rPr>
        <w:t xml:space="preserve">2. Compliance Costs: </w:t>
      </w:r>
    </w:p>
    <w:p w14:paraId="4AC4DD95" w14:textId="77777777" w:rsidR="007B72D8" w:rsidRPr="00805FF4" w:rsidRDefault="007B72D8" w:rsidP="007B72D8">
      <w:pPr>
        <w:rPr>
          <w:sz w:val="24"/>
          <w:szCs w:val="24"/>
        </w:rPr>
      </w:pPr>
      <w:r w:rsidRPr="00805FF4">
        <w:rPr>
          <w:sz w:val="24"/>
          <w:szCs w:val="24"/>
        </w:rPr>
        <w:t xml:space="preserve">   Meeting diverse regulatory requirements across multiple jurisdictions incurs high compliance costs. U.S. banks must invest in specialized legal and compliance teams, implement complex monitoring systems, and regularly update policies to adhere to local laws. These costs can be substantial and impact overall profitability. For instance, Goldman Sachs allocates significant resources to ensure compliance with stringent European financial regulations.</w:t>
      </w:r>
    </w:p>
    <w:p w14:paraId="1DC3C0E2" w14:textId="5BE33E36" w:rsidR="007B72D8" w:rsidRPr="009672C4" w:rsidRDefault="007B72D8" w:rsidP="007B72D8">
      <w:pPr>
        <w:rPr>
          <w:b/>
          <w:bCs/>
          <w:sz w:val="24"/>
          <w:szCs w:val="24"/>
        </w:rPr>
      </w:pPr>
      <w:r w:rsidRPr="009672C4">
        <w:rPr>
          <w:b/>
          <w:bCs/>
          <w:sz w:val="24"/>
          <w:szCs w:val="24"/>
        </w:rPr>
        <w:t xml:space="preserve">3. Exposure to Global Risks: </w:t>
      </w:r>
    </w:p>
    <w:p w14:paraId="79CB4DAE" w14:textId="77777777" w:rsidR="007B72D8" w:rsidRPr="00805FF4" w:rsidRDefault="007B72D8" w:rsidP="007B72D8">
      <w:pPr>
        <w:rPr>
          <w:sz w:val="24"/>
          <w:szCs w:val="24"/>
        </w:rPr>
      </w:pPr>
      <w:r w:rsidRPr="00805FF4">
        <w:rPr>
          <w:sz w:val="24"/>
          <w:szCs w:val="24"/>
        </w:rPr>
        <w:t xml:space="preserve">   International expansion exposes U.S. banks to global economic and political risks. Economic downturns, geopolitical tensions, and regulatory changes in foreign markets can adversely affect operations and profitability. Managing these risks requires continuous monitoring and adaptive strategies. For example, Bank of America’s operations in emerging markets are susceptible to geopolitical shifts, requiring vigilant risk management.</w:t>
      </w:r>
    </w:p>
    <w:p w14:paraId="6CD05BE9" w14:textId="3B3E4354" w:rsidR="007B72D8" w:rsidRPr="009672C4" w:rsidRDefault="007B72D8" w:rsidP="007B72D8">
      <w:pPr>
        <w:rPr>
          <w:b/>
          <w:bCs/>
          <w:sz w:val="24"/>
          <w:szCs w:val="24"/>
        </w:rPr>
      </w:pPr>
      <w:r w:rsidRPr="009672C4">
        <w:rPr>
          <w:b/>
          <w:bCs/>
          <w:sz w:val="24"/>
          <w:szCs w:val="24"/>
        </w:rPr>
        <w:t xml:space="preserve">4. Cultural Barriers: </w:t>
      </w:r>
    </w:p>
    <w:p w14:paraId="46EFF408" w14:textId="2160C10D" w:rsidR="007B72D8" w:rsidRPr="00805FF4" w:rsidRDefault="007B72D8" w:rsidP="007B72D8">
      <w:pPr>
        <w:rPr>
          <w:sz w:val="24"/>
          <w:szCs w:val="24"/>
        </w:rPr>
      </w:pPr>
      <w:r w:rsidRPr="00805FF4">
        <w:rPr>
          <w:sz w:val="24"/>
          <w:szCs w:val="24"/>
        </w:rPr>
        <w:t xml:space="preserve">   Misalignment with local market needs and practices can hinder success. Cultural differences in consumer </w:t>
      </w:r>
      <w:proofErr w:type="spellStart"/>
      <w:r w:rsidRPr="00805FF4">
        <w:rPr>
          <w:sz w:val="24"/>
          <w:szCs w:val="24"/>
        </w:rPr>
        <w:t>behavior</w:t>
      </w:r>
      <w:proofErr w:type="spellEnd"/>
      <w:r w:rsidRPr="00805FF4">
        <w:rPr>
          <w:sz w:val="24"/>
          <w:szCs w:val="24"/>
        </w:rPr>
        <w:t>, business practices,</w:t>
      </w:r>
      <w:r w:rsidR="00805FF4">
        <w:rPr>
          <w:sz w:val="24"/>
          <w:szCs w:val="24"/>
        </w:rPr>
        <w:t xml:space="preserve"> </w:t>
      </w:r>
      <w:r w:rsidRPr="00805FF4">
        <w:rPr>
          <w:sz w:val="24"/>
          <w:szCs w:val="24"/>
        </w:rPr>
        <w:t>and communication styles require careful adaptation. Failure to understand and respect these differences can lead to market rejection and reputational damage. For instance, JPMorgan Chase’s initial challenges in the Chinese market highlighted the importance of cultural sensitivity and local adaptation.</w:t>
      </w:r>
    </w:p>
    <w:p w14:paraId="7E71BA2F" w14:textId="77777777" w:rsidR="007B72D8" w:rsidRPr="00805FF4" w:rsidRDefault="007B72D8" w:rsidP="007B72D8">
      <w:pPr>
        <w:rPr>
          <w:sz w:val="24"/>
          <w:szCs w:val="24"/>
        </w:rPr>
      </w:pPr>
    </w:p>
    <w:p w14:paraId="43BAD0EF" w14:textId="77777777" w:rsidR="00805FF4" w:rsidRDefault="007B72D8" w:rsidP="007B72D8">
      <w:pPr>
        <w:rPr>
          <w:sz w:val="24"/>
          <w:szCs w:val="24"/>
        </w:rPr>
      </w:pPr>
      <w:r w:rsidRPr="00805FF4">
        <w:rPr>
          <w:sz w:val="24"/>
          <w:szCs w:val="24"/>
        </w:rPr>
        <w:t xml:space="preserve"> </w:t>
      </w:r>
    </w:p>
    <w:p w14:paraId="7DE5E215" w14:textId="77777777" w:rsidR="00805FF4" w:rsidRDefault="00805FF4">
      <w:pPr>
        <w:rPr>
          <w:sz w:val="24"/>
          <w:szCs w:val="24"/>
        </w:rPr>
      </w:pPr>
      <w:r>
        <w:rPr>
          <w:sz w:val="24"/>
          <w:szCs w:val="24"/>
        </w:rPr>
        <w:br w:type="page"/>
      </w:r>
    </w:p>
    <w:p w14:paraId="6C0090C3" w14:textId="70EE37F7" w:rsidR="007B72D8" w:rsidRPr="00805FF4" w:rsidRDefault="007B72D8" w:rsidP="00805FF4">
      <w:pPr>
        <w:pStyle w:val="Heading2"/>
      </w:pPr>
      <w:r w:rsidRPr="00805FF4">
        <w:lastRenderedPageBreak/>
        <w:t>U.S. Banks in the Global Market</w:t>
      </w:r>
    </w:p>
    <w:p w14:paraId="617760F4" w14:textId="77777777" w:rsidR="007B72D8" w:rsidRPr="00805FF4" w:rsidRDefault="007B72D8" w:rsidP="007B72D8">
      <w:pPr>
        <w:rPr>
          <w:sz w:val="24"/>
          <w:szCs w:val="24"/>
        </w:rPr>
      </w:pPr>
      <w:r w:rsidRPr="00805FF4">
        <w:rPr>
          <w:sz w:val="24"/>
          <w:szCs w:val="24"/>
        </w:rPr>
        <w:t>Several U.S. banks have established a significant global presence, leveraging their resources and expertise to operate in international markets. Key players include:</w:t>
      </w:r>
    </w:p>
    <w:p w14:paraId="1BD911CE" w14:textId="334334DE" w:rsidR="007B72D8" w:rsidRPr="009672C4" w:rsidRDefault="007B72D8" w:rsidP="007B72D8">
      <w:pPr>
        <w:rPr>
          <w:b/>
          <w:bCs/>
          <w:sz w:val="24"/>
          <w:szCs w:val="24"/>
        </w:rPr>
      </w:pPr>
      <w:r w:rsidRPr="009672C4">
        <w:rPr>
          <w:b/>
          <w:bCs/>
          <w:sz w:val="24"/>
          <w:szCs w:val="24"/>
        </w:rPr>
        <w:t xml:space="preserve">1. JPMorgan Chase: </w:t>
      </w:r>
    </w:p>
    <w:p w14:paraId="718CC873" w14:textId="77777777" w:rsidR="007B72D8" w:rsidRPr="00805FF4" w:rsidRDefault="007B72D8" w:rsidP="007B72D8">
      <w:pPr>
        <w:rPr>
          <w:sz w:val="24"/>
          <w:szCs w:val="24"/>
        </w:rPr>
      </w:pPr>
      <w:r w:rsidRPr="00805FF4">
        <w:rPr>
          <w:sz w:val="24"/>
          <w:szCs w:val="24"/>
        </w:rPr>
        <w:t xml:space="preserve">   With operations in over 60 countries, JPMorgan Chase offers a wide range of financial services, including investment banking, asset management, and commercial banking. Its global presence allows it to serve multinational corporations and institutional clients effectively.</w:t>
      </w:r>
    </w:p>
    <w:p w14:paraId="40D34959" w14:textId="7C488968" w:rsidR="007B72D8" w:rsidRPr="009672C4" w:rsidRDefault="007B72D8" w:rsidP="007B72D8">
      <w:pPr>
        <w:rPr>
          <w:b/>
          <w:bCs/>
          <w:sz w:val="24"/>
          <w:szCs w:val="24"/>
        </w:rPr>
      </w:pPr>
      <w:r w:rsidRPr="009672C4">
        <w:rPr>
          <w:b/>
          <w:bCs/>
          <w:sz w:val="24"/>
          <w:szCs w:val="24"/>
        </w:rPr>
        <w:t xml:space="preserve">2. Bank of America: </w:t>
      </w:r>
    </w:p>
    <w:p w14:paraId="04B1B0E7" w14:textId="77777777" w:rsidR="007B72D8" w:rsidRPr="00805FF4" w:rsidRDefault="007B72D8" w:rsidP="007B72D8">
      <w:pPr>
        <w:rPr>
          <w:sz w:val="24"/>
          <w:szCs w:val="24"/>
        </w:rPr>
      </w:pPr>
      <w:r w:rsidRPr="00805FF4">
        <w:rPr>
          <w:sz w:val="24"/>
          <w:szCs w:val="24"/>
        </w:rPr>
        <w:t xml:space="preserve">   Bank of America operates in more than 35 countries, providing comprehensive financial services to individuals, businesses, and governments. Its international branches support global clients and enhance the bank’s market reach.</w:t>
      </w:r>
    </w:p>
    <w:p w14:paraId="3243B4A7" w14:textId="0B584C78" w:rsidR="007B72D8" w:rsidRPr="009672C4" w:rsidRDefault="007B72D8" w:rsidP="007B72D8">
      <w:pPr>
        <w:rPr>
          <w:b/>
          <w:bCs/>
          <w:sz w:val="24"/>
          <w:szCs w:val="24"/>
        </w:rPr>
      </w:pPr>
      <w:r w:rsidRPr="009672C4">
        <w:rPr>
          <w:b/>
          <w:bCs/>
          <w:sz w:val="24"/>
          <w:szCs w:val="24"/>
        </w:rPr>
        <w:t xml:space="preserve">3. Citigroup: </w:t>
      </w:r>
    </w:p>
    <w:p w14:paraId="56FDF796" w14:textId="349E03EE" w:rsidR="007B72D8" w:rsidRPr="00805FF4" w:rsidRDefault="007B72D8" w:rsidP="007B72D8">
      <w:pPr>
        <w:rPr>
          <w:sz w:val="24"/>
          <w:szCs w:val="24"/>
        </w:rPr>
      </w:pPr>
      <w:r w:rsidRPr="00805FF4">
        <w:rPr>
          <w:sz w:val="24"/>
          <w:szCs w:val="24"/>
        </w:rPr>
        <w:t xml:space="preserve">   Citigroup is one of the most globally diversified U.S. banks, with operations in over 100 countries. Its extensive network enables it to offer tailored financial solutions to clients worldwide, including retail banking, credit cards, and corporate banking services.</w:t>
      </w:r>
    </w:p>
    <w:p w14:paraId="68101912" w14:textId="524DC44D" w:rsidR="007B72D8" w:rsidRPr="009672C4" w:rsidRDefault="007B72D8" w:rsidP="007B72D8">
      <w:pPr>
        <w:rPr>
          <w:b/>
          <w:bCs/>
          <w:sz w:val="24"/>
          <w:szCs w:val="24"/>
        </w:rPr>
      </w:pPr>
      <w:r w:rsidRPr="009672C4">
        <w:rPr>
          <w:b/>
          <w:bCs/>
          <w:sz w:val="24"/>
          <w:szCs w:val="24"/>
        </w:rPr>
        <w:t xml:space="preserve">4. Goldman Sachs: </w:t>
      </w:r>
    </w:p>
    <w:p w14:paraId="4C9EB0BD" w14:textId="77777777" w:rsidR="007B72D8" w:rsidRPr="00805FF4" w:rsidRDefault="007B72D8" w:rsidP="007B72D8">
      <w:pPr>
        <w:rPr>
          <w:sz w:val="24"/>
          <w:szCs w:val="24"/>
        </w:rPr>
      </w:pPr>
      <w:r w:rsidRPr="00805FF4">
        <w:rPr>
          <w:sz w:val="24"/>
          <w:szCs w:val="24"/>
        </w:rPr>
        <w:t xml:space="preserve">   Goldman Sachs operates in major financial </w:t>
      </w:r>
      <w:proofErr w:type="spellStart"/>
      <w:r w:rsidRPr="00805FF4">
        <w:rPr>
          <w:sz w:val="24"/>
          <w:szCs w:val="24"/>
        </w:rPr>
        <w:t>centers</w:t>
      </w:r>
      <w:proofErr w:type="spellEnd"/>
      <w:r w:rsidRPr="00805FF4">
        <w:rPr>
          <w:sz w:val="24"/>
          <w:szCs w:val="24"/>
        </w:rPr>
        <w:t xml:space="preserve"> globally, offering investment banking, securities, and asset management services. Its international presence supports its strategic goal of being a leading global financial institution.</w:t>
      </w:r>
    </w:p>
    <w:p w14:paraId="3647AA9F" w14:textId="584BA369" w:rsidR="007B72D8" w:rsidRPr="009672C4" w:rsidRDefault="007B72D8" w:rsidP="007B72D8">
      <w:pPr>
        <w:rPr>
          <w:b/>
          <w:bCs/>
          <w:sz w:val="24"/>
          <w:szCs w:val="24"/>
        </w:rPr>
      </w:pPr>
      <w:r w:rsidRPr="009672C4">
        <w:rPr>
          <w:b/>
          <w:bCs/>
          <w:sz w:val="24"/>
          <w:szCs w:val="24"/>
        </w:rPr>
        <w:t xml:space="preserve">5. Morgan Stanley: </w:t>
      </w:r>
    </w:p>
    <w:p w14:paraId="76696435" w14:textId="77777777" w:rsidR="007B72D8" w:rsidRPr="00805FF4" w:rsidRDefault="007B72D8" w:rsidP="007B72D8">
      <w:pPr>
        <w:rPr>
          <w:sz w:val="24"/>
          <w:szCs w:val="24"/>
        </w:rPr>
      </w:pPr>
      <w:r w:rsidRPr="00805FF4">
        <w:rPr>
          <w:sz w:val="24"/>
          <w:szCs w:val="24"/>
        </w:rPr>
        <w:t xml:space="preserve">   Morgan Stanley has a strong international footprint, with operations in key markets across the Americas, Europe, Asia, and the Middle East. It provides a broad range of financial services, including investment banking, wealth management, and institutional securities.</w:t>
      </w:r>
    </w:p>
    <w:p w14:paraId="7218FF8E" w14:textId="1E9E6D05" w:rsidR="007B72D8" w:rsidRPr="00805FF4" w:rsidRDefault="007B72D8" w:rsidP="009672C4">
      <w:pPr>
        <w:pStyle w:val="Heading2"/>
      </w:pPr>
      <w:r w:rsidRPr="00805FF4">
        <w:t>Reasons for Globalization</w:t>
      </w:r>
    </w:p>
    <w:p w14:paraId="559C5544" w14:textId="7E69234E" w:rsidR="007B72D8" w:rsidRPr="009672C4" w:rsidRDefault="007B72D8" w:rsidP="007B72D8">
      <w:pPr>
        <w:rPr>
          <w:b/>
          <w:bCs/>
          <w:sz w:val="24"/>
          <w:szCs w:val="24"/>
        </w:rPr>
      </w:pPr>
      <w:r w:rsidRPr="009672C4">
        <w:rPr>
          <w:b/>
          <w:bCs/>
          <w:sz w:val="24"/>
          <w:szCs w:val="24"/>
        </w:rPr>
        <w:t xml:space="preserve">1. Growth Opportunities: </w:t>
      </w:r>
    </w:p>
    <w:p w14:paraId="6F4A7953" w14:textId="0B308AD3" w:rsidR="007B72D8" w:rsidRDefault="007B72D8" w:rsidP="007B72D8">
      <w:pPr>
        <w:rPr>
          <w:sz w:val="24"/>
          <w:szCs w:val="24"/>
        </w:rPr>
      </w:pPr>
      <w:r w:rsidRPr="00805FF4">
        <w:rPr>
          <w:sz w:val="24"/>
          <w:szCs w:val="24"/>
        </w:rPr>
        <w:t xml:space="preserve">   International markets, particularly emerging economies, offer significant growth potential for U.S. banks. These markets have expanding middle classes, increasing demand for financial services, and higher growth rates compared to mature economies. By entering these markets, U.S. banks can tap into new revenue streams and drive overall growth. For example, Goldman Sachs has focused on Asia’s growing economies to capture high-growth opportunities.</w:t>
      </w:r>
    </w:p>
    <w:p w14:paraId="3A989947" w14:textId="0B3D0FA3" w:rsidR="009672C4" w:rsidRPr="00805FF4" w:rsidRDefault="009672C4" w:rsidP="007B72D8">
      <w:pPr>
        <w:rPr>
          <w:sz w:val="24"/>
          <w:szCs w:val="24"/>
        </w:rPr>
      </w:pPr>
      <w:r>
        <w:rPr>
          <w:sz w:val="24"/>
          <w:szCs w:val="24"/>
        </w:rPr>
        <w:br w:type="page"/>
      </w:r>
    </w:p>
    <w:p w14:paraId="171D54F3" w14:textId="18C55482" w:rsidR="007B72D8" w:rsidRPr="009672C4" w:rsidRDefault="007B72D8" w:rsidP="007B72D8">
      <w:pPr>
        <w:rPr>
          <w:b/>
          <w:bCs/>
          <w:sz w:val="24"/>
          <w:szCs w:val="24"/>
        </w:rPr>
      </w:pPr>
      <w:r w:rsidRPr="009672C4">
        <w:rPr>
          <w:b/>
          <w:bCs/>
          <w:sz w:val="24"/>
          <w:szCs w:val="24"/>
        </w:rPr>
        <w:lastRenderedPageBreak/>
        <w:t xml:space="preserve">2. Diversification: </w:t>
      </w:r>
    </w:p>
    <w:p w14:paraId="3F65BA45" w14:textId="6FDD3CAA" w:rsidR="007B72D8" w:rsidRPr="00805FF4" w:rsidRDefault="007B72D8" w:rsidP="007B72D8">
      <w:pPr>
        <w:rPr>
          <w:sz w:val="24"/>
          <w:szCs w:val="24"/>
        </w:rPr>
      </w:pPr>
      <w:r w:rsidRPr="00805FF4">
        <w:rPr>
          <w:sz w:val="24"/>
          <w:szCs w:val="24"/>
        </w:rPr>
        <w:t xml:space="preserve">   Global expansion allows U.S. banks to diversify their operations and reduce reliance on the domestic market. This diversification spreads risks across multiple regions, enhancing financial stability. Economic downturns in one region can be offset by growth in another, ensuring more consistent performance. For instance, Citigroup’s global diversification helps mitigate the impact of economic cycles in the U.S.</w:t>
      </w:r>
    </w:p>
    <w:p w14:paraId="3CA7B1F9" w14:textId="0AE19217" w:rsidR="007B72D8" w:rsidRPr="009672C4" w:rsidRDefault="007B72D8" w:rsidP="007B72D8">
      <w:pPr>
        <w:rPr>
          <w:b/>
          <w:bCs/>
          <w:sz w:val="24"/>
          <w:szCs w:val="24"/>
        </w:rPr>
      </w:pPr>
      <w:r w:rsidRPr="009672C4">
        <w:rPr>
          <w:b/>
          <w:bCs/>
          <w:sz w:val="24"/>
          <w:szCs w:val="24"/>
        </w:rPr>
        <w:t xml:space="preserve">3. Client Demands: </w:t>
      </w:r>
    </w:p>
    <w:p w14:paraId="696061BD" w14:textId="156D261E" w:rsidR="007B72D8" w:rsidRPr="00805FF4" w:rsidRDefault="007B72D8" w:rsidP="007B72D8">
      <w:pPr>
        <w:rPr>
          <w:sz w:val="24"/>
          <w:szCs w:val="24"/>
        </w:rPr>
      </w:pPr>
      <w:r w:rsidRPr="00805FF4">
        <w:rPr>
          <w:sz w:val="24"/>
          <w:szCs w:val="24"/>
        </w:rPr>
        <w:t xml:space="preserve">   Multinational clients require banking services that support their global operations. U.S. banks with international presence can offer seamless services across borders, meeting the needs of corporate clients. This ability to provide integrated global solutions enhances client relationships and loyalty. For example, JPMorgan Chase’s international network supports its corporate clients’ global banking requirements.</w:t>
      </w:r>
    </w:p>
    <w:p w14:paraId="31927C4F" w14:textId="5A678DC7" w:rsidR="007B72D8" w:rsidRPr="009672C4" w:rsidRDefault="007B72D8" w:rsidP="007B72D8">
      <w:pPr>
        <w:rPr>
          <w:b/>
          <w:bCs/>
          <w:sz w:val="24"/>
          <w:szCs w:val="24"/>
        </w:rPr>
      </w:pPr>
      <w:r w:rsidRPr="009672C4">
        <w:rPr>
          <w:b/>
          <w:bCs/>
          <w:sz w:val="24"/>
          <w:szCs w:val="24"/>
        </w:rPr>
        <w:t xml:space="preserve">4. Competitive Advantage: </w:t>
      </w:r>
    </w:p>
    <w:p w14:paraId="5BB7A4B6" w14:textId="77777777" w:rsidR="007B72D8" w:rsidRPr="00805FF4" w:rsidRDefault="007B72D8" w:rsidP="007B72D8">
      <w:pPr>
        <w:rPr>
          <w:sz w:val="24"/>
          <w:szCs w:val="24"/>
        </w:rPr>
      </w:pPr>
      <w:r w:rsidRPr="00805FF4">
        <w:rPr>
          <w:sz w:val="24"/>
          <w:szCs w:val="24"/>
        </w:rPr>
        <w:t xml:space="preserve">   Global presence enhances a bank’s competitive positioning in the financial industry. U.S. banks that operate internationally can leverage their global network, diversified product offerings, and extensive resources to stay ahead of competitors. Being recognized as a global player also boosts brand reputation and credibility. For instance, Bank of America’s global operations strengthen its competitive edge in attracting international clients and investors.</w:t>
      </w:r>
    </w:p>
    <w:p w14:paraId="75AFBC96" w14:textId="6EE8E356" w:rsidR="007B72D8" w:rsidRPr="009672C4" w:rsidRDefault="007B72D8" w:rsidP="009672C4">
      <w:pPr>
        <w:pStyle w:val="Heading2"/>
      </w:pPr>
      <w:r w:rsidRPr="00805FF4">
        <w:t>Competition</w:t>
      </w:r>
      <w:r w:rsidR="009672C4">
        <w:t xml:space="preserve"> </w:t>
      </w:r>
      <w:r w:rsidRPr="00805FF4">
        <w:t>U.S. banks face competition from:</w:t>
      </w:r>
    </w:p>
    <w:p w14:paraId="71E2C08C" w14:textId="7380987E" w:rsidR="007B72D8" w:rsidRPr="009672C4" w:rsidRDefault="007B72D8" w:rsidP="007B72D8">
      <w:pPr>
        <w:rPr>
          <w:b/>
          <w:bCs/>
          <w:sz w:val="24"/>
          <w:szCs w:val="24"/>
        </w:rPr>
      </w:pPr>
      <w:r w:rsidRPr="009672C4">
        <w:rPr>
          <w:b/>
          <w:bCs/>
          <w:sz w:val="24"/>
          <w:szCs w:val="24"/>
        </w:rPr>
        <w:t xml:space="preserve">1. Other Global Banks: </w:t>
      </w:r>
    </w:p>
    <w:p w14:paraId="2301B705" w14:textId="77777777" w:rsidR="007B72D8" w:rsidRPr="00805FF4" w:rsidRDefault="007B72D8" w:rsidP="007B72D8">
      <w:pPr>
        <w:rPr>
          <w:sz w:val="24"/>
          <w:szCs w:val="24"/>
        </w:rPr>
      </w:pPr>
      <w:r w:rsidRPr="00805FF4">
        <w:rPr>
          <w:sz w:val="24"/>
          <w:szCs w:val="24"/>
        </w:rPr>
        <w:t xml:space="preserve">   Banks from Europe, Asia, and other regions also pursue globalization strategies, creating a competitive landscape. Leading global banks like HSBC, Deutsche Bank, and Barclays compete with U.S. banks for market share in international markets. These banks have established their presence in key financial </w:t>
      </w:r>
      <w:proofErr w:type="spellStart"/>
      <w:r w:rsidRPr="00805FF4">
        <w:rPr>
          <w:sz w:val="24"/>
          <w:szCs w:val="24"/>
        </w:rPr>
        <w:t>centers</w:t>
      </w:r>
      <w:proofErr w:type="spellEnd"/>
      <w:r w:rsidRPr="00805FF4">
        <w:rPr>
          <w:sz w:val="24"/>
          <w:szCs w:val="24"/>
        </w:rPr>
        <w:t>, offering similar services and targeting the same client base.</w:t>
      </w:r>
    </w:p>
    <w:p w14:paraId="3763C636" w14:textId="355FEB67" w:rsidR="007B72D8" w:rsidRPr="009672C4" w:rsidRDefault="007B72D8" w:rsidP="007B72D8">
      <w:pPr>
        <w:rPr>
          <w:b/>
          <w:bCs/>
          <w:sz w:val="24"/>
          <w:szCs w:val="24"/>
        </w:rPr>
      </w:pPr>
      <w:r w:rsidRPr="009672C4">
        <w:rPr>
          <w:b/>
          <w:bCs/>
          <w:sz w:val="24"/>
          <w:szCs w:val="24"/>
        </w:rPr>
        <w:t xml:space="preserve">2. Local Banks: </w:t>
      </w:r>
    </w:p>
    <w:p w14:paraId="09B7E1DC" w14:textId="77777777" w:rsidR="007B72D8" w:rsidRPr="00805FF4" w:rsidRDefault="007B72D8" w:rsidP="007B72D8">
      <w:pPr>
        <w:rPr>
          <w:sz w:val="24"/>
          <w:szCs w:val="24"/>
        </w:rPr>
      </w:pPr>
      <w:r w:rsidRPr="00805FF4">
        <w:rPr>
          <w:sz w:val="24"/>
          <w:szCs w:val="24"/>
        </w:rPr>
        <w:t xml:space="preserve">   In foreign markets, U.S. banks compete with strong domestic players that have deep-rooted customer relationships and local market expertise. These local banks often understand the cultural and regulatory nuances better, giving them an advantage. For example, in India, U.S. banks compete with well-established local banks like HDFC Bank and ICICI Bank, which have extensive networks and customer loyalty.</w:t>
      </w:r>
    </w:p>
    <w:p w14:paraId="01449D3E" w14:textId="35B6D580" w:rsidR="007B72D8" w:rsidRPr="009672C4" w:rsidRDefault="007B72D8" w:rsidP="007B72D8">
      <w:pPr>
        <w:rPr>
          <w:b/>
          <w:bCs/>
          <w:sz w:val="24"/>
          <w:szCs w:val="24"/>
        </w:rPr>
      </w:pPr>
      <w:r w:rsidRPr="009672C4">
        <w:rPr>
          <w:b/>
          <w:bCs/>
          <w:sz w:val="24"/>
          <w:szCs w:val="24"/>
        </w:rPr>
        <w:t xml:space="preserve">3. Fintech Companies: </w:t>
      </w:r>
    </w:p>
    <w:p w14:paraId="40510773" w14:textId="77777777" w:rsidR="007B72D8" w:rsidRPr="00805FF4" w:rsidRDefault="007B72D8" w:rsidP="007B72D8">
      <w:pPr>
        <w:rPr>
          <w:sz w:val="24"/>
          <w:szCs w:val="24"/>
        </w:rPr>
      </w:pPr>
      <w:r w:rsidRPr="00805FF4">
        <w:rPr>
          <w:sz w:val="24"/>
          <w:szCs w:val="24"/>
        </w:rPr>
        <w:t xml:space="preserve">   The rise of fintech companies poses a significant competitive threat to traditional banks. Fintech firms offer innovative financial solutions, often with a focus on digital services, cost efficiency, and customer experience. U.S. banks must adapt to this disruption by investing in technology and innovation to stay competitive. For example, </w:t>
      </w:r>
      <w:r w:rsidRPr="00805FF4">
        <w:rPr>
          <w:sz w:val="24"/>
          <w:szCs w:val="24"/>
        </w:rPr>
        <w:lastRenderedPageBreak/>
        <w:t>Goldman Sachs’ digital platform Marcus competes with fintech companies in providing online lending and savings products.</w:t>
      </w:r>
    </w:p>
    <w:p w14:paraId="3FBC0C08" w14:textId="3DAA517E" w:rsidR="007B72D8" w:rsidRPr="00805FF4" w:rsidRDefault="007B72D8" w:rsidP="009672C4">
      <w:pPr>
        <w:pStyle w:val="Heading2"/>
      </w:pPr>
      <w:r w:rsidRPr="00805FF4">
        <w:t>Future of Globalization</w:t>
      </w:r>
    </w:p>
    <w:p w14:paraId="2C265B42" w14:textId="17E1B1B8" w:rsidR="007B72D8" w:rsidRPr="009672C4" w:rsidRDefault="007B72D8" w:rsidP="007B72D8">
      <w:pPr>
        <w:rPr>
          <w:b/>
          <w:bCs/>
          <w:sz w:val="24"/>
          <w:szCs w:val="24"/>
        </w:rPr>
      </w:pPr>
      <w:r w:rsidRPr="009672C4">
        <w:rPr>
          <w:b/>
          <w:bCs/>
          <w:sz w:val="24"/>
          <w:szCs w:val="24"/>
        </w:rPr>
        <w:t xml:space="preserve">1. Digital Transformation: </w:t>
      </w:r>
    </w:p>
    <w:p w14:paraId="5687D056" w14:textId="77777777" w:rsidR="007B72D8" w:rsidRPr="00805FF4" w:rsidRDefault="007B72D8" w:rsidP="007B72D8">
      <w:pPr>
        <w:rPr>
          <w:sz w:val="24"/>
          <w:szCs w:val="24"/>
        </w:rPr>
      </w:pPr>
      <w:r w:rsidRPr="00805FF4">
        <w:rPr>
          <w:sz w:val="24"/>
          <w:szCs w:val="24"/>
        </w:rPr>
        <w:t xml:space="preserve">   The future of banking globalization is increasingly digital. U.S. banks will rely more on digital platforms to expand their reach and offer seamless services globally. Digital transformation enables banks to provide efficient, scalable, and customer-centric solutions. Advancements in fintech, AI, blockchain, and cybersecurity will drive innovation and enhance global banking operations. For instance, JPMorgan Chase is investing in blockchain technology to streamline cross-border transactions and improve transparency.</w:t>
      </w:r>
    </w:p>
    <w:p w14:paraId="2C871AD6" w14:textId="6183E805" w:rsidR="007B72D8" w:rsidRPr="009672C4" w:rsidRDefault="007B72D8" w:rsidP="007B72D8">
      <w:pPr>
        <w:rPr>
          <w:b/>
          <w:bCs/>
          <w:sz w:val="24"/>
          <w:szCs w:val="24"/>
        </w:rPr>
      </w:pPr>
      <w:r w:rsidRPr="009672C4">
        <w:rPr>
          <w:b/>
          <w:bCs/>
          <w:sz w:val="24"/>
          <w:szCs w:val="24"/>
        </w:rPr>
        <w:t xml:space="preserve">2. Regulatory Harmonization: </w:t>
      </w:r>
    </w:p>
    <w:p w14:paraId="561D3D36" w14:textId="77777777" w:rsidR="007B72D8" w:rsidRPr="00805FF4" w:rsidRDefault="007B72D8" w:rsidP="007B72D8">
      <w:pPr>
        <w:rPr>
          <w:sz w:val="24"/>
          <w:szCs w:val="24"/>
        </w:rPr>
      </w:pPr>
      <w:r w:rsidRPr="00805FF4">
        <w:rPr>
          <w:sz w:val="24"/>
          <w:szCs w:val="24"/>
        </w:rPr>
        <w:t xml:space="preserve">   There may be a trend towards more standardized global banking regulations to facilitate smoother international operations. Regulatory harmonization can reduce compliance complexities and enhance cooperation among global financial institutions. Efforts by international bodies like the Basel Committee on Banking Supervision aim to create consistent regulatory frameworks. This harmonization would benefit U.S. banks by simplifying compliance and reducing operational costs.</w:t>
      </w:r>
    </w:p>
    <w:p w14:paraId="45525718" w14:textId="0223B37D" w:rsidR="007B72D8" w:rsidRPr="009672C4" w:rsidRDefault="007B72D8" w:rsidP="007B72D8">
      <w:pPr>
        <w:rPr>
          <w:b/>
          <w:bCs/>
          <w:sz w:val="24"/>
          <w:szCs w:val="24"/>
        </w:rPr>
      </w:pPr>
      <w:r w:rsidRPr="009672C4">
        <w:rPr>
          <w:b/>
          <w:bCs/>
          <w:sz w:val="24"/>
          <w:szCs w:val="24"/>
        </w:rPr>
        <w:t xml:space="preserve">3. Sustainable Banking: </w:t>
      </w:r>
    </w:p>
    <w:p w14:paraId="02E41FEB" w14:textId="77777777" w:rsidR="007B72D8" w:rsidRPr="00805FF4" w:rsidRDefault="007B72D8" w:rsidP="007B72D8">
      <w:pPr>
        <w:rPr>
          <w:sz w:val="24"/>
          <w:szCs w:val="24"/>
        </w:rPr>
      </w:pPr>
      <w:r w:rsidRPr="00805FF4">
        <w:rPr>
          <w:sz w:val="24"/>
          <w:szCs w:val="24"/>
        </w:rPr>
        <w:t xml:space="preserve">   Focus on sustainable and socially responsible banking practices will shape the future of globalization. U.S. banks are increasingly integrating environmental, social, and governance (ESG) criteria into their operations and investment strategies. Global initiatives like the United Nations’ Principles for Responsible Banking encourage banks to contribute to sustainable development. For example, Bank of America has committed to financing sustainable projects globally, aligning its operations with ESG goals.</w:t>
      </w:r>
    </w:p>
    <w:p w14:paraId="6AFA1C5D" w14:textId="33B252F2" w:rsidR="007B72D8" w:rsidRPr="009672C4" w:rsidRDefault="007B72D8" w:rsidP="007B72D8">
      <w:pPr>
        <w:rPr>
          <w:b/>
          <w:bCs/>
          <w:sz w:val="24"/>
          <w:szCs w:val="24"/>
        </w:rPr>
      </w:pPr>
      <w:r w:rsidRPr="009672C4">
        <w:rPr>
          <w:b/>
          <w:bCs/>
          <w:sz w:val="24"/>
          <w:szCs w:val="24"/>
        </w:rPr>
        <w:t xml:space="preserve">4. Geopolitical Shifts: </w:t>
      </w:r>
    </w:p>
    <w:p w14:paraId="181F1011" w14:textId="77777777" w:rsidR="007B72D8" w:rsidRPr="00805FF4" w:rsidRDefault="007B72D8" w:rsidP="007B72D8">
      <w:pPr>
        <w:rPr>
          <w:sz w:val="24"/>
          <w:szCs w:val="24"/>
        </w:rPr>
      </w:pPr>
      <w:r w:rsidRPr="00805FF4">
        <w:rPr>
          <w:sz w:val="24"/>
          <w:szCs w:val="24"/>
        </w:rPr>
        <w:t xml:space="preserve">   Geopolitical dynamics will continue to influence the globalization strategies of U.S. banks. Changes in trade policies, economic agreements, and political alliances can impact international operations. U.S. banks must remain agile and adaptive to geopolitical shifts, adjusting their strategies to navigate emerging risks and opportunities. For instance, the evolving U.S.-China trade relationship requires banks to carefully manage their operations and investments in China.</w:t>
      </w:r>
    </w:p>
    <w:p w14:paraId="406D38BC" w14:textId="052E6976" w:rsidR="008A21E4" w:rsidRDefault="007B72D8" w:rsidP="007B72D8">
      <w:pPr>
        <w:rPr>
          <w:sz w:val="24"/>
          <w:szCs w:val="24"/>
        </w:rPr>
      </w:pPr>
      <w:r w:rsidRPr="00805FF4">
        <w:rPr>
          <w:sz w:val="24"/>
          <w:szCs w:val="24"/>
        </w:rPr>
        <w:t>In conclusion, while globalization presents significant opportunities for U.S. banks, it also involves navigating complex risks and challenges. Success in global markets requires a strategic approach, local expertise, robust risk management, and continuous adaptation to changing global dynamics. As the financial landscape evolves, U.S. banks must embrace innovation and sustainability to maintain their competitive edge and drive future growth.</w:t>
      </w:r>
    </w:p>
    <w:p w14:paraId="5A1E730A" w14:textId="0762773B" w:rsidR="003213DE" w:rsidRDefault="003213DE" w:rsidP="009C1520">
      <w:pPr>
        <w:pStyle w:val="Heading1"/>
        <w:jc w:val="center"/>
      </w:pPr>
      <w:r>
        <w:lastRenderedPageBreak/>
        <w:t>Key Metrics for International Operations</w:t>
      </w:r>
    </w:p>
    <w:p w14:paraId="18EBBDB0" w14:textId="77777777" w:rsidR="009C1520" w:rsidRPr="009C1520" w:rsidRDefault="009C1520" w:rsidP="009C1520"/>
    <w:tbl>
      <w:tblPr>
        <w:tblStyle w:val="GridTable2"/>
        <w:tblW w:w="9214" w:type="dxa"/>
        <w:tblLook w:val="04A0" w:firstRow="1" w:lastRow="0" w:firstColumn="1" w:lastColumn="0" w:noHBand="0" w:noVBand="1"/>
      </w:tblPr>
      <w:tblGrid>
        <w:gridCol w:w="1261"/>
        <w:gridCol w:w="1245"/>
        <w:gridCol w:w="1606"/>
        <w:gridCol w:w="2495"/>
        <w:gridCol w:w="2757"/>
      </w:tblGrid>
      <w:tr w:rsidR="009C1520" w:rsidRPr="009C1520" w14:paraId="1697E56A" w14:textId="77777777" w:rsidTr="007A495D">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161" w:type="dxa"/>
            <w:noWrap/>
            <w:hideMark/>
          </w:tcPr>
          <w:p w14:paraId="3F380FF4" w14:textId="77777777" w:rsidR="009C1520" w:rsidRPr="009C1520" w:rsidRDefault="009C1520">
            <w:pPr>
              <w:rPr>
                <w:sz w:val="24"/>
                <w:szCs w:val="24"/>
              </w:rPr>
            </w:pPr>
            <w:r w:rsidRPr="009C1520">
              <w:rPr>
                <w:sz w:val="24"/>
                <w:szCs w:val="24"/>
              </w:rPr>
              <w:t>Bank</w:t>
            </w:r>
          </w:p>
        </w:tc>
        <w:tc>
          <w:tcPr>
            <w:tcW w:w="1195" w:type="dxa"/>
            <w:noWrap/>
            <w:hideMark/>
          </w:tcPr>
          <w:p w14:paraId="64C8CD4B" w14:textId="77777777" w:rsidR="009C1520" w:rsidRPr="009C1520" w:rsidRDefault="009C1520">
            <w:pPr>
              <w:cnfStyle w:val="100000000000" w:firstRow="1" w:lastRow="0" w:firstColumn="0" w:lastColumn="0" w:oddVBand="0" w:evenVBand="0" w:oddHBand="0" w:evenHBand="0" w:firstRowFirstColumn="0" w:firstRowLastColumn="0" w:lastRowFirstColumn="0" w:lastRowLastColumn="0"/>
              <w:rPr>
                <w:sz w:val="24"/>
                <w:szCs w:val="24"/>
              </w:rPr>
            </w:pPr>
            <w:r w:rsidRPr="009C1520">
              <w:rPr>
                <w:sz w:val="24"/>
                <w:szCs w:val="24"/>
              </w:rPr>
              <w:t>Number of Foreign Branches</w:t>
            </w:r>
          </w:p>
        </w:tc>
        <w:tc>
          <w:tcPr>
            <w:tcW w:w="1606" w:type="dxa"/>
            <w:noWrap/>
            <w:hideMark/>
          </w:tcPr>
          <w:p w14:paraId="0678A54B" w14:textId="77777777" w:rsidR="009C1520" w:rsidRPr="009C1520" w:rsidRDefault="009C1520">
            <w:pPr>
              <w:cnfStyle w:val="100000000000" w:firstRow="1" w:lastRow="0" w:firstColumn="0" w:lastColumn="0" w:oddVBand="0" w:evenVBand="0" w:oddHBand="0" w:evenHBand="0" w:firstRowFirstColumn="0" w:firstRowLastColumn="0" w:lastRowFirstColumn="0" w:lastRowLastColumn="0"/>
              <w:rPr>
                <w:sz w:val="24"/>
                <w:szCs w:val="24"/>
              </w:rPr>
            </w:pPr>
            <w:r w:rsidRPr="009C1520">
              <w:rPr>
                <w:sz w:val="24"/>
                <w:szCs w:val="24"/>
              </w:rPr>
              <w:t>Number of Foreign Subsidiaries</w:t>
            </w:r>
          </w:p>
        </w:tc>
        <w:tc>
          <w:tcPr>
            <w:tcW w:w="2495" w:type="dxa"/>
            <w:noWrap/>
            <w:hideMark/>
          </w:tcPr>
          <w:p w14:paraId="5D69E910" w14:textId="77777777" w:rsidR="009C1520" w:rsidRPr="009C1520" w:rsidRDefault="009C1520">
            <w:pPr>
              <w:cnfStyle w:val="100000000000" w:firstRow="1" w:lastRow="0" w:firstColumn="0" w:lastColumn="0" w:oddVBand="0" w:evenVBand="0" w:oddHBand="0" w:evenHBand="0" w:firstRowFirstColumn="0" w:firstRowLastColumn="0" w:lastRowFirstColumn="0" w:lastRowLastColumn="0"/>
              <w:rPr>
                <w:sz w:val="24"/>
                <w:szCs w:val="24"/>
              </w:rPr>
            </w:pPr>
            <w:r w:rsidRPr="009C1520">
              <w:rPr>
                <w:sz w:val="24"/>
                <w:szCs w:val="24"/>
              </w:rPr>
              <w:t>Total Assets Managed Internationally (USD trillions)</w:t>
            </w:r>
          </w:p>
        </w:tc>
        <w:tc>
          <w:tcPr>
            <w:tcW w:w="2757" w:type="dxa"/>
            <w:noWrap/>
            <w:hideMark/>
          </w:tcPr>
          <w:p w14:paraId="431EFB34" w14:textId="77777777" w:rsidR="009C1520" w:rsidRPr="009C1520" w:rsidRDefault="009C1520">
            <w:pPr>
              <w:cnfStyle w:val="100000000000" w:firstRow="1" w:lastRow="0" w:firstColumn="0" w:lastColumn="0" w:oddVBand="0" w:evenVBand="0" w:oddHBand="0" w:evenHBand="0" w:firstRowFirstColumn="0" w:firstRowLastColumn="0" w:lastRowFirstColumn="0" w:lastRowLastColumn="0"/>
              <w:rPr>
                <w:sz w:val="24"/>
                <w:szCs w:val="24"/>
              </w:rPr>
            </w:pPr>
            <w:r w:rsidRPr="009C1520">
              <w:rPr>
                <w:sz w:val="24"/>
                <w:szCs w:val="24"/>
              </w:rPr>
              <w:t>Foreign Currency Reserves (USD billions)</w:t>
            </w:r>
          </w:p>
        </w:tc>
      </w:tr>
      <w:tr w:rsidR="007A495D" w:rsidRPr="009C1520" w14:paraId="37F6C9F6" w14:textId="77777777" w:rsidTr="007A49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dxa"/>
            <w:noWrap/>
            <w:hideMark/>
          </w:tcPr>
          <w:p w14:paraId="5C48E015" w14:textId="77777777" w:rsidR="009C1520" w:rsidRPr="009C1520" w:rsidRDefault="009C1520">
            <w:pPr>
              <w:rPr>
                <w:sz w:val="24"/>
                <w:szCs w:val="24"/>
              </w:rPr>
            </w:pPr>
            <w:r w:rsidRPr="009C1520">
              <w:rPr>
                <w:sz w:val="24"/>
                <w:szCs w:val="24"/>
              </w:rPr>
              <w:t>Citibank</w:t>
            </w:r>
          </w:p>
        </w:tc>
        <w:tc>
          <w:tcPr>
            <w:tcW w:w="1195" w:type="dxa"/>
            <w:noWrap/>
            <w:hideMark/>
          </w:tcPr>
          <w:p w14:paraId="72C977E4" w14:textId="77777777" w:rsidR="009C1520" w:rsidRPr="009C1520" w:rsidRDefault="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Over 100</w:t>
            </w:r>
          </w:p>
        </w:tc>
        <w:tc>
          <w:tcPr>
            <w:tcW w:w="1606" w:type="dxa"/>
            <w:noWrap/>
            <w:hideMark/>
          </w:tcPr>
          <w:p w14:paraId="3609661B" w14:textId="77777777" w:rsidR="009C1520" w:rsidRPr="009C1520" w:rsidRDefault="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N/A</w:t>
            </w:r>
          </w:p>
        </w:tc>
        <w:tc>
          <w:tcPr>
            <w:tcW w:w="2495" w:type="dxa"/>
            <w:noWrap/>
            <w:hideMark/>
          </w:tcPr>
          <w:p w14:paraId="219EF273" w14:textId="77777777" w:rsidR="009C1520" w:rsidRPr="009C1520" w:rsidRDefault="009C1520" w:rsidP="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1.1</w:t>
            </w:r>
          </w:p>
        </w:tc>
        <w:tc>
          <w:tcPr>
            <w:tcW w:w="2757" w:type="dxa"/>
            <w:noWrap/>
            <w:hideMark/>
          </w:tcPr>
          <w:p w14:paraId="69C7FB0B" w14:textId="77777777" w:rsidR="009C1520" w:rsidRPr="009C1520" w:rsidRDefault="009C1520" w:rsidP="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200</w:t>
            </w:r>
          </w:p>
        </w:tc>
      </w:tr>
      <w:tr w:rsidR="007A495D" w:rsidRPr="009C1520" w14:paraId="560D66B5" w14:textId="77777777" w:rsidTr="007A495D">
        <w:trPr>
          <w:trHeight w:val="288"/>
        </w:trPr>
        <w:tc>
          <w:tcPr>
            <w:cnfStyle w:val="001000000000" w:firstRow="0" w:lastRow="0" w:firstColumn="1" w:lastColumn="0" w:oddVBand="0" w:evenVBand="0" w:oddHBand="0" w:evenHBand="0" w:firstRowFirstColumn="0" w:firstRowLastColumn="0" w:lastRowFirstColumn="0" w:lastRowLastColumn="0"/>
            <w:tcW w:w="1161" w:type="dxa"/>
            <w:noWrap/>
            <w:hideMark/>
          </w:tcPr>
          <w:p w14:paraId="11AEAA9A" w14:textId="77777777" w:rsidR="009C1520" w:rsidRPr="009C1520" w:rsidRDefault="009C1520">
            <w:pPr>
              <w:rPr>
                <w:sz w:val="24"/>
                <w:szCs w:val="24"/>
              </w:rPr>
            </w:pPr>
            <w:r w:rsidRPr="009C1520">
              <w:rPr>
                <w:sz w:val="24"/>
                <w:szCs w:val="24"/>
              </w:rPr>
              <w:t>JPMorgan Chase</w:t>
            </w:r>
          </w:p>
        </w:tc>
        <w:tc>
          <w:tcPr>
            <w:tcW w:w="1195" w:type="dxa"/>
            <w:noWrap/>
            <w:hideMark/>
          </w:tcPr>
          <w:p w14:paraId="74D38D50" w14:textId="77777777" w:rsidR="009C1520" w:rsidRPr="009C1520" w:rsidRDefault="009C1520">
            <w:pPr>
              <w:cnfStyle w:val="000000000000" w:firstRow="0" w:lastRow="0" w:firstColumn="0" w:lastColumn="0" w:oddVBand="0" w:evenVBand="0" w:oddHBand="0" w:evenHBand="0" w:firstRowFirstColumn="0" w:firstRowLastColumn="0" w:lastRowFirstColumn="0" w:lastRowLastColumn="0"/>
              <w:rPr>
                <w:sz w:val="24"/>
                <w:szCs w:val="24"/>
              </w:rPr>
            </w:pPr>
            <w:r w:rsidRPr="009C1520">
              <w:rPr>
                <w:sz w:val="24"/>
                <w:szCs w:val="24"/>
              </w:rPr>
              <w:t>N/A</w:t>
            </w:r>
          </w:p>
        </w:tc>
        <w:tc>
          <w:tcPr>
            <w:tcW w:w="1606" w:type="dxa"/>
            <w:noWrap/>
            <w:hideMark/>
          </w:tcPr>
          <w:p w14:paraId="72E13F2E" w14:textId="77777777" w:rsidR="009C1520" w:rsidRPr="009C1520" w:rsidRDefault="009C1520">
            <w:pPr>
              <w:cnfStyle w:val="000000000000" w:firstRow="0" w:lastRow="0" w:firstColumn="0" w:lastColumn="0" w:oddVBand="0" w:evenVBand="0" w:oddHBand="0" w:evenHBand="0" w:firstRowFirstColumn="0" w:firstRowLastColumn="0" w:lastRowFirstColumn="0" w:lastRowLastColumn="0"/>
              <w:rPr>
                <w:sz w:val="24"/>
                <w:szCs w:val="24"/>
              </w:rPr>
            </w:pPr>
            <w:r w:rsidRPr="009C1520">
              <w:rPr>
                <w:sz w:val="24"/>
                <w:szCs w:val="24"/>
              </w:rPr>
              <w:t>Over 4000</w:t>
            </w:r>
          </w:p>
        </w:tc>
        <w:tc>
          <w:tcPr>
            <w:tcW w:w="2495" w:type="dxa"/>
            <w:noWrap/>
            <w:hideMark/>
          </w:tcPr>
          <w:p w14:paraId="4641B123" w14:textId="77777777" w:rsidR="009C1520" w:rsidRPr="009C1520" w:rsidRDefault="009C1520" w:rsidP="009C1520">
            <w:pPr>
              <w:cnfStyle w:val="000000000000" w:firstRow="0" w:lastRow="0" w:firstColumn="0" w:lastColumn="0" w:oddVBand="0" w:evenVBand="0" w:oddHBand="0" w:evenHBand="0" w:firstRowFirstColumn="0" w:firstRowLastColumn="0" w:lastRowFirstColumn="0" w:lastRowLastColumn="0"/>
              <w:rPr>
                <w:sz w:val="24"/>
                <w:szCs w:val="24"/>
              </w:rPr>
            </w:pPr>
            <w:r w:rsidRPr="009C1520">
              <w:rPr>
                <w:sz w:val="24"/>
                <w:szCs w:val="24"/>
              </w:rPr>
              <w:t>2.5</w:t>
            </w:r>
          </w:p>
        </w:tc>
        <w:tc>
          <w:tcPr>
            <w:tcW w:w="2757" w:type="dxa"/>
            <w:noWrap/>
            <w:hideMark/>
          </w:tcPr>
          <w:p w14:paraId="61355511" w14:textId="77777777" w:rsidR="009C1520" w:rsidRPr="009C1520" w:rsidRDefault="009C1520" w:rsidP="009C1520">
            <w:pPr>
              <w:cnfStyle w:val="000000000000" w:firstRow="0" w:lastRow="0" w:firstColumn="0" w:lastColumn="0" w:oddVBand="0" w:evenVBand="0" w:oddHBand="0" w:evenHBand="0" w:firstRowFirstColumn="0" w:firstRowLastColumn="0" w:lastRowFirstColumn="0" w:lastRowLastColumn="0"/>
              <w:rPr>
                <w:sz w:val="24"/>
                <w:szCs w:val="24"/>
              </w:rPr>
            </w:pPr>
            <w:r w:rsidRPr="009C1520">
              <w:rPr>
                <w:sz w:val="24"/>
                <w:szCs w:val="24"/>
              </w:rPr>
              <w:t>150</w:t>
            </w:r>
          </w:p>
        </w:tc>
      </w:tr>
      <w:tr w:rsidR="007A495D" w:rsidRPr="009C1520" w14:paraId="3F762303" w14:textId="77777777" w:rsidTr="007A49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dxa"/>
            <w:noWrap/>
            <w:hideMark/>
          </w:tcPr>
          <w:p w14:paraId="5B2A1F6B" w14:textId="77777777" w:rsidR="009C1520" w:rsidRPr="009C1520" w:rsidRDefault="009C1520">
            <w:pPr>
              <w:rPr>
                <w:sz w:val="24"/>
                <w:szCs w:val="24"/>
              </w:rPr>
            </w:pPr>
            <w:r w:rsidRPr="009C1520">
              <w:rPr>
                <w:sz w:val="24"/>
                <w:szCs w:val="24"/>
              </w:rPr>
              <w:t>Bank of America</w:t>
            </w:r>
          </w:p>
        </w:tc>
        <w:tc>
          <w:tcPr>
            <w:tcW w:w="1195" w:type="dxa"/>
            <w:noWrap/>
            <w:hideMark/>
          </w:tcPr>
          <w:p w14:paraId="7A043AC3" w14:textId="77777777" w:rsidR="009C1520" w:rsidRPr="009C1520" w:rsidRDefault="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Over 50</w:t>
            </w:r>
          </w:p>
        </w:tc>
        <w:tc>
          <w:tcPr>
            <w:tcW w:w="1606" w:type="dxa"/>
            <w:noWrap/>
            <w:hideMark/>
          </w:tcPr>
          <w:p w14:paraId="0F4F4474" w14:textId="77777777" w:rsidR="009C1520" w:rsidRPr="009C1520" w:rsidRDefault="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N/A</w:t>
            </w:r>
          </w:p>
        </w:tc>
        <w:tc>
          <w:tcPr>
            <w:tcW w:w="2495" w:type="dxa"/>
            <w:noWrap/>
            <w:hideMark/>
          </w:tcPr>
          <w:p w14:paraId="6F01C21F" w14:textId="77777777" w:rsidR="009C1520" w:rsidRPr="009C1520" w:rsidRDefault="009C1520" w:rsidP="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0.8</w:t>
            </w:r>
          </w:p>
        </w:tc>
        <w:tc>
          <w:tcPr>
            <w:tcW w:w="2757" w:type="dxa"/>
            <w:noWrap/>
            <w:hideMark/>
          </w:tcPr>
          <w:p w14:paraId="31811101" w14:textId="77777777" w:rsidR="009C1520" w:rsidRPr="009C1520" w:rsidRDefault="009C1520" w:rsidP="009C1520">
            <w:pPr>
              <w:cnfStyle w:val="000000100000" w:firstRow="0" w:lastRow="0" w:firstColumn="0" w:lastColumn="0" w:oddVBand="0" w:evenVBand="0" w:oddHBand="1" w:evenHBand="0" w:firstRowFirstColumn="0" w:firstRowLastColumn="0" w:lastRowFirstColumn="0" w:lastRowLastColumn="0"/>
              <w:rPr>
                <w:sz w:val="24"/>
                <w:szCs w:val="24"/>
              </w:rPr>
            </w:pPr>
            <w:r w:rsidRPr="009C1520">
              <w:rPr>
                <w:sz w:val="24"/>
                <w:szCs w:val="24"/>
              </w:rPr>
              <w:t>120</w:t>
            </w:r>
          </w:p>
        </w:tc>
      </w:tr>
    </w:tbl>
    <w:p w14:paraId="6B251343" w14:textId="77777777" w:rsidR="003213DE" w:rsidRDefault="003213DE" w:rsidP="007B72D8">
      <w:pPr>
        <w:rPr>
          <w:sz w:val="24"/>
          <w:szCs w:val="24"/>
        </w:rPr>
      </w:pPr>
    </w:p>
    <w:p w14:paraId="1EA64938" w14:textId="696FEAE8" w:rsidR="007A495D" w:rsidRPr="007A495D" w:rsidRDefault="009C1520" w:rsidP="00EA7648">
      <w:pPr>
        <w:pStyle w:val="Heading1"/>
        <w:jc w:val="center"/>
      </w:pPr>
      <w:r w:rsidRPr="009C1520">
        <w:t>Employment Statistics (2021)</w:t>
      </w:r>
    </w:p>
    <w:tbl>
      <w:tblPr>
        <w:tblStyle w:val="GridTable2"/>
        <w:tblW w:w="9418" w:type="dxa"/>
        <w:tblLook w:val="04A0" w:firstRow="1" w:lastRow="0" w:firstColumn="1" w:lastColumn="0" w:noHBand="0" w:noVBand="1"/>
      </w:tblPr>
      <w:tblGrid>
        <w:gridCol w:w="1509"/>
        <w:gridCol w:w="2849"/>
        <w:gridCol w:w="5060"/>
      </w:tblGrid>
      <w:tr w:rsidR="007A495D" w:rsidRPr="007A495D" w14:paraId="02B710C5" w14:textId="77777777" w:rsidTr="007A495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509" w:type="dxa"/>
            <w:noWrap/>
            <w:hideMark/>
          </w:tcPr>
          <w:p w14:paraId="36B8E9C3" w14:textId="77777777" w:rsidR="007A495D" w:rsidRPr="007A495D" w:rsidRDefault="007A495D">
            <w:r w:rsidRPr="007A495D">
              <w:t>Bank</w:t>
            </w:r>
          </w:p>
        </w:tc>
        <w:tc>
          <w:tcPr>
            <w:tcW w:w="2849" w:type="dxa"/>
            <w:noWrap/>
            <w:hideMark/>
          </w:tcPr>
          <w:p w14:paraId="6EECB37B" w14:textId="77777777" w:rsidR="007A495D" w:rsidRPr="007A495D" w:rsidRDefault="007A495D">
            <w:pPr>
              <w:cnfStyle w:val="100000000000" w:firstRow="1" w:lastRow="0" w:firstColumn="0" w:lastColumn="0" w:oddVBand="0" w:evenVBand="0" w:oddHBand="0" w:evenHBand="0" w:firstRowFirstColumn="0" w:firstRowLastColumn="0" w:lastRowFirstColumn="0" w:lastRowLastColumn="0"/>
            </w:pPr>
            <w:r w:rsidRPr="007A495D">
              <w:t>Global Employment (Employees)</w:t>
            </w:r>
          </w:p>
        </w:tc>
        <w:tc>
          <w:tcPr>
            <w:tcW w:w="5060" w:type="dxa"/>
            <w:noWrap/>
            <w:hideMark/>
          </w:tcPr>
          <w:p w14:paraId="09AE6721" w14:textId="77777777" w:rsidR="007A495D" w:rsidRPr="007A495D" w:rsidRDefault="007A495D">
            <w:pPr>
              <w:cnfStyle w:val="100000000000" w:firstRow="1" w:lastRow="0" w:firstColumn="0" w:lastColumn="0" w:oddVBand="0" w:evenVBand="0" w:oddHBand="0" w:evenHBand="0" w:firstRowFirstColumn="0" w:firstRowLastColumn="0" w:lastRowFirstColumn="0" w:lastRowLastColumn="0"/>
            </w:pPr>
            <w:r w:rsidRPr="007A495D">
              <w:t>Number of Retail Banking Locations Outside U.S.</w:t>
            </w:r>
          </w:p>
        </w:tc>
      </w:tr>
      <w:tr w:rsidR="007A495D" w:rsidRPr="007A495D" w14:paraId="0FBE76B4" w14:textId="77777777" w:rsidTr="007A495D">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509" w:type="dxa"/>
            <w:noWrap/>
            <w:hideMark/>
          </w:tcPr>
          <w:p w14:paraId="440AF663" w14:textId="77777777" w:rsidR="007A495D" w:rsidRPr="007A495D" w:rsidRDefault="007A495D">
            <w:r w:rsidRPr="007A495D">
              <w:t>JPMorgan Chase</w:t>
            </w:r>
          </w:p>
        </w:tc>
        <w:tc>
          <w:tcPr>
            <w:tcW w:w="2849" w:type="dxa"/>
            <w:noWrap/>
            <w:hideMark/>
          </w:tcPr>
          <w:p w14:paraId="739AFCDF" w14:textId="77777777" w:rsidR="007A495D" w:rsidRPr="007A495D" w:rsidRDefault="007A495D">
            <w:pPr>
              <w:cnfStyle w:val="000000100000" w:firstRow="0" w:lastRow="0" w:firstColumn="0" w:lastColumn="0" w:oddVBand="0" w:evenVBand="0" w:oddHBand="1" w:evenHBand="0" w:firstRowFirstColumn="0" w:firstRowLastColumn="0" w:lastRowFirstColumn="0" w:lastRowLastColumn="0"/>
            </w:pPr>
            <w:r w:rsidRPr="007A495D">
              <w:t>Over 255,000</w:t>
            </w:r>
          </w:p>
        </w:tc>
        <w:tc>
          <w:tcPr>
            <w:tcW w:w="5060" w:type="dxa"/>
            <w:noWrap/>
            <w:hideMark/>
          </w:tcPr>
          <w:p w14:paraId="1BE3DDBE" w14:textId="77777777" w:rsidR="007A495D" w:rsidRPr="007A495D" w:rsidRDefault="007A495D">
            <w:pPr>
              <w:cnfStyle w:val="000000100000" w:firstRow="0" w:lastRow="0" w:firstColumn="0" w:lastColumn="0" w:oddVBand="0" w:evenVBand="0" w:oddHBand="1" w:evenHBand="0" w:firstRowFirstColumn="0" w:firstRowLastColumn="0" w:lastRowFirstColumn="0" w:lastRowLastColumn="0"/>
            </w:pPr>
            <w:r w:rsidRPr="007A495D">
              <w:t>N/A</w:t>
            </w:r>
          </w:p>
        </w:tc>
      </w:tr>
      <w:tr w:rsidR="007A495D" w:rsidRPr="007A495D" w14:paraId="76263219" w14:textId="77777777" w:rsidTr="007A495D">
        <w:trPr>
          <w:trHeight w:val="441"/>
        </w:trPr>
        <w:tc>
          <w:tcPr>
            <w:cnfStyle w:val="001000000000" w:firstRow="0" w:lastRow="0" w:firstColumn="1" w:lastColumn="0" w:oddVBand="0" w:evenVBand="0" w:oddHBand="0" w:evenHBand="0" w:firstRowFirstColumn="0" w:firstRowLastColumn="0" w:lastRowFirstColumn="0" w:lastRowLastColumn="0"/>
            <w:tcW w:w="1509" w:type="dxa"/>
            <w:noWrap/>
            <w:hideMark/>
          </w:tcPr>
          <w:p w14:paraId="18DC7F1B" w14:textId="77777777" w:rsidR="007A495D" w:rsidRPr="007A495D" w:rsidRDefault="007A495D">
            <w:r w:rsidRPr="007A495D">
              <w:t>Bank of America</w:t>
            </w:r>
          </w:p>
        </w:tc>
        <w:tc>
          <w:tcPr>
            <w:tcW w:w="2849" w:type="dxa"/>
            <w:noWrap/>
            <w:hideMark/>
          </w:tcPr>
          <w:p w14:paraId="5E04EC9F" w14:textId="77777777" w:rsidR="007A495D" w:rsidRPr="007A495D" w:rsidRDefault="007A495D">
            <w:pPr>
              <w:cnfStyle w:val="000000000000" w:firstRow="0" w:lastRow="0" w:firstColumn="0" w:lastColumn="0" w:oddVBand="0" w:evenVBand="0" w:oddHBand="0" w:evenHBand="0" w:firstRowFirstColumn="0" w:firstRowLastColumn="0" w:lastRowFirstColumn="0" w:lastRowLastColumn="0"/>
            </w:pPr>
            <w:r w:rsidRPr="007A495D">
              <w:t>N/A</w:t>
            </w:r>
          </w:p>
        </w:tc>
        <w:tc>
          <w:tcPr>
            <w:tcW w:w="5060" w:type="dxa"/>
            <w:noWrap/>
            <w:hideMark/>
          </w:tcPr>
          <w:p w14:paraId="7DF68A57" w14:textId="77777777" w:rsidR="007A495D" w:rsidRPr="007A495D" w:rsidRDefault="007A495D">
            <w:pPr>
              <w:cnfStyle w:val="000000000000" w:firstRow="0" w:lastRow="0" w:firstColumn="0" w:lastColumn="0" w:oddVBand="0" w:evenVBand="0" w:oddHBand="0" w:evenHBand="0" w:firstRowFirstColumn="0" w:firstRowLastColumn="0" w:lastRowFirstColumn="0" w:lastRowLastColumn="0"/>
            </w:pPr>
            <w:r w:rsidRPr="007A495D">
              <w:t>Over 1,000 branches and offices in more than 40 countries</w:t>
            </w:r>
          </w:p>
        </w:tc>
      </w:tr>
    </w:tbl>
    <w:p w14:paraId="3B933ABD" w14:textId="77777777" w:rsidR="009C1520" w:rsidRDefault="009C1520" w:rsidP="009C1520">
      <w:pPr>
        <w:rPr>
          <w:b/>
          <w:bCs/>
        </w:rPr>
      </w:pPr>
    </w:p>
    <w:p w14:paraId="10B99A27" w14:textId="77777777" w:rsidR="00EA7648" w:rsidRDefault="00EA7648" w:rsidP="009C1520">
      <w:pPr>
        <w:rPr>
          <w:b/>
          <w:bCs/>
        </w:rPr>
      </w:pPr>
    </w:p>
    <w:p w14:paraId="39578305" w14:textId="1557EEC6" w:rsidR="007A495D" w:rsidRPr="00EA7648" w:rsidRDefault="00EA7648" w:rsidP="009C1520">
      <w:pPr>
        <w:rPr>
          <w:b/>
          <w:bCs/>
          <w:sz w:val="24"/>
          <w:szCs w:val="24"/>
        </w:rPr>
      </w:pPr>
      <w:r w:rsidRPr="00EA7648">
        <w:rPr>
          <w:b/>
          <w:bCs/>
          <w:sz w:val="24"/>
          <w:szCs w:val="24"/>
        </w:rPr>
        <w:t>This chart shows the number of countries where major US banks have operations:</w:t>
      </w:r>
    </w:p>
    <w:tbl>
      <w:tblPr>
        <w:tblStyle w:val="TableGrid"/>
        <w:tblW w:w="9344" w:type="dxa"/>
        <w:tblLook w:val="04A0" w:firstRow="1" w:lastRow="0" w:firstColumn="1" w:lastColumn="0" w:noHBand="0" w:noVBand="1"/>
      </w:tblPr>
      <w:tblGrid>
        <w:gridCol w:w="4158"/>
        <w:gridCol w:w="5186"/>
      </w:tblGrid>
      <w:tr w:rsidR="007A495D" w:rsidRPr="007A495D" w14:paraId="36384DD7" w14:textId="77777777" w:rsidTr="00EA7648">
        <w:trPr>
          <w:trHeight w:val="312"/>
        </w:trPr>
        <w:tc>
          <w:tcPr>
            <w:tcW w:w="4158" w:type="dxa"/>
            <w:noWrap/>
            <w:hideMark/>
          </w:tcPr>
          <w:p w14:paraId="1891DBF6" w14:textId="77777777" w:rsidR="007A495D" w:rsidRPr="007A495D" w:rsidRDefault="007A495D">
            <w:r w:rsidRPr="007A495D">
              <w:t>Bank</w:t>
            </w:r>
          </w:p>
        </w:tc>
        <w:tc>
          <w:tcPr>
            <w:tcW w:w="5186" w:type="dxa"/>
            <w:noWrap/>
            <w:hideMark/>
          </w:tcPr>
          <w:p w14:paraId="2EB022EB" w14:textId="77777777" w:rsidR="007A495D" w:rsidRPr="007A495D" w:rsidRDefault="007A495D">
            <w:r w:rsidRPr="007A495D">
              <w:t>Number of Countries</w:t>
            </w:r>
          </w:p>
        </w:tc>
      </w:tr>
      <w:tr w:rsidR="007A495D" w:rsidRPr="007A495D" w14:paraId="51B0B42B" w14:textId="77777777" w:rsidTr="00EA7648">
        <w:trPr>
          <w:trHeight w:val="312"/>
        </w:trPr>
        <w:tc>
          <w:tcPr>
            <w:tcW w:w="4158" w:type="dxa"/>
            <w:noWrap/>
            <w:hideMark/>
          </w:tcPr>
          <w:p w14:paraId="290EFAFD" w14:textId="77777777" w:rsidR="007A495D" w:rsidRPr="007A495D" w:rsidRDefault="007A495D">
            <w:r w:rsidRPr="007A495D">
              <w:t>Citibank</w:t>
            </w:r>
          </w:p>
        </w:tc>
        <w:tc>
          <w:tcPr>
            <w:tcW w:w="5186" w:type="dxa"/>
            <w:noWrap/>
            <w:hideMark/>
          </w:tcPr>
          <w:p w14:paraId="3EBF7322" w14:textId="24A8B997" w:rsidR="007A495D" w:rsidRPr="007A495D" w:rsidRDefault="007A495D" w:rsidP="007A495D">
            <w:r w:rsidRPr="007A495D">
              <w:t>160</w:t>
            </w:r>
            <w:r w:rsidR="00EA7648">
              <w:t>+</w:t>
            </w:r>
          </w:p>
        </w:tc>
      </w:tr>
      <w:tr w:rsidR="007A495D" w:rsidRPr="007A495D" w14:paraId="11B923FA" w14:textId="77777777" w:rsidTr="00EA7648">
        <w:trPr>
          <w:trHeight w:val="312"/>
        </w:trPr>
        <w:tc>
          <w:tcPr>
            <w:tcW w:w="4158" w:type="dxa"/>
            <w:noWrap/>
            <w:hideMark/>
          </w:tcPr>
          <w:p w14:paraId="02FCC724" w14:textId="77777777" w:rsidR="007A495D" w:rsidRPr="007A495D" w:rsidRDefault="007A495D">
            <w:r w:rsidRPr="007A495D">
              <w:t>JPMorgan Chase</w:t>
            </w:r>
          </w:p>
        </w:tc>
        <w:tc>
          <w:tcPr>
            <w:tcW w:w="5186" w:type="dxa"/>
            <w:noWrap/>
            <w:hideMark/>
          </w:tcPr>
          <w:p w14:paraId="36706AAC" w14:textId="77E49145" w:rsidR="007A495D" w:rsidRPr="007A495D" w:rsidRDefault="007A495D" w:rsidP="007A495D">
            <w:r w:rsidRPr="007A495D">
              <w:t>100</w:t>
            </w:r>
            <w:r w:rsidR="00EA7648">
              <w:t>+</w:t>
            </w:r>
          </w:p>
        </w:tc>
      </w:tr>
      <w:tr w:rsidR="007A495D" w:rsidRPr="007A495D" w14:paraId="0704A01F" w14:textId="77777777" w:rsidTr="00EA7648">
        <w:trPr>
          <w:trHeight w:val="312"/>
        </w:trPr>
        <w:tc>
          <w:tcPr>
            <w:tcW w:w="4158" w:type="dxa"/>
            <w:noWrap/>
            <w:hideMark/>
          </w:tcPr>
          <w:p w14:paraId="06A5EFFC" w14:textId="77777777" w:rsidR="007A495D" w:rsidRPr="007A495D" w:rsidRDefault="007A495D">
            <w:r w:rsidRPr="007A495D">
              <w:t>Bank of America</w:t>
            </w:r>
          </w:p>
        </w:tc>
        <w:tc>
          <w:tcPr>
            <w:tcW w:w="5186" w:type="dxa"/>
            <w:noWrap/>
            <w:hideMark/>
          </w:tcPr>
          <w:p w14:paraId="26F458EF" w14:textId="16A605D8" w:rsidR="007A495D" w:rsidRPr="007A495D" w:rsidRDefault="007A495D" w:rsidP="007A495D">
            <w:r w:rsidRPr="007A495D">
              <w:t>40</w:t>
            </w:r>
            <w:r w:rsidR="00EA7648">
              <w:t>+</w:t>
            </w:r>
          </w:p>
        </w:tc>
      </w:tr>
      <w:tr w:rsidR="007A495D" w:rsidRPr="007A495D" w14:paraId="32549207" w14:textId="77777777" w:rsidTr="00EA7648">
        <w:trPr>
          <w:trHeight w:val="312"/>
        </w:trPr>
        <w:tc>
          <w:tcPr>
            <w:tcW w:w="4158" w:type="dxa"/>
            <w:noWrap/>
            <w:hideMark/>
          </w:tcPr>
          <w:p w14:paraId="577F69D3" w14:textId="77777777" w:rsidR="007A495D" w:rsidRPr="007A495D" w:rsidRDefault="007A495D">
            <w:r w:rsidRPr="007A495D">
              <w:t>Wells Fargo</w:t>
            </w:r>
          </w:p>
        </w:tc>
        <w:tc>
          <w:tcPr>
            <w:tcW w:w="5186" w:type="dxa"/>
            <w:noWrap/>
            <w:hideMark/>
          </w:tcPr>
          <w:p w14:paraId="4E0BB611" w14:textId="7A3AFA05" w:rsidR="007A495D" w:rsidRPr="007A495D" w:rsidRDefault="007A495D" w:rsidP="007A495D">
            <w:r w:rsidRPr="007A495D">
              <w:t>35</w:t>
            </w:r>
            <w:r w:rsidR="00EA7648">
              <w:t>+</w:t>
            </w:r>
          </w:p>
        </w:tc>
      </w:tr>
    </w:tbl>
    <w:p w14:paraId="5F075235" w14:textId="1206012B" w:rsidR="007A495D" w:rsidRDefault="007A495D" w:rsidP="009C1520">
      <w:pPr>
        <w:rPr>
          <w:b/>
          <w:bCs/>
        </w:rPr>
      </w:pPr>
    </w:p>
    <w:p w14:paraId="028EDBA1" w14:textId="0BDAB917" w:rsidR="00EA7648" w:rsidRDefault="00EA7648" w:rsidP="009C1520">
      <w:pPr>
        <w:rPr>
          <w:b/>
          <w:bCs/>
        </w:rPr>
      </w:pPr>
      <w:r>
        <w:rPr>
          <w:noProof/>
        </w:rPr>
        <w:drawing>
          <wp:anchor distT="0" distB="0" distL="114300" distR="114300" simplePos="0" relativeHeight="251658240" behindDoc="0" locked="0" layoutInCell="1" allowOverlap="1" wp14:anchorId="204B3BEB" wp14:editId="6C3B1AED">
            <wp:simplePos x="0" y="0"/>
            <wp:positionH relativeFrom="margin">
              <wp:posOffset>412115</wp:posOffset>
            </wp:positionH>
            <wp:positionV relativeFrom="paragraph">
              <wp:posOffset>131445</wp:posOffset>
            </wp:positionV>
            <wp:extent cx="5020733" cy="2446020"/>
            <wp:effectExtent l="0" t="0" r="8890" b="11430"/>
            <wp:wrapNone/>
            <wp:docPr id="1821310419" name="Chart 1">
              <a:extLst xmlns:a="http://schemas.openxmlformats.org/drawingml/2006/main">
                <a:ext uri="{FF2B5EF4-FFF2-40B4-BE49-F238E27FC236}">
                  <a16:creationId xmlns:a16="http://schemas.microsoft.com/office/drawing/2014/main" id="{715CA238-093B-1D44-AFD5-94FA1C813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D61738B" w14:textId="05CAC318" w:rsidR="00EA7648" w:rsidRDefault="00EA7648" w:rsidP="009C1520">
      <w:pPr>
        <w:rPr>
          <w:b/>
          <w:bCs/>
        </w:rPr>
      </w:pPr>
    </w:p>
    <w:p w14:paraId="76B9943B" w14:textId="25AFE644" w:rsidR="00EA7648" w:rsidRDefault="00EA7648" w:rsidP="009C1520">
      <w:pPr>
        <w:rPr>
          <w:b/>
          <w:bCs/>
        </w:rPr>
      </w:pPr>
    </w:p>
    <w:p w14:paraId="539EC911" w14:textId="3EA0037D" w:rsidR="00EA7648" w:rsidRDefault="00EA7648" w:rsidP="009C1520">
      <w:pPr>
        <w:rPr>
          <w:b/>
          <w:bCs/>
        </w:rPr>
      </w:pPr>
    </w:p>
    <w:p w14:paraId="7CE9442B" w14:textId="77777777" w:rsidR="00EA7648" w:rsidRDefault="00EA7648" w:rsidP="009C1520">
      <w:pPr>
        <w:rPr>
          <w:b/>
          <w:bCs/>
        </w:rPr>
      </w:pPr>
    </w:p>
    <w:p w14:paraId="25FD9EB3" w14:textId="77777777" w:rsidR="00EA7648" w:rsidRDefault="00EA7648" w:rsidP="009C1520">
      <w:pPr>
        <w:rPr>
          <w:b/>
          <w:bCs/>
        </w:rPr>
      </w:pPr>
    </w:p>
    <w:p w14:paraId="4D31DF7D" w14:textId="77777777" w:rsidR="00EA7648" w:rsidRDefault="00EA7648" w:rsidP="009C1520">
      <w:pPr>
        <w:rPr>
          <w:b/>
          <w:bCs/>
        </w:rPr>
      </w:pPr>
    </w:p>
    <w:p w14:paraId="73C38911" w14:textId="77777777" w:rsidR="00EA7648" w:rsidRDefault="00EA7648" w:rsidP="009C1520">
      <w:pPr>
        <w:rPr>
          <w:b/>
          <w:bCs/>
        </w:rPr>
      </w:pPr>
    </w:p>
    <w:p w14:paraId="34CD783A" w14:textId="65E59D10" w:rsidR="00EA7648" w:rsidRDefault="00EA7648" w:rsidP="009C1520">
      <w:pPr>
        <w:rPr>
          <w:b/>
          <w:bCs/>
          <w:sz w:val="24"/>
          <w:szCs w:val="24"/>
        </w:rPr>
      </w:pPr>
      <w:r w:rsidRPr="00EA7648">
        <w:rPr>
          <w:b/>
          <w:bCs/>
          <w:sz w:val="24"/>
          <w:szCs w:val="24"/>
        </w:rPr>
        <w:lastRenderedPageBreak/>
        <w:t>This chart shows the global revenue of major US banks:</w:t>
      </w:r>
    </w:p>
    <w:tbl>
      <w:tblPr>
        <w:tblStyle w:val="TableGrid"/>
        <w:tblW w:w="0" w:type="auto"/>
        <w:tblLook w:val="04A0" w:firstRow="1" w:lastRow="0" w:firstColumn="1" w:lastColumn="0" w:noHBand="0" w:noVBand="1"/>
      </w:tblPr>
      <w:tblGrid>
        <w:gridCol w:w="2053"/>
        <w:gridCol w:w="2746"/>
      </w:tblGrid>
      <w:tr w:rsidR="00EA7648" w:rsidRPr="00EA7648" w14:paraId="3018EA6A" w14:textId="77777777" w:rsidTr="00EA7648">
        <w:trPr>
          <w:trHeight w:val="285"/>
        </w:trPr>
        <w:tc>
          <w:tcPr>
            <w:tcW w:w="2053" w:type="dxa"/>
            <w:noWrap/>
            <w:hideMark/>
          </w:tcPr>
          <w:p w14:paraId="4164219A" w14:textId="77777777" w:rsidR="00EA7648" w:rsidRPr="00EA7648" w:rsidRDefault="00EA7648">
            <w:pPr>
              <w:rPr>
                <w:sz w:val="24"/>
                <w:szCs w:val="24"/>
              </w:rPr>
            </w:pPr>
            <w:r w:rsidRPr="00EA7648">
              <w:rPr>
                <w:sz w:val="24"/>
                <w:szCs w:val="24"/>
              </w:rPr>
              <w:t>Bank</w:t>
            </w:r>
          </w:p>
        </w:tc>
        <w:tc>
          <w:tcPr>
            <w:tcW w:w="2746" w:type="dxa"/>
            <w:noWrap/>
            <w:hideMark/>
          </w:tcPr>
          <w:p w14:paraId="3969EF95" w14:textId="77777777" w:rsidR="00EA7648" w:rsidRPr="00EA7648" w:rsidRDefault="00EA7648">
            <w:pPr>
              <w:rPr>
                <w:sz w:val="24"/>
                <w:szCs w:val="24"/>
              </w:rPr>
            </w:pPr>
            <w:r w:rsidRPr="00EA7648">
              <w:rPr>
                <w:sz w:val="24"/>
                <w:szCs w:val="24"/>
              </w:rPr>
              <w:t>Global Revenue (2020) (in billion)</w:t>
            </w:r>
          </w:p>
        </w:tc>
      </w:tr>
      <w:tr w:rsidR="00EA7648" w:rsidRPr="00EA7648" w14:paraId="5B19B369" w14:textId="77777777" w:rsidTr="00EA7648">
        <w:trPr>
          <w:trHeight w:val="285"/>
        </w:trPr>
        <w:tc>
          <w:tcPr>
            <w:tcW w:w="2053" w:type="dxa"/>
            <w:noWrap/>
            <w:hideMark/>
          </w:tcPr>
          <w:p w14:paraId="46E5C2B1" w14:textId="77777777" w:rsidR="00EA7648" w:rsidRPr="00EA7648" w:rsidRDefault="00EA7648">
            <w:pPr>
              <w:rPr>
                <w:sz w:val="24"/>
                <w:szCs w:val="24"/>
              </w:rPr>
            </w:pPr>
            <w:r w:rsidRPr="00EA7648">
              <w:rPr>
                <w:sz w:val="24"/>
                <w:szCs w:val="24"/>
              </w:rPr>
              <w:t>Citibank</w:t>
            </w:r>
          </w:p>
        </w:tc>
        <w:tc>
          <w:tcPr>
            <w:tcW w:w="2746" w:type="dxa"/>
            <w:noWrap/>
            <w:hideMark/>
          </w:tcPr>
          <w:p w14:paraId="776AE680" w14:textId="7A2A5970" w:rsidR="00EA7648" w:rsidRPr="00EA7648" w:rsidRDefault="00EA7648" w:rsidP="00EA7648">
            <w:pPr>
              <w:rPr>
                <w:sz w:val="24"/>
                <w:szCs w:val="24"/>
              </w:rPr>
            </w:pPr>
            <w:r>
              <w:rPr>
                <w:sz w:val="24"/>
                <w:szCs w:val="24"/>
              </w:rPr>
              <w:t>$</w:t>
            </w:r>
            <w:r w:rsidRPr="00EA7648">
              <w:rPr>
                <w:sz w:val="24"/>
                <w:szCs w:val="24"/>
              </w:rPr>
              <w:t>123.6</w:t>
            </w:r>
          </w:p>
        </w:tc>
      </w:tr>
      <w:tr w:rsidR="00EA7648" w:rsidRPr="00EA7648" w14:paraId="06C61BDE" w14:textId="77777777" w:rsidTr="00EA7648">
        <w:trPr>
          <w:trHeight w:val="285"/>
        </w:trPr>
        <w:tc>
          <w:tcPr>
            <w:tcW w:w="2053" w:type="dxa"/>
            <w:noWrap/>
            <w:hideMark/>
          </w:tcPr>
          <w:p w14:paraId="0404A72E" w14:textId="77777777" w:rsidR="00EA7648" w:rsidRPr="00EA7648" w:rsidRDefault="00EA7648">
            <w:pPr>
              <w:rPr>
                <w:sz w:val="24"/>
                <w:szCs w:val="24"/>
              </w:rPr>
            </w:pPr>
            <w:r w:rsidRPr="00EA7648">
              <w:rPr>
                <w:sz w:val="24"/>
                <w:szCs w:val="24"/>
              </w:rPr>
              <w:t>JPMorgan Chase</w:t>
            </w:r>
          </w:p>
        </w:tc>
        <w:tc>
          <w:tcPr>
            <w:tcW w:w="2746" w:type="dxa"/>
            <w:noWrap/>
            <w:hideMark/>
          </w:tcPr>
          <w:p w14:paraId="418E2FA1" w14:textId="45B618CB" w:rsidR="00EA7648" w:rsidRPr="00EA7648" w:rsidRDefault="00EA7648" w:rsidP="00EA7648">
            <w:pPr>
              <w:rPr>
                <w:sz w:val="24"/>
                <w:szCs w:val="24"/>
              </w:rPr>
            </w:pPr>
            <w:r>
              <w:rPr>
                <w:sz w:val="24"/>
                <w:szCs w:val="24"/>
              </w:rPr>
              <w:t>$</w:t>
            </w:r>
            <w:r w:rsidRPr="00EA7648">
              <w:rPr>
                <w:sz w:val="24"/>
                <w:szCs w:val="24"/>
              </w:rPr>
              <w:t>114.8</w:t>
            </w:r>
          </w:p>
        </w:tc>
      </w:tr>
      <w:tr w:rsidR="00EA7648" w:rsidRPr="00EA7648" w14:paraId="1E85E5A8" w14:textId="77777777" w:rsidTr="00EA7648">
        <w:trPr>
          <w:trHeight w:val="285"/>
        </w:trPr>
        <w:tc>
          <w:tcPr>
            <w:tcW w:w="2053" w:type="dxa"/>
            <w:noWrap/>
            <w:hideMark/>
          </w:tcPr>
          <w:p w14:paraId="7927C818" w14:textId="77777777" w:rsidR="00EA7648" w:rsidRPr="00EA7648" w:rsidRDefault="00EA7648">
            <w:pPr>
              <w:rPr>
                <w:sz w:val="24"/>
                <w:szCs w:val="24"/>
              </w:rPr>
            </w:pPr>
            <w:r w:rsidRPr="00EA7648">
              <w:rPr>
                <w:sz w:val="24"/>
                <w:szCs w:val="24"/>
              </w:rPr>
              <w:t>Bank of America</w:t>
            </w:r>
          </w:p>
        </w:tc>
        <w:tc>
          <w:tcPr>
            <w:tcW w:w="2746" w:type="dxa"/>
            <w:noWrap/>
            <w:hideMark/>
          </w:tcPr>
          <w:p w14:paraId="0634469F" w14:textId="75E20E5E" w:rsidR="00EA7648" w:rsidRPr="00EA7648" w:rsidRDefault="00EA7648" w:rsidP="00EA7648">
            <w:pPr>
              <w:rPr>
                <w:sz w:val="24"/>
                <w:szCs w:val="24"/>
              </w:rPr>
            </w:pPr>
            <w:r>
              <w:rPr>
                <w:sz w:val="24"/>
                <w:szCs w:val="24"/>
              </w:rPr>
              <w:t>$</w:t>
            </w:r>
            <w:r w:rsidRPr="00EA7648">
              <w:rPr>
                <w:sz w:val="24"/>
                <w:szCs w:val="24"/>
              </w:rPr>
              <w:t>103.7</w:t>
            </w:r>
          </w:p>
        </w:tc>
      </w:tr>
      <w:tr w:rsidR="00EA7648" w:rsidRPr="00EA7648" w14:paraId="65A8839D" w14:textId="77777777" w:rsidTr="00EA7648">
        <w:trPr>
          <w:trHeight w:val="285"/>
        </w:trPr>
        <w:tc>
          <w:tcPr>
            <w:tcW w:w="2053" w:type="dxa"/>
            <w:noWrap/>
            <w:hideMark/>
          </w:tcPr>
          <w:p w14:paraId="11C811BC" w14:textId="77777777" w:rsidR="00EA7648" w:rsidRPr="00EA7648" w:rsidRDefault="00EA7648">
            <w:pPr>
              <w:rPr>
                <w:sz w:val="24"/>
                <w:szCs w:val="24"/>
              </w:rPr>
            </w:pPr>
            <w:r w:rsidRPr="00EA7648">
              <w:rPr>
                <w:sz w:val="24"/>
                <w:szCs w:val="24"/>
              </w:rPr>
              <w:t>Wells Fargo</w:t>
            </w:r>
          </w:p>
        </w:tc>
        <w:tc>
          <w:tcPr>
            <w:tcW w:w="2746" w:type="dxa"/>
            <w:noWrap/>
            <w:hideMark/>
          </w:tcPr>
          <w:p w14:paraId="435D1983" w14:textId="7C4E1831" w:rsidR="00EA7648" w:rsidRPr="00EA7648" w:rsidRDefault="00EA7648" w:rsidP="00EA7648">
            <w:pPr>
              <w:rPr>
                <w:sz w:val="24"/>
                <w:szCs w:val="24"/>
              </w:rPr>
            </w:pPr>
            <w:r>
              <w:rPr>
                <w:sz w:val="24"/>
                <w:szCs w:val="24"/>
              </w:rPr>
              <w:t>$</w:t>
            </w:r>
            <w:r w:rsidRPr="00EA7648">
              <w:rPr>
                <w:sz w:val="24"/>
                <w:szCs w:val="24"/>
              </w:rPr>
              <w:t>94.2</w:t>
            </w:r>
          </w:p>
        </w:tc>
      </w:tr>
    </w:tbl>
    <w:p w14:paraId="6012141C" w14:textId="77777777" w:rsidR="00EA7648" w:rsidRPr="00EA7648" w:rsidRDefault="00EA7648" w:rsidP="009C1520">
      <w:pPr>
        <w:rPr>
          <w:b/>
          <w:bCs/>
          <w:sz w:val="24"/>
          <w:szCs w:val="24"/>
        </w:rPr>
      </w:pPr>
    </w:p>
    <w:p w14:paraId="522544EE" w14:textId="1CFB1BE8" w:rsidR="00EA7648" w:rsidRDefault="00EA7648" w:rsidP="009C1520">
      <w:pPr>
        <w:rPr>
          <w:b/>
          <w:bCs/>
        </w:rPr>
      </w:pPr>
      <w:r>
        <w:rPr>
          <w:noProof/>
        </w:rPr>
        <w:drawing>
          <wp:inline distT="0" distB="0" distL="0" distR="0" wp14:anchorId="686A43C2" wp14:editId="38967501">
            <wp:extent cx="5928360" cy="2491740"/>
            <wp:effectExtent l="0" t="0" r="15240" b="3810"/>
            <wp:docPr id="513631383" name="Chart 1">
              <a:extLst xmlns:a="http://schemas.openxmlformats.org/drawingml/2006/main">
                <a:ext uri="{FF2B5EF4-FFF2-40B4-BE49-F238E27FC236}">
                  <a16:creationId xmlns:a16="http://schemas.microsoft.com/office/drawing/2014/main" id="{7BC3CADE-FD2D-060F-E0FE-DE92C947B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818B3C" w14:textId="77777777" w:rsidR="00EA7648" w:rsidRDefault="00EA7648" w:rsidP="009C1520">
      <w:pPr>
        <w:rPr>
          <w:b/>
          <w:bCs/>
        </w:rPr>
      </w:pPr>
    </w:p>
    <w:p w14:paraId="521EBA3B" w14:textId="01A4EF3B" w:rsidR="00EA7648" w:rsidRPr="00EA7648" w:rsidRDefault="00EA7648" w:rsidP="009C1520">
      <w:pPr>
        <w:rPr>
          <w:b/>
          <w:bCs/>
          <w:sz w:val="24"/>
          <w:szCs w:val="24"/>
        </w:rPr>
      </w:pPr>
      <w:r w:rsidRPr="00EA7648">
        <w:rPr>
          <w:b/>
          <w:bCs/>
          <w:sz w:val="24"/>
          <w:szCs w:val="24"/>
        </w:rPr>
        <w:t>This chart shows the growth of foreign bank presence in the US:</w:t>
      </w:r>
    </w:p>
    <w:tbl>
      <w:tblPr>
        <w:tblStyle w:val="TableGrid"/>
        <w:tblW w:w="0" w:type="auto"/>
        <w:tblLook w:val="04A0" w:firstRow="1" w:lastRow="0" w:firstColumn="1" w:lastColumn="0" w:noHBand="0" w:noVBand="1"/>
      </w:tblPr>
      <w:tblGrid>
        <w:gridCol w:w="2566"/>
        <w:gridCol w:w="5370"/>
      </w:tblGrid>
      <w:tr w:rsidR="0045511A" w:rsidRPr="0045511A" w14:paraId="55EF717E" w14:textId="77777777" w:rsidTr="0045511A">
        <w:trPr>
          <w:trHeight w:val="351"/>
        </w:trPr>
        <w:tc>
          <w:tcPr>
            <w:tcW w:w="2566" w:type="dxa"/>
            <w:noWrap/>
            <w:hideMark/>
          </w:tcPr>
          <w:p w14:paraId="56917831" w14:textId="77777777" w:rsidR="0045511A" w:rsidRPr="0045511A" w:rsidRDefault="0045511A">
            <w:r w:rsidRPr="0045511A">
              <w:t>Year</w:t>
            </w:r>
          </w:p>
        </w:tc>
        <w:tc>
          <w:tcPr>
            <w:tcW w:w="5370" w:type="dxa"/>
            <w:noWrap/>
            <w:hideMark/>
          </w:tcPr>
          <w:p w14:paraId="25BCC572" w14:textId="77777777" w:rsidR="0045511A" w:rsidRPr="0045511A" w:rsidRDefault="0045511A">
            <w:r w:rsidRPr="0045511A">
              <w:t>Number of Foreign Banks</w:t>
            </w:r>
          </w:p>
        </w:tc>
      </w:tr>
      <w:tr w:rsidR="0045511A" w:rsidRPr="0045511A" w14:paraId="57E6CCEC" w14:textId="77777777" w:rsidTr="0045511A">
        <w:trPr>
          <w:trHeight w:val="351"/>
        </w:trPr>
        <w:tc>
          <w:tcPr>
            <w:tcW w:w="2566" w:type="dxa"/>
            <w:noWrap/>
            <w:hideMark/>
          </w:tcPr>
          <w:p w14:paraId="5DE1C8C3" w14:textId="77777777" w:rsidR="0045511A" w:rsidRPr="0045511A" w:rsidRDefault="0045511A" w:rsidP="0045511A">
            <w:r w:rsidRPr="0045511A">
              <w:t>2000</w:t>
            </w:r>
          </w:p>
        </w:tc>
        <w:tc>
          <w:tcPr>
            <w:tcW w:w="5370" w:type="dxa"/>
            <w:noWrap/>
            <w:hideMark/>
          </w:tcPr>
          <w:p w14:paraId="39DFC073" w14:textId="77777777" w:rsidR="0045511A" w:rsidRPr="0045511A" w:rsidRDefault="0045511A" w:rsidP="0045511A">
            <w:r w:rsidRPr="0045511A">
              <w:t>200</w:t>
            </w:r>
          </w:p>
        </w:tc>
      </w:tr>
      <w:tr w:rsidR="0045511A" w:rsidRPr="0045511A" w14:paraId="5F38802A" w14:textId="77777777" w:rsidTr="0045511A">
        <w:trPr>
          <w:trHeight w:val="351"/>
        </w:trPr>
        <w:tc>
          <w:tcPr>
            <w:tcW w:w="2566" w:type="dxa"/>
            <w:noWrap/>
            <w:hideMark/>
          </w:tcPr>
          <w:p w14:paraId="4C506F12" w14:textId="77777777" w:rsidR="0045511A" w:rsidRPr="0045511A" w:rsidRDefault="0045511A" w:rsidP="0045511A">
            <w:r w:rsidRPr="0045511A">
              <w:t>2010</w:t>
            </w:r>
          </w:p>
        </w:tc>
        <w:tc>
          <w:tcPr>
            <w:tcW w:w="5370" w:type="dxa"/>
            <w:noWrap/>
            <w:hideMark/>
          </w:tcPr>
          <w:p w14:paraId="44C1F09D" w14:textId="77777777" w:rsidR="0045511A" w:rsidRPr="0045511A" w:rsidRDefault="0045511A" w:rsidP="0045511A">
            <w:r w:rsidRPr="0045511A">
              <w:t>400</w:t>
            </w:r>
          </w:p>
        </w:tc>
      </w:tr>
      <w:tr w:rsidR="0045511A" w:rsidRPr="0045511A" w14:paraId="6C9D32C1" w14:textId="77777777" w:rsidTr="0045511A">
        <w:trPr>
          <w:trHeight w:val="351"/>
        </w:trPr>
        <w:tc>
          <w:tcPr>
            <w:tcW w:w="2566" w:type="dxa"/>
            <w:noWrap/>
            <w:hideMark/>
          </w:tcPr>
          <w:p w14:paraId="1599AFE4" w14:textId="77777777" w:rsidR="0045511A" w:rsidRPr="0045511A" w:rsidRDefault="0045511A" w:rsidP="0045511A">
            <w:r w:rsidRPr="0045511A">
              <w:t>2020</w:t>
            </w:r>
          </w:p>
        </w:tc>
        <w:tc>
          <w:tcPr>
            <w:tcW w:w="5370" w:type="dxa"/>
            <w:noWrap/>
            <w:hideMark/>
          </w:tcPr>
          <w:p w14:paraId="43FD6F22" w14:textId="77777777" w:rsidR="0045511A" w:rsidRPr="0045511A" w:rsidRDefault="0045511A" w:rsidP="0045511A">
            <w:r w:rsidRPr="0045511A">
              <w:t>600</w:t>
            </w:r>
          </w:p>
        </w:tc>
      </w:tr>
    </w:tbl>
    <w:p w14:paraId="1835372D" w14:textId="77777777" w:rsidR="00EA7648" w:rsidRDefault="00EA7648" w:rsidP="009C1520">
      <w:pPr>
        <w:rPr>
          <w:b/>
          <w:bCs/>
        </w:rPr>
      </w:pPr>
    </w:p>
    <w:p w14:paraId="2962A0F2" w14:textId="34CBBF92" w:rsidR="00EA7648" w:rsidRDefault="0045511A" w:rsidP="009C1520">
      <w:pPr>
        <w:rPr>
          <w:b/>
          <w:bCs/>
        </w:rPr>
      </w:pPr>
      <w:r>
        <w:rPr>
          <w:noProof/>
        </w:rPr>
        <w:drawing>
          <wp:anchor distT="0" distB="0" distL="114300" distR="114300" simplePos="0" relativeHeight="251659264" behindDoc="0" locked="0" layoutInCell="1" allowOverlap="1" wp14:anchorId="0781047B" wp14:editId="4AB05362">
            <wp:simplePos x="0" y="0"/>
            <wp:positionH relativeFrom="margin">
              <wp:align>center</wp:align>
            </wp:positionH>
            <wp:positionV relativeFrom="paragraph">
              <wp:posOffset>9525</wp:posOffset>
            </wp:positionV>
            <wp:extent cx="5135880" cy="2286000"/>
            <wp:effectExtent l="0" t="0" r="7620" b="0"/>
            <wp:wrapNone/>
            <wp:docPr id="1559658724" name="Chart 1">
              <a:extLst xmlns:a="http://schemas.openxmlformats.org/drawingml/2006/main">
                <a:ext uri="{FF2B5EF4-FFF2-40B4-BE49-F238E27FC236}">
                  <a16:creationId xmlns:a16="http://schemas.microsoft.com/office/drawing/2014/main" id="{B4280818-6AAC-F15A-7B5B-A9EEAB9ED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7232C590" w14:textId="77777777" w:rsidR="00EA7648" w:rsidRDefault="00EA7648" w:rsidP="009C1520">
      <w:pPr>
        <w:rPr>
          <w:b/>
          <w:bCs/>
        </w:rPr>
      </w:pPr>
    </w:p>
    <w:p w14:paraId="3666A830" w14:textId="77777777" w:rsidR="00EA7648" w:rsidRDefault="00EA7648" w:rsidP="009C1520">
      <w:pPr>
        <w:rPr>
          <w:b/>
          <w:bCs/>
        </w:rPr>
      </w:pPr>
    </w:p>
    <w:p w14:paraId="41B212D7" w14:textId="77777777" w:rsidR="00EA7648" w:rsidRDefault="00EA7648" w:rsidP="009C1520">
      <w:pPr>
        <w:rPr>
          <w:b/>
          <w:bCs/>
        </w:rPr>
      </w:pPr>
    </w:p>
    <w:p w14:paraId="22BAE0E9" w14:textId="77777777" w:rsidR="00EA7648" w:rsidRDefault="00EA7648" w:rsidP="009C1520">
      <w:pPr>
        <w:rPr>
          <w:b/>
          <w:bCs/>
        </w:rPr>
      </w:pPr>
    </w:p>
    <w:p w14:paraId="6BDFBAEB" w14:textId="77777777" w:rsidR="00EA7648" w:rsidRDefault="00EA7648" w:rsidP="009C1520">
      <w:pPr>
        <w:rPr>
          <w:b/>
          <w:bCs/>
        </w:rPr>
      </w:pPr>
    </w:p>
    <w:p w14:paraId="474AAF7B" w14:textId="77777777" w:rsidR="00EA7648" w:rsidRDefault="00EA7648" w:rsidP="009C1520">
      <w:pPr>
        <w:rPr>
          <w:b/>
          <w:bCs/>
        </w:rPr>
      </w:pPr>
    </w:p>
    <w:p w14:paraId="3F115174" w14:textId="1C9B460A" w:rsidR="007A495D" w:rsidRPr="007A495D" w:rsidRDefault="007A495D" w:rsidP="009C1520">
      <w:pPr>
        <w:rPr>
          <w:b/>
          <w:bCs/>
        </w:rPr>
      </w:pPr>
    </w:p>
    <w:sectPr w:rsidR="007A495D" w:rsidRPr="007A495D" w:rsidSect="00C777F9">
      <w:footerReference w:type="default" r:id="rId9"/>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837D2" w14:textId="77777777" w:rsidR="000F0AA7" w:rsidRDefault="000F0AA7" w:rsidP="00EA7648">
      <w:pPr>
        <w:spacing w:after="0" w:line="240" w:lineRule="auto"/>
      </w:pPr>
      <w:r>
        <w:separator/>
      </w:r>
    </w:p>
  </w:endnote>
  <w:endnote w:type="continuationSeparator" w:id="0">
    <w:p w14:paraId="20D85611" w14:textId="77777777" w:rsidR="000F0AA7" w:rsidRDefault="000F0AA7" w:rsidP="00EA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490350"/>
      <w:docPartObj>
        <w:docPartGallery w:val="Page Numbers (Bottom of Page)"/>
        <w:docPartUnique/>
      </w:docPartObj>
    </w:sdtPr>
    <w:sdtEndPr>
      <w:rPr>
        <w:noProof/>
      </w:rPr>
    </w:sdtEndPr>
    <w:sdtContent>
      <w:p w14:paraId="13E2D5BD" w14:textId="0EAD8199" w:rsidR="00C777F9" w:rsidRDefault="00C777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CC3A1C" w14:textId="77777777" w:rsidR="00EA7648" w:rsidRDefault="00EA7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6F55B" w14:textId="77777777" w:rsidR="000F0AA7" w:rsidRDefault="000F0AA7" w:rsidP="00EA7648">
      <w:pPr>
        <w:spacing w:after="0" w:line="240" w:lineRule="auto"/>
      </w:pPr>
      <w:r>
        <w:separator/>
      </w:r>
    </w:p>
  </w:footnote>
  <w:footnote w:type="continuationSeparator" w:id="0">
    <w:p w14:paraId="5A92B986" w14:textId="77777777" w:rsidR="000F0AA7" w:rsidRDefault="000F0AA7" w:rsidP="00EA7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47"/>
    <w:rsid w:val="000F0AA7"/>
    <w:rsid w:val="003213DE"/>
    <w:rsid w:val="0045511A"/>
    <w:rsid w:val="00695647"/>
    <w:rsid w:val="007A495D"/>
    <w:rsid w:val="007B72D8"/>
    <w:rsid w:val="00805FF4"/>
    <w:rsid w:val="0088182B"/>
    <w:rsid w:val="008A21E4"/>
    <w:rsid w:val="008C3B6A"/>
    <w:rsid w:val="009672C4"/>
    <w:rsid w:val="009C1520"/>
    <w:rsid w:val="00C777F9"/>
    <w:rsid w:val="00EA7648"/>
    <w:rsid w:val="00F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C795"/>
  <w15:chartTrackingRefBased/>
  <w15:docId w15:val="{BFFAE909-6F46-4968-9166-DF62C30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5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5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647"/>
    <w:rPr>
      <w:rFonts w:eastAsiaTheme="majorEastAsia" w:cstheme="majorBidi"/>
      <w:color w:val="272727" w:themeColor="text1" w:themeTint="D8"/>
    </w:rPr>
  </w:style>
  <w:style w:type="paragraph" w:styleId="Title">
    <w:name w:val="Title"/>
    <w:basedOn w:val="Normal"/>
    <w:next w:val="Normal"/>
    <w:link w:val="TitleChar"/>
    <w:uiPriority w:val="10"/>
    <w:qFormat/>
    <w:rsid w:val="00695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647"/>
    <w:pPr>
      <w:spacing w:before="160"/>
      <w:jc w:val="center"/>
    </w:pPr>
    <w:rPr>
      <w:i/>
      <w:iCs/>
      <w:color w:val="404040" w:themeColor="text1" w:themeTint="BF"/>
    </w:rPr>
  </w:style>
  <w:style w:type="character" w:customStyle="1" w:styleId="QuoteChar">
    <w:name w:val="Quote Char"/>
    <w:basedOn w:val="DefaultParagraphFont"/>
    <w:link w:val="Quote"/>
    <w:uiPriority w:val="29"/>
    <w:rsid w:val="00695647"/>
    <w:rPr>
      <w:i/>
      <w:iCs/>
      <w:color w:val="404040" w:themeColor="text1" w:themeTint="BF"/>
    </w:rPr>
  </w:style>
  <w:style w:type="paragraph" w:styleId="ListParagraph">
    <w:name w:val="List Paragraph"/>
    <w:basedOn w:val="Normal"/>
    <w:uiPriority w:val="34"/>
    <w:qFormat/>
    <w:rsid w:val="00695647"/>
    <w:pPr>
      <w:ind w:left="720"/>
      <w:contextualSpacing/>
    </w:pPr>
  </w:style>
  <w:style w:type="character" w:styleId="IntenseEmphasis">
    <w:name w:val="Intense Emphasis"/>
    <w:basedOn w:val="DefaultParagraphFont"/>
    <w:uiPriority w:val="21"/>
    <w:qFormat/>
    <w:rsid w:val="00695647"/>
    <w:rPr>
      <w:i/>
      <w:iCs/>
      <w:color w:val="0F4761" w:themeColor="accent1" w:themeShade="BF"/>
    </w:rPr>
  </w:style>
  <w:style w:type="paragraph" w:styleId="IntenseQuote">
    <w:name w:val="Intense Quote"/>
    <w:basedOn w:val="Normal"/>
    <w:next w:val="Normal"/>
    <w:link w:val="IntenseQuoteChar"/>
    <w:uiPriority w:val="30"/>
    <w:qFormat/>
    <w:rsid w:val="00695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647"/>
    <w:rPr>
      <w:i/>
      <w:iCs/>
      <w:color w:val="0F4761" w:themeColor="accent1" w:themeShade="BF"/>
    </w:rPr>
  </w:style>
  <w:style w:type="character" w:styleId="IntenseReference">
    <w:name w:val="Intense Reference"/>
    <w:basedOn w:val="DefaultParagraphFont"/>
    <w:uiPriority w:val="32"/>
    <w:qFormat/>
    <w:rsid w:val="00695647"/>
    <w:rPr>
      <w:b/>
      <w:bCs/>
      <w:smallCaps/>
      <w:color w:val="0F4761" w:themeColor="accent1" w:themeShade="BF"/>
      <w:spacing w:val="5"/>
    </w:rPr>
  </w:style>
  <w:style w:type="table" w:styleId="TableGrid">
    <w:name w:val="Table Grid"/>
    <w:basedOn w:val="TableNormal"/>
    <w:uiPriority w:val="39"/>
    <w:rsid w:val="008C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A4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7A49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7A49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A49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7A49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Header">
    <w:name w:val="header"/>
    <w:basedOn w:val="Normal"/>
    <w:link w:val="HeaderChar"/>
    <w:uiPriority w:val="99"/>
    <w:unhideWhenUsed/>
    <w:rsid w:val="00EA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648"/>
  </w:style>
  <w:style w:type="paragraph" w:styleId="Footer">
    <w:name w:val="footer"/>
    <w:basedOn w:val="Normal"/>
    <w:link w:val="FooterChar"/>
    <w:uiPriority w:val="99"/>
    <w:unhideWhenUsed/>
    <w:rsid w:val="00EA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648"/>
  </w:style>
  <w:style w:type="table" w:styleId="ListTable3">
    <w:name w:val="List Table 3"/>
    <w:basedOn w:val="TableNormal"/>
    <w:uiPriority w:val="48"/>
    <w:rsid w:val="00C777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3529">
      <w:bodyDiv w:val="1"/>
      <w:marLeft w:val="0"/>
      <w:marRight w:val="0"/>
      <w:marTop w:val="0"/>
      <w:marBottom w:val="0"/>
      <w:divBdr>
        <w:top w:val="none" w:sz="0" w:space="0" w:color="auto"/>
        <w:left w:val="none" w:sz="0" w:space="0" w:color="auto"/>
        <w:bottom w:val="none" w:sz="0" w:space="0" w:color="auto"/>
        <w:right w:val="none" w:sz="0" w:space="0" w:color="auto"/>
      </w:divBdr>
    </w:div>
    <w:div w:id="133722196">
      <w:bodyDiv w:val="1"/>
      <w:marLeft w:val="0"/>
      <w:marRight w:val="0"/>
      <w:marTop w:val="0"/>
      <w:marBottom w:val="0"/>
      <w:divBdr>
        <w:top w:val="none" w:sz="0" w:space="0" w:color="auto"/>
        <w:left w:val="none" w:sz="0" w:space="0" w:color="auto"/>
        <w:bottom w:val="none" w:sz="0" w:space="0" w:color="auto"/>
        <w:right w:val="none" w:sz="0" w:space="0" w:color="auto"/>
      </w:divBdr>
    </w:div>
    <w:div w:id="182987387">
      <w:bodyDiv w:val="1"/>
      <w:marLeft w:val="0"/>
      <w:marRight w:val="0"/>
      <w:marTop w:val="0"/>
      <w:marBottom w:val="0"/>
      <w:divBdr>
        <w:top w:val="none" w:sz="0" w:space="0" w:color="auto"/>
        <w:left w:val="none" w:sz="0" w:space="0" w:color="auto"/>
        <w:bottom w:val="none" w:sz="0" w:space="0" w:color="auto"/>
        <w:right w:val="none" w:sz="0" w:space="0" w:color="auto"/>
      </w:divBdr>
    </w:div>
    <w:div w:id="353074922">
      <w:bodyDiv w:val="1"/>
      <w:marLeft w:val="0"/>
      <w:marRight w:val="0"/>
      <w:marTop w:val="0"/>
      <w:marBottom w:val="0"/>
      <w:divBdr>
        <w:top w:val="none" w:sz="0" w:space="0" w:color="auto"/>
        <w:left w:val="none" w:sz="0" w:space="0" w:color="auto"/>
        <w:bottom w:val="none" w:sz="0" w:space="0" w:color="auto"/>
        <w:right w:val="none" w:sz="0" w:space="0" w:color="auto"/>
      </w:divBdr>
    </w:div>
    <w:div w:id="381290112">
      <w:bodyDiv w:val="1"/>
      <w:marLeft w:val="0"/>
      <w:marRight w:val="0"/>
      <w:marTop w:val="0"/>
      <w:marBottom w:val="0"/>
      <w:divBdr>
        <w:top w:val="none" w:sz="0" w:space="0" w:color="auto"/>
        <w:left w:val="none" w:sz="0" w:space="0" w:color="auto"/>
        <w:bottom w:val="none" w:sz="0" w:space="0" w:color="auto"/>
        <w:right w:val="none" w:sz="0" w:space="0" w:color="auto"/>
      </w:divBdr>
    </w:div>
    <w:div w:id="1582181919">
      <w:bodyDiv w:val="1"/>
      <w:marLeft w:val="0"/>
      <w:marRight w:val="0"/>
      <w:marTop w:val="0"/>
      <w:marBottom w:val="0"/>
      <w:divBdr>
        <w:top w:val="none" w:sz="0" w:space="0" w:color="auto"/>
        <w:left w:val="none" w:sz="0" w:space="0" w:color="auto"/>
        <w:bottom w:val="none" w:sz="0" w:space="0" w:color="auto"/>
        <w:right w:val="none" w:sz="0" w:space="0" w:color="auto"/>
      </w:divBdr>
    </w:div>
    <w:div w:id="1586374687">
      <w:bodyDiv w:val="1"/>
      <w:marLeft w:val="0"/>
      <w:marRight w:val="0"/>
      <w:marTop w:val="0"/>
      <w:marBottom w:val="0"/>
      <w:divBdr>
        <w:top w:val="none" w:sz="0" w:space="0" w:color="auto"/>
        <w:left w:val="none" w:sz="0" w:space="0" w:color="auto"/>
        <w:bottom w:val="none" w:sz="0" w:space="0" w:color="auto"/>
        <w:right w:val="none" w:sz="0" w:space="0" w:color="auto"/>
      </w:divBdr>
    </w:div>
    <w:div w:id="1612325021">
      <w:bodyDiv w:val="1"/>
      <w:marLeft w:val="0"/>
      <w:marRight w:val="0"/>
      <w:marTop w:val="0"/>
      <w:marBottom w:val="0"/>
      <w:divBdr>
        <w:top w:val="none" w:sz="0" w:space="0" w:color="auto"/>
        <w:left w:val="none" w:sz="0" w:space="0" w:color="auto"/>
        <w:bottom w:val="none" w:sz="0" w:space="0" w:color="auto"/>
        <w:right w:val="none" w:sz="0" w:space="0" w:color="auto"/>
      </w:divBdr>
    </w:div>
    <w:div w:id="1679187049">
      <w:bodyDiv w:val="1"/>
      <w:marLeft w:val="0"/>
      <w:marRight w:val="0"/>
      <w:marTop w:val="0"/>
      <w:marBottom w:val="0"/>
      <w:divBdr>
        <w:top w:val="none" w:sz="0" w:space="0" w:color="auto"/>
        <w:left w:val="none" w:sz="0" w:space="0" w:color="auto"/>
        <w:bottom w:val="none" w:sz="0" w:space="0" w:color="auto"/>
        <w:right w:val="none" w:sz="0" w:space="0" w:color="auto"/>
      </w:divBdr>
    </w:div>
    <w:div w:id="1939635008">
      <w:bodyDiv w:val="1"/>
      <w:marLeft w:val="0"/>
      <w:marRight w:val="0"/>
      <w:marTop w:val="0"/>
      <w:marBottom w:val="0"/>
      <w:divBdr>
        <w:top w:val="none" w:sz="0" w:space="0" w:color="auto"/>
        <w:left w:val="none" w:sz="0" w:space="0" w:color="auto"/>
        <w:bottom w:val="none" w:sz="0" w:space="0" w:color="auto"/>
        <w:right w:val="none" w:sz="0" w:space="0" w:color="auto"/>
      </w:divBdr>
    </w:div>
    <w:div w:id="2040818596">
      <w:bodyDiv w:val="1"/>
      <w:marLeft w:val="0"/>
      <w:marRight w:val="0"/>
      <w:marTop w:val="0"/>
      <w:marBottom w:val="0"/>
      <w:divBdr>
        <w:top w:val="none" w:sz="0" w:space="0" w:color="auto"/>
        <w:left w:val="none" w:sz="0" w:space="0" w:color="auto"/>
        <w:bottom w:val="none" w:sz="0" w:space="0" w:color="auto"/>
        <w:right w:val="none" w:sz="0" w:space="0" w:color="auto"/>
      </w:divBdr>
    </w:div>
    <w:div w:id="20432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Banks</a:t>
            </a:r>
            <a:r>
              <a:rPr lang="en-IN" baseline="0"/>
              <a:t> v/s </a:t>
            </a:r>
            <a:r>
              <a:rPr lang="en-IN"/>
              <a:t>Number of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Sheet4!$B$1</c:f>
              <c:strCache>
                <c:ptCount val="1"/>
                <c:pt idx="0">
                  <c:v>Number of Countries</c:v>
                </c:pt>
              </c:strCache>
            </c:strRef>
          </c:tx>
          <c:spPr>
            <a:solidFill>
              <a:schemeClr val="accent1"/>
            </a:solidFill>
            <a:ln>
              <a:noFill/>
            </a:ln>
            <a:effectLst/>
          </c:spPr>
          <c:invertIfNegative val="0"/>
          <c:cat>
            <c:strRef>
              <c:f>Sheet4!$A$2:$A$5</c:f>
              <c:strCache>
                <c:ptCount val="4"/>
                <c:pt idx="0">
                  <c:v>Citibank</c:v>
                </c:pt>
                <c:pt idx="1">
                  <c:v>JPMorgan Chase</c:v>
                </c:pt>
                <c:pt idx="2">
                  <c:v>Bank of America</c:v>
                </c:pt>
                <c:pt idx="3">
                  <c:v>Wells Fargo</c:v>
                </c:pt>
              </c:strCache>
            </c:strRef>
          </c:cat>
          <c:val>
            <c:numRef>
              <c:f>Sheet4!$B$2:$B$5</c:f>
              <c:numCache>
                <c:formatCode>General</c:formatCode>
                <c:ptCount val="4"/>
                <c:pt idx="0">
                  <c:v>160</c:v>
                </c:pt>
                <c:pt idx="1">
                  <c:v>100</c:v>
                </c:pt>
                <c:pt idx="2">
                  <c:v>40</c:v>
                </c:pt>
                <c:pt idx="3">
                  <c:v>35</c:v>
                </c:pt>
              </c:numCache>
            </c:numRef>
          </c:val>
          <c:extLst>
            <c:ext xmlns:c16="http://schemas.microsoft.com/office/drawing/2014/chart" uri="{C3380CC4-5D6E-409C-BE32-E72D297353CC}">
              <c16:uniqueId val="{00000000-0DA5-4A48-981C-BC526A3ACFED}"/>
            </c:ext>
          </c:extLst>
        </c:ser>
        <c:dLbls>
          <c:showLegendKey val="0"/>
          <c:showVal val="0"/>
          <c:showCatName val="0"/>
          <c:showSerName val="0"/>
          <c:showPercent val="0"/>
          <c:showBubbleSize val="0"/>
        </c:dLbls>
        <c:gapWidth val="182"/>
        <c:axId val="742593200"/>
        <c:axId val="742591280"/>
      </c:barChart>
      <c:catAx>
        <c:axId val="742593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Banks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591280"/>
        <c:crosses val="autoZero"/>
        <c:auto val="1"/>
        <c:lblAlgn val="ctr"/>
        <c:lblOffset val="100"/>
        <c:noMultiLvlLbl val="0"/>
      </c:catAx>
      <c:valAx>
        <c:axId val="74259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spc="0" baseline="0">
                    <a:solidFill>
                      <a:sysClr val="windowText" lastClr="000000">
                        <a:lumMod val="65000"/>
                        <a:lumOff val="35000"/>
                      </a:sysClr>
                    </a:solidFill>
                  </a:rPr>
                  <a:t>Number of 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59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Global revenue of major US banks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Sheet5!$A$2</c:f>
              <c:strCache>
                <c:ptCount val="1"/>
                <c:pt idx="0">
                  <c:v>Citibank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Sheet5!$B$1</c:f>
              <c:strCache>
                <c:ptCount val="1"/>
                <c:pt idx="0">
                  <c:v>Global Revenue (2020) (in billion)</c:v>
                </c:pt>
              </c:strCache>
            </c:strRef>
          </c:cat>
          <c:val>
            <c:numRef>
              <c:f>Sheet5!$B$2</c:f>
              <c:numCache>
                <c:formatCode>General</c:formatCode>
                <c:ptCount val="1"/>
                <c:pt idx="0">
                  <c:v>123.6</c:v>
                </c:pt>
              </c:numCache>
            </c:numRef>
          </c:val>
          <c:extLst>
            <c:ext xmlns:c16="http://schemas.microsoft.com/office/drawing/2014/chart" uri="{C3380CC4-5D6E-409C-BE32-E72D297353CC}">
              <c16:uniqueId val="{00000000-2014-4C99-BD37-BBE243743B74}"/>
            </c:ext>
          </c:extLst>
        </c:ser>
        <c:ser>
          <c:idx val="1"/>
          <c:order val="1"/>
          <c:tx>
            <c:strRef>
              <c:f>Sheet5!$A$3</c:f>
              <c:strCache>
                <c:ptCount val="1"/>
                <c:pt idx="0">
                  <c:v>JPMorgan Chase</c:v>
                </c:pt>
              </c:strCache>
            </c:strRef>
          </c:tx>
          <c:spPr>
            <a:solidFill>
              <a:schemeClr val="accent2"/>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14-4C99-BD37-BBE243743B7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Sheet5!$B$1</c:f>
              <c:strCache>
                <c:ptCount val="1"/>
                <c:pt idx="0">
                  <c:v>Global Revenue (2020) (in billion)</c:v>
                </c:pt>
              </c:strCache>
            </c:strRef>
          </c:cat>
          <c:val>
            <c:numRef>
              <c:f>Sheet5!$B$3</c:f>
              <c:numCache>
                <c:formatCode>General</c:formatCode>
                <c:ptCount val="1"/>
                <c:pt idx="0">
                  <c:v>114.8</c:v>
                </c:pt>
              </c:numCache>
            </c:numRef>
          </c:val>
          <c:extLst>
            <c:ext xmlns:c16="http://schemas.microsoft.com/office/drawing/2014/chart" uri="{C3380CC4-5D6E-409C-BE32-E72D297353CC}">
              <c16:uniqueId val="{00000002-2014-4C99-BD37-BBE243743B74}"/>
            </c:ext>
          </c:extLst>
        </c:ser>
        <c:ser>
          <c:idx val="2"/>
          <c:order val="2"/>
          <c:tx>
            <c:strRef>
              <c:f>Sheet5!$A$4</c:f>
              <c:strCache>
                <c:ptCount val="1"/>
                <c:pt idx="0">
                  <c:v>Bank of America</c:v>
                </c:pt>
              </c:strCache>
            </c:strRef>
          </c:tx>
          <c:spPr>
            <a:solidFill>
              <a:schemeClr val="accent3"/>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014-4C99-BD37-BBE243743B7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Sheet5!$B$1</c:f>
              <c:strCache>
                <c:ptCount val="1"/>
                <c:pt idx="0">
                  <c:v>Global Revenue (2020) (in billion)</c:v>
                </c:pt>
              </c:strCache>
            </c:strRef>
          </c:cat>
          <c:val>
            <c:numRef>
              <c:f>Sheet5!$B$4</c:f>
              <c:numCache>
                <c:formatCode>General</c:formatCode>
                <c:ptCount val="1"/>
                <c:pt idx="0">
                  <c:v>103.7</c:v>
                </c:pt>
              </c:numCache>
            </c:numRef>
          </c:val>
          <c:extLst>
            <c:ext xmlns:c16="http://schemas.microsoft.com/office/drawing/2014/chart" uri="{C3380CC4-5D6E-409C-BE32-E72D297353CC}">
              <c16:uniqueId val="{00000004-2014-4C99-BD37-BBE243743B74}"/>
            </c:ext>
          </c:extLst>
        </c:ser>
        <c:ser>
          <c:idx val="3"/>
          <c:order val="3"/>
          <c:tx>
            <c:strRef>
              <c:f>Sheet5!$A$5</c:f>
              <c:strCache>
                <c:ptCount val="1"/>
                <c:pt idx="0">
                  <c:v>Wells Fargo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Sheet5!$B$1</c:f>
              <c:strCache>
                <c:ptCount val="1"/>
                <c:pt idx="0">
                  <c:v>Global Revenue (2020) (in billion)</c:v>
                </c:pt>
              </c:strCache>
            </c:strRef>
          </c:cat>
          <c:val>
            <c:numRef>
              <c:f>Sheet5!$B$5</c:f>
              <c:numCache>
                <c:formatCode>General</c:formatCode>
                <c:ptCount val="1"/>
                <c:pt idx="0">
                  <c:v>94.2</c:v>
                </c:pt>
              </c:numCache>
            </c:numRef>
          </c:val>
          <c:extLst>
            <c:ext xmlns:c16="http://schemas.microsoft.com/office/drawing/2014/chart" uri="{C3380CC4-5D6E-409C-BE32-E72D297353CC}">
              <c16:uniqueId val="{00000005-2014-4C99-BD37-BBE243743B74}"/>
            </c:ext>
          </c:extLst>
        </c:ser>
        <c:dLbls>
          <c:showLegendKey val="0"/>
          <c:showVal val="0"/>
          <c:showCatName val="0"/>
          <c:showSerName val="0"/>
          <c:showPercent val="0"/>
          <c:showBubbleSize val="0"/>
        </c:dLbls>
        <c:gapWidth val="219"/>
        <c:overlap val="-27"/>
        <c:axId val="922693776"/>
        <c:axId val="922694256"/>
      </c:barChart>
      <c:catAx>
        <c:axId val="92269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94256"/>
        <c:crosses val="autoZero"/>
        <c:auto val="1"/>
        <c:lblAlgn val="ctr"/>
        <c:lblOffset val="100"/>
        <c:noMultiLvlLbl val="0"/>
      </c:catAx>
      <c:valAx>
        <c:axId val="92269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 (in Billion)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0" i="0">
                <a:effectLst/>
              </a:rPr>
              <a:t>Foreign Bank Presence in the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Sheet6!$A$2</c:f>
              <c:strCache>
                <c:ptCount val="1"/>
                <c:pt idx="0">
                  <c:v>2000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c:f>
              <c:strCache>
                <c:ptCount val="1"/>
                <c:pt idx="0">
                  <c:v>Number of Foreign Banks</c:v>
                </c:pt>
              </c:strCache>
            </c:strRef>
          </c:cat>
          <c:val>
            <c:numRef>
              <c:f>Sheet6!$B$2</c:f>
              <c:numCache>
                <c:formatCode>General</c:formatCode>
                <c:ptCount val="1"/>
                <c:pt idx="0">
                  <c:v>200</c:v>
                </c:pt>
              </c:numCache>
            </c:numRef>
          </c:val>
          <c:extLst>
            <c:ext xmlns:c16="http://schemas.microsoft.com/office/drawing/2014/chart" uri="{C3380CC4-5D6E-409C-BE32-E72D297353CC}">
              <c16:uniqueId val="{00000000-F2F1-424C-BFA1-BD8AF33EB891}"/>
            </c:ext>
          </c:extLst>
        </c:ser>
        <c:ser>
          <c:idx val="1"/>
          <c:order val="1"/>
          <c:tx>
            <c:strRef>
              <c:f>Sheet6!$A$3</c:f>
              <c:strCache>
                <c:ptCount val="1"/>
                <c:pt idx="0">
                  <c:v>2010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c:f>
              <c:strCache>
                <c:ptCount val="1"/>
                <c:pt idx="0">
                  <c:v>Number of Foreign Banks</c:v>
                </c:pt>
              </c:strCache>
            </c:strRef>
          </c:cat>
          <c:val>
            <c:numRef>
              <c:f>Sheet6!$B$3</c:f>
              <c:numCache>
                <c:formatCode>General</c:formatCode>
                <c:ptCount val="1"/>
                <c:pt idx="0">
                  <c:v>400</c:v>
                </c:pt>
              </c:numCache>
            </c:numRef>
          </c:val>
          <c:extLst>
            <c:ext xmlns:c16="http://schemas.microsoft.com/office/drawing/2014/chart" uri="{C3380CC4-5D6E-409C-BE32-E72D297353CC}">
              <c16:uniqueId val="{00000001-F2F1-424C-BFA1-BD8AF33EB891}"/>
            </c:ext>
          </c:extLst>
        </c:ser>
        <c:ser>
          <c:idx val="2"/>
          <c:order val="2"/>
          <c:tx>
            <c:strRef>
              <c:f>Sheet6!$A$4</c:f>
              <c:strCache>
                <c:ptCount val="1"/>
                <c:pt idx="0">
                  <c:v>2020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c:f>
              <c:strCache>
                <c:ptCount val="1"/>
                <c:pt idx="0">
                  <c:v>Number of Foreign Banks</c:v>
                </c:pt>
              </c:strCache>
            </c:strRef>
          </c:cat>
          <c:val>
            <c:numRef>
              <c:f>Sheet6!$B$4</c:f>
              <c:numCache>
                <c:formatCode>General</c:formatCode>
                <c:ptCount val="1"/>
                <c:pt idx="0">
                  <c:v>600</c:v>
                </c:pt>
              </c:numCache>
            </c:numRef>
          </c:val>
          <c:extLst>
            <c:ext xmlns:c16="http://schemas.microsoft.com/office/drawing/2014/chart" uri="{C3380CC4-5D6E-409C-BE32-E72D297353CC}">
              <c16:uniqueId val="{00000002-F2F1-424C-BFA1-BD8AF33EB891}"/>
            </c:ext>
          </c:extLst>
        </c:ser>
        <c:dLbls>
          <c:dLblPos val="outEnd"/>
          <c:showLegendKey val="0"/>
          <c:showVal val="1"/>
          <c:showCatName val="0"/>
          <c:showSerName val="0"/>
          <c:showPercent val="0"/>
          <c:showBubbleSize val="0"/>
        </c:dLbls>
        <c:gapWidth val="182"/>
        <c:axId val="736489696"/>
        <c:axId val="736491136"/>
      </c:barChart>
      <c:catAx>
        <c:axId val="736489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491136"/>
        <c:crosses val="autoZero"/>
        <c:auto val="1"/>
        <c:lblAlgn val="ctr"/>
        <c:lblOffset val="100"/>
        <c:noMultiLvlLbl val="0"/>
      </c:catAx>
      <c:valAx>
        <c:axId val="73649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48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2024-06-09T07:40:00Z</cp:lastPrinted>
  <dcterms:created xsi:type="dcterms:W3CDTF">2024-06-09T07:43:00Z</dcterms:created>
  <dcterms:modified xsi:type="dcterms:W3CDTF">2024-06-09T07:43:00Z</dcterms:modified>
</cp:coreProperties>
</file>