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3F36" w14:textId="7473CC4E" w:rsidR="000B44E7" w:rsidRPr="000B44E7" w:rsidRDefault="000B44E7" w:rsidP="000B44E7">
      <w:pPr>
        <w:pStyle w:val="Heading1"/>
        <w:jc w:val="center"/>
        <w:rPr>
          <w:rFonts w:eastAsia="Times New Roman"/>
          <w:b/>
          <w:bCs/>
          <w:lang w:eastAsia="en-IN"/>
        </w:rPr>
      </w:pPr>
      <w:r w:rsidRPr="000B44E7">
        <w:rPr>
          <w:rFonts w:eastAsia="Times New Roman"/>
          <w:b/>
          <w:bCs/>
          <w:lang w:eastAsia="en-IN"/>
        </w:rPr>
        <w:t>COMMERCIAL BANKING OPERATIONS &amp; RETAIL BANKING OPERATIONS</w:t>
      </w:r>
    </w:p>
    <w:p w14:paraId="48FE7D02" w14:textId="77777777" w:rsid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operations</w:t>
      </w:r>
      <w:r w:rsidRPr="000B44E7">
        <w:rPr>
          <w:rFonts w:eastAsia="Times New Roman" w:cs="Times New Roman"/>
          <w:kern w:val="0"/>
          <w:sz w:val="24"/>
          <w:szCs w:val="24"/>
          <w:lang w:eastAsia="en-IN"/>
          <w14:ligatures w14:val="none"/>
        </w:rPr>
        <w:t xml:space="preserve"> </w:t>
      </w:r>
    </w:p>
    <w:p w14:paraId="3486D5A8" w14:textId="3368728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primarily involve the services provided by banks to individuals, small businesses, and large corporations. The key operations include:</w:t>
      </w:r>
    </w:p>
    <w:p w14:paraId="33BF5C1C"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Deposits and Accounts Management</w:t>
      </w:r>
    </w:p>
    <w:p w14:paraId="4F3D5BFD"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Checking Accounts:</w:t>
      </w:r>
      <w:r w:rsidRPr="000B44E7">
        <w:rPr>
          <w:rFonts w:eastAsia="Times New Roman" w:cs="Times New Roman"/>
          <w:kern w:val="0"/>
          <w:sz w:val="24"/>
          <w:szCs w:val="24"/>
          <w:lang w:eastAsia="en-IN"/>
          <w14:ligatures w14:val="none"/>
        </w:rPr>
        <w:t xml:space="preserve"> Facilitate day-to-day transactions.</w:t>
      </w:r>
    </w:p>
    <w:p w14:paraId="7FFECD20"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Savings Accounts:</w:t>
      </w:r>
      <w:r w:rsidRPr="000B44E7">
        <w:rPr>
          <w:rFonts w:eastAsia="Times New Roman" w:cs="Times New Roman"/>
          <w:kern w:val="0"/>
          <w:sz w:val="24"/>
          <w:szCs w:val="24"/>
          <w:lang w:eastAsia="en-IN"/>
          <w14:ligatures w14:val="none"/>
        </w:rPr>
        <w:t xml:space="preserve"> Encourage saving by offering interest.</w:t>
      </w:r>
    </w:p>
    <w:p w14:paraId="6D104B1E"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Fixed Deposits (CDs):</w:t>
      </w:r>
      <w:r w:rsidRPr="000B44E7">
        <w:rPr>
          <w:rFonts w:eastAsia="Times New Roman" w:cs="Times New Roman"/>
          <w:kern w:val="0"/>
          <w:sz w:val="24"/>
          <w:szCs w:val="24"/>
          <w:lang w:eastAsia="en-IN"/>
          <w14:ligatures w14:val="none"/>
        </w:rPr>
        <w:t xml:space="preserve"> Higher interest rates for locked-in funds.</w:t>
      </w:r>
    </w:p>
    <w:p w14:paraId="251EBFE7"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Loans and Advances</w:t>
      </w:r>
    </w:p>
    <w:p w14:paraId="27B4BA17"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Personal Loans:</w:t>
      </w:r>
      <w:r w:rsidRPr="000B44E7">
        <w:rPr>
          <w:rFonts w:eastAsia="Times New Roman" w:cs="Times New Roman"/>
          <w:kern w:val="0"/>
          <w:sz w:val="24"/>
          <w:szCs w:val="24"/>
          <w:lang w:eastAsia="en-IN"/>
          <w14:ligatures w14:val="none"/>
        </w:rPr>
        <w:t xml:space="preserve"> For individual needs like education, home renovation, etc.</w:t>
      </w:r>
    </w:p>
    <w:p w14:paraId="5B53CE88"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Business Loans:</w:t>
      </w:r>
      <w:r w:rsidRPr="000B44E7">
        <w:rPr>
          <w:rFonts w:eastAsia="Times New Roman" w:cs="Times New Roman"/>
          <w:kern w:val="0"/>
          <w:sz w:val="24"/>
          <w:szCs w:val="24"/>
          <w:lang w:eastAsia="en-IN"/>
          <w14:ligatures w14:val="none"/>
        </w:rPr>
        <w:t xml:space="preserve"> To support business operations, expansion, or working capital.</w:t>
      </w:r>
    </w:p>
    <w:p w14:paraId="392730DE"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Mortgages:</w:t>
      </w:r>
      <w:r w:rsidRPr="000B44E7">
        <w:rPr>
          <w:rFonts w:eastAsia="Times New Roman" w:cs="Times New Roman"/>
          <w:kern w:val="0"/>
          <w:sz w:val="24"/>
          <w:szCs w:val="24"/>
          <w:lang w:eastAsia="en-IN"/>
          <w14:ligatures w14:val="none"/>
        </w:rPr>
        <w:t xml:space="preserve"> Loans for purchasing real estate.</w:t>
      </w:r>
    </w:p>
    <w:p w14:paraId="2F8A78FC"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Payment and Transfer Services</w:t>
      </w:r>
    </w:p>
    <w:p w14:paraId="6E502832"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Wire Transfers:</w:t>
      </w:r>
      <w:r w:rsidRPr="000B44E7">
        <w:rPr>
          <w:rFonts w:eastAsia="Times New Roman" w:cs="Times New Roman"/>
          <w:kern w:val="0"/>
          <w:sz w:val="24"/>
          <w:szCs w:val="24"/>
          <w:lang w:eastAsia="en-IN"/>
          <w14:ligatures w14:val="none"/>
        </w:rPr>
        <w:t xml:space="preserve"> Domestic and international funds transfers.</w:t>
      </w:r>
    </w:p>
    <w:p w14:paraId="1422FF67"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Electronic Funds Transfer (EFT):</w:t>
      </w:r>
      <w:r w:rsidRPr="000B44E7">
        <w:rPr>
          <w:rFonts w:eastAsia="Times New Roman" w:cs="Times New Roman"/>
          <w:kern w:val="0"/>
          <w:sz w:val="24"/>
          <w:szCs w:val="24"/>
          <w:lang w:eastAsia="en-IN"/>
          <w14:ligatures w14:val="none"/>
        </w:rPr>
        <w:t xml:space="preserve"> For easier and faster transactions.</w:t>
      </w:r>
    </w:p>
    <w:p w14:paraId="1DACC200"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Payment Processing:</w:t>
      </w:r>
      <w:r w:rsidRPr="000B44E7">
        <w:rPr>
          <w:rFonts w:eastAsia="Times New Roman" w:cs="Times New Roman"/>
          <w:kern w:val="0"/>
          <w:sz w:val="24"/>
          <w:szCs w:val="24"/>
          <w:lang w:eastAsia="en-IN"/>
          <w14:ligatures w14:val="none"/>
        </w:rPr>
        <w:t xml:space="preserve"> For checks, credit cards, and electronic payments.</w:t>
      </w:r>
    </w:p>
    <w:p w14:paraId="079B3A98"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Foreign Exchange Services</w:t>
      </w:r>
    </w:p>
    <w:p w14:paraId="69237C5C" w14:textId="77777777" w:rsidR="000B44E7" w:rsidRPr="000B44E7" w:rsidRDefault="000B44E7" w:rsidP="000B44E7">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Currency Exchange:</w:t>
      </w:r>
      <w:r w:rsidRPr="000B44E7">
        <w:rPr>
          <w:rFonts w:eastAsia="Times New Roman" w:cs="Times New Roman"/>
          <w:kern w:val="0"/>
          <w:sz w:val="24"/>
          <w:szCs w:val="24"/>
          <w:lang w:eastAsia="en-IN"/>
          <w14:ligatures w14:val="none"/>
        </w:rPr>
        <w:t xml:space="preserve"> Buying and selling foreign currencies.</w:t>
      </w:r>
    </w:p>
    <w:p w14:paraId="1166B688" w14:textId="77777777" w:rsidR="000B44E7" w:rsidRPr="000B44E7" w:rsidRDefault="000B44E7" w:rsidP="000B44E7">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International Transactions:</w:t>
      </w:r>
      <w:r w:rsidRPr="000B44E7">
        <w:rPr>
          <w:rFonts w:eastAsia="Times New Roman" w:cs="Times New Roman"/>
          <w:kern w:val="0"/>
          <w:sz w:val="24"/>
          <w:szCs w:val="24"/>
          <w:lang w:eastAsia="en-IN"/>
          <w14:ligatures w14:val="none"/>
        </w:rPr>
        <w:t xml:space="preserve"> Facilitating international trade and remittances.</w:t>
      </w:r>
    </w:p>
    <w:p w14:paraId="2C754278"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Wealth Management and Advisory Services</w:t>
      </w:r>
    </w:p>
    <w:p w14:paraId="2983BEE0"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Advice:</w:t>
      </w:r>
      <w:r w:rsidRPr="000B44E7">
        <w:rPr>
          <w:rFonts w:eastAsia="Times New Roman" w:cs="Times New Roman"/>
          <w:kern w:val="0"/>
          <w:sz w:val="24"/>
          <w:szCs w:val="24"/>
          <w:lang w:eastAsia="en-IN"/>
          <w14:ligatures w14:val="none"/>
        </w:rPr>
        <w:t xml:space="preserve"> Providing guidance on personal investments.</w:t>
      </w:r>
    </w:p>
    <w:p w14:paraId="3E3E6394"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Retirement Planning:</w:t>
      </w:r>
      <w:r w:rsidRPr="000B44E7">
        <w:rPr>
          <w:rFonts w:eastAsia="Times New Roman" w:cs="Times New Roman"/>
          <w:kern w:val="0"/>
          <w:sz w:val="24"/>
          <w:szCs w:val="24"/>
          <w:lang w:eastAsia="en-IN"/>
          <w14:ligatures w14:val="none"/>
        </w:rPr>
        <w:t xml:space="preserve"> Helping clients plan for their retirement.</w:t>
      </w:r>
    </w:p>
    <w:p w14:paraId="7A7EF430"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Estate Planning:</w:t>
      </w:r>
      <w:r w:rsidRPr="000B44E7">
        <w:rPr>
          <w:rFonts w:eastAsia="Times New Roman" w:cs="Times New Roman"/>
          <w:kern w:val="0"/>
          <w:sz w:val="24"/>
          <w:szCs w:val="24"/>
          <w:lang w:eastAsia="en-IN"/>
          <w14:ligatures w14:val="none"/>
        </w:rPr>
        <w:t xml:space="preserve"> Managing and planning for asset distribution.</w:t>
      </w:r>
    </w:p>
    <w:p w14:paraId="0135AF7E" w14:textId="77777777" w:rsidR="000B44E7" w:rsidRDefault="000B44E7">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36AC3F4" w14:textId="7DDF7919"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Investment Banking Operations</w:t>
      </w:r>
    </w:p>
    <w:p w14:paraId="61EC64D8"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operations</w:t>
      </w:r>
      <w:r w:rsidRPr="000B44E7">
        <w:rPr>
          <w:rFonts w:eastAsia="Times New Roman" w:cs="Times New Roman"/>
          <w:kern w:val="0"/>
          <w:sz w:val="24"/>
          <w:szCs w:val="24"/>
          <w:lang w:eastAsia="en-IN"/>
          <w14:ligatures w14:val="none"/>
        </w:rPr>
        <w:t xml:space="preserve"> focus on providing services to institutional clients, corporations, and governments. The core operations include:</w:t>
      </w:r>
    </w:p>
    <w:p w14:paraId="44E5A063"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Underwriting</w:t>
      </w:r>
    </w:p>
    <w:p w14:paraId="3846E1B6" w14:textId="77777777" w:rsidR="000B44E7" w:rsidRPr="000B44E7" w:rsidRDefault="000B44E7" w:rsidP="000B44E7">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Equity Underwriting:</w:t>
      </w:r>
      <w:r w:rsidRPr="000B44E7">
        <w:rPr>
          <w:rFonts w:eastAsia="Times New Roman" w:cs="Times New Roman"/>
          <w:kern w:val="0"/>
          <w:sz w:val="24"/>
          <w:szCs w:val="24"/>
          <w:lang w:eastAsia="en-IN"/>
          <w14:ligatures w14:val="none"/>
        </w:rPr>
        <w:t xml:space="preserve"> Helping companies issue stocks.</w:t>
      </w:r>
    </w:p>
    <w:p w14:paraId="124DE49A" w14:textId="77777777" w:rsidR="000B44E7" w:rsidRPr="000B44E7" w:rsidRDefault="000B44E7" w:rsidP="000B44E7">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Debt Underwriting:</w:t>
      </w:r>
      <w:r w:rsidRPr="000B44E7">
        <w:rPr>
          <w:rFonts w:eastAsia="Times New Roman" w:cs="Times New Roman"/>
          <w:kern w:val="0"/>
          <w:sz w:val="24"/>
          <w:szCs w:val="24"/>
          <w:lang w:eastAsia="en-IN"/>
          <w14:ligatures w14:val="none"/>
        </w:rPr>
        <w:t xml:space="preserve"> Assisting in the issuance of bonds.</w:t>
      </w:r>
    </w:p>
    <w:p w14:paraId="5147A77C"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Advisory Services</w:t>
      </w:r>
    </w:p>
    <w:p w14:paraId="44F11B16" w14:textId="77777777" w:rsidR="000B44E7" w:rsidRPr="000B44E7" w:rsidRDefault="000B44E7" w:rsidP="000B44E7">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Mergers and Acquisitions (M&amp;A):</w:t>
      </w:r>
      <w:r w:rsidRPr="000B44E7">
        <w:rPr>
          <w:rFonts w:eastAsia="Times New Roman" w:cs="Times New Roman"/>
          <w:kern w:val="0"/>
          <w:sz w:val="24"/>
          <w:szCs w:val="24"/>
          <w:lang w:eastAsia="en-IN"/>
          <w14:ligatures w14:val="none"/>
        </w:rPr>
        <w:t xml:space="preserve"> Advising on the buying, selling, and merging of companies.</w:t>
      </w:r>
    </w:p>
    <w:p w14:paraId="70A8E911" w14:textId="77777777" w:rsidR="000B44E7" w:rsidRPr="000B44E7" w:rsidRDefault="000B44E7" w:rsidP="000B44E7">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Restructuring:</w:t>
      </w:r>
      <w:r w:rsidRPr="000B44E7">
        <w:rPr>
          <w:rFonts w:eastAsia="Times New Roman" w:cs="Times New Roman"/>
          <w:kern w:val="0"/>
          <w:sz w:val="24"/>
          <w:szCs w:val="24"/>
          <w:lang w:eastAsia="en-IN"/>
          <w14:ligatures w14:val="none"/>
        </w:rPr>
        <w:t xml:space="preserve"> Assisting companies in reorganizing their structure or debts.</w:t>
      </w:r>
    </w:p>
    <w:p w14:paraId="1B02155C"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Sales and Trading</w:t>
      </w:r>
    </w:p>
    <w:p w14:paraId="39FA185B"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Equities:</w:t>
      </w:r>
      <w:r w:rsidRPr="000B44E7">
        <w:rPr>
          <w:rFonts w:eastAsia="Times New Roman" w:cs="Times New Roman"/>
          <w:kern w:val="0"/>
          <w:sz w:val="24"/>
          <w:szCs w:val="24"/>
          <w:lang w:eastAsia="en-IN"/>
          <w14:ligatures w14:val="none"/>
        </w:rPr>
        <w:t xml:space="preserve"> Trading stocks on behalf of clients.</w:t>
      </w:r>
    </w:p>
    <w:p w14:paraId="4A851BCC"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Fixed Income:</w:t>
      </w:r>
      <w:r w:rsidRPr="000B44E7">
        <w:rPr>
          <w:rFonts w:eastAsia="Times New Roman" w:cs="Times New Roman"/>
          <w:kern w:val="0"/>
          <w:sz w:val="24"/>
          <w:szCs w:val="24"/>
          <w:lang w:eastAsia="en-IN"/>
          <w14:ligatures w14:val="none"/>
        </w:rPr>
        <w:t xml:space="preserve"> Trading bonds and other debt instruments.</w:t>
      </w:r>
    </w:p>
    <w:p w14:paraId="6F88388C"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Derivatives:</w:t>
      </w:r>
      <w:r w:rsidRPr="000B44E7">
        <w:rPr>
          <w:rFonts w:eastAsia="Times New Roman" w:cs="Times New Roman"/>
          <w:kern w:val="0"/>
          <w:sz w:val="24"/>
          <w:szCs w:val="24"/>
          <w:lang w:eastAsia="en-IN"/>
          <w14:ligatures w14:val="none"/>
        </w:rPr>
        <w:t xml:space="preserve"> Trading options, futures, and other derivatives.</w:t>
      </w:r>
    </w:p>
    <w:p w14:paraId="57EE5216"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Asset Management</w:t>
      </w:r>
    </w:p>
    <w:p w14:paraId="6CD00050" w14:textId="77777777" w:rsidR="000B44E7" w:rsidRPr="000B44E7" w:rsidRDefault="000B44E7" w:rsidP="000B44E7">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Portfolio Management:</w:t>
      </w:r>
      <w:r w:rsidRPr="000B44E7">
        <w:rPr>
          <w:rFonts w:eastAsia="Times New Roman" w:cs="Times New Roman"/>
          <w:kern w:val="0"/>
          <w:sz w:val="24"/>
          <w:szCs w:val="24"/>
          <w:lang w:eastAsia="en-IN"/>
          <w14:ligatures w14:val="none"/>
        </w:rPr>
        <w:t xml:space="preserve"> Managing investment portfolios for clients.</w:t>
      </w:r>
    </w:p>
    <w:p w14:paraId="02A8F39A" w14:textId="77777777" w:rsidR="000B44E7" w:rsidRPr="000B44E7" w:rsidRDefault="000B44E7" w:rsidP="000B44E7">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Hedge Funds:</w:t>
      </w:r>
      <w:r w:rsidRPr="000B44E7">
        <w:rPr>
          <w:rFonts w:eastAsia="Times New Roman" w:cs="Times New Roman"/>
          <w:kern w:val="0"/>
          <w:sz w:val="24"/>
          <w:szCs w:val="24"/>
          <w:lang w:eastAsia="en-IN"/>
          <w14:ligatures w14:val="none"/>
        </w:rPr>
        <w:t xml:space="preserve"> Offering alternative investment opportunities.</w:t>
      </w:r>
    </w:p>
    <w:p w14:paraId="26961C36"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Research</w:t>
      </w:r>
    </w:p>
    <w:p w14:paraId="67C4FF1C" w14:textId="77777777" w:rsidR="000B44E7" w:rsidRPr="000B44E7" w:rsidRDefault="000B44E7" w:rsidP="000B44E7">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Equity Research:</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stocks and providing recommendations.</w:t>
      </w:r>
    </w:p>
    <w:p w14:paraId="0B7BCE8F" w14:textId="77777777" w:rsidR="000B44E7" w:rsidRPr="000B44E7" w:rsidRDefault="000B44E7" w:rsidP="000B44E7">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Economic Research:</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economic trends and their impact on markets.</w:t>
      </w:r>
    </w:p>
    <w:p w14:paraId="2D5FA4A5" w14:textId="77777777"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Integration with Yahoo Finance</w:t>
      </w:r>
    </w:p>
    <w:p w14:paraId="493C126D"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Both commercial and investment banking operations can benefit significantly from the data and tools available on Yahoo Finance. Here’s how each type of banking operation can integrate and utilize Yahoo Finance:</w:t>
      </w:r>
    </w:p>
    <w:p w14:paraId="3239AC00" w14:textId="77777777" w:rsidR="000B44E7" w:rsidRDefault="000B44E7">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209BBA30" w14:textId="57DC1C61"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Commercial Banking Integration with Yahoo Finance</w:t>
      </w:r>
    </w:p>
    <w:p w14:paraId="11428E12"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Data and Analysis:</w:t>
      </w:r>
    </w:p>
    <w:p w14:paraId="4150F8B8" w14:textId="77777777" w:rsidR="000B44E7" w:rsidRPr="000B44E7" w:rsidRDefault="000B44E7" w:rsidP="000B44E7">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Interest Rates Monitoring:</w:t>
      </w:r>
      <w:r w:rsidRPr="000B44E7">
        <w:rPr>
          <w:rFonts w:eastAsia="Times New Roman" w:cs="Times New Roman"/>
          <w:kern w:val="0"/>
          <w:sz w:val="24"/>
          <w:szCs w:val="24"/>
          <w:lang w:eastAsia="en-IN"/>
          <w14:ligatures w14:val="none"/>
        </w:rPr>
        <w:t xml:space="preserve"> Commercial banks can use Yahoo Finance to monitor interest rate trends and economic indicators to adjust their loan and deposit rates.</w:t>
      </w:r>
    </w:p>
    <w:p w14:paraId="5A627CD0" w14:textId="77777777" w:rsidR="000B44E7" w:rsidRPr="000B44E7" w:rsidRDefault="000B44E7" w:rsidP="000B44E7">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Economic Indicators:</w:t>
      </w:r>
      <w:r w:rsidRPr="000B44E7">
        <w:rPr>
          <w:rFonts w:eastAsia="Times New Roman" w:cs="Times New Roman"/>
          <w:kern w:val="0"/>
          <w:sz w:val="24"/>
          <w:szCs w:val="24"/>
          <w:lang w:eastAsia="en-IN"/>
          <w14:ligatures w14:val="none"/>
        </w:rPr>
        <w:t xml:space="preserve"> Tracking inflation rates, unemployment rates, and GDP growth to inform financial strategies and products.</w:t>
      </w:r>
    </w:p>
    <w:p w14:paraId="0F5B2CD4"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Foreign Exchange Services:</w:t>
      </w:r>
    </w:p>
    <w:p w14:paraId="37D37EC2" w14:textId="77777777" w:rsidR="000B44E7" w:rsidRPr="000B44E7" w:rsidRDefault="000B44E7" w:rsidP="000B44E7">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Real-Time Currency Exchange Rates:</w:t>
      </w:r>
      <w:r w:rsidRPr="000B44E7">
        <w:rPr>
          <w:rFonts w:eastAsia="Times New Roman" w:cs="Times New Roman"/>
          <w:kern w:val="0"/>
          <w:sz w:val="24"/>
          <w:szCs w:val="24"/>
          <w:lang w:eastAsia="en-IN"/>
          <w14:ligatures w14:val="none"/>
        </w:rPr>
        <w:t xml:space="preserve"> Utilizing Yahoo Finance’s real-time exchange rates to set competitive rates for customers.</w:t>
      </w:r>
    </w:p>
    <w:p w14:paraId="47B2A5BA" w14:textId="77777777" w:rsidR="000B44E7" w:rsidRPr="000B44E7" w:rsidRDefault="000B44E7" w:rsidP="000B44E7">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Global Market Trends:</w:t>
      </w:r>
      <w:r w:rsidRPr="000B44E7">
        <w:rPr>
          <w:rFonts w:eastAsia="Times New Roman" w:cs="Times New Roman"/>
          <w:kern w:val="0"/>
          <w:sz w:val="24"/>
          <w:szCs w:val="24"/>
          <w:lang w:eastAsia="en-IN"/>
          <w14:ligatures w14:val="none"/>
        </w:rPr>
        <w:t xml:space="preserve"> Monitoring global economic conditions and trends that affect foreign exchange rates.</w:t>
      </w:r>
    </w:p>
    <w:p w14:paraId="2B8CB4D3"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News:</w:t>
      </w:r>
    </w:p>
    <w:p w14:paraId="5001DDD7" w14:textId="77777777" w:rsidR="000B44E7" w:rsidRPr="000B44E7" w:rsidRDefault="000B44E7" w:rsidP="000B44E7">
      <w:pPr>
        <w:pStyle w:val="ListParagraph"/>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Regulatory Updates:</w:t>
      </w:r>
      <w:r w:rsidRPr="000B44E7">
        <w:rPr>
          <w:rFonts w:eastAsia="Times New Roman" w:cs="Times New Roman"/>
          <w:kern w:val="0"/>
          <w:sz w:val="24"/>
          <w:szCs w:val="24"/>
          <w:lang w:eastAsia="en-IN"/>
          <w14:ligatures w14:val="none"/>
        </w:rPr>
        <w:t xml:space="preserve"> Staying informed about changes in banking regulations and policies that impact commercial banking operations.</w:t>
      </w:r>
    </w:p>
    <w:p w14:paraId="72A85D1D" w14:textId="77777777" w:rsidR="000B44E7" w:rsidRPr="000B44E7" w:rsidRDefault="000B44E7" w:rsidP="000B44E7">
      <w:pPr>
        <w:pStyle w:val="ListParagraph"/>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Industry News:</w:t>
      </w:r>
      <w:r w:rsidRPr="000B44E7">
        <w:rPr>
          <w:rFonts w:eastAsia="Times New Roman" w:cs="Times New Roman"/>
          <w:kern w:val="0"/>
          <w:sz w:val="24"/>
          <w:szCs w:val="24"/>
          <w:lang w:eastAsia="en-IN"/>
          <w14:ligatures w14:val="none"/>
        </w:rPr>
        <w:t xml:space="preserve"> Keeping up with industry news to understand the competitive landscape and make informed business decisions.</w:t>
      </w:r>
    </w:p>
    <w:p w14:paraId="400923D6"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Research Tools:</w:t>
      </w:r>
    </w:p>
    <w:p w14:paraId="39B09DC9" w14:textId="77777777" w:rsidR="000B44E7" w:rsidRPr="000B44E7" w:rsidRDefault="000B44E7" w:rsidP="000B44E7">
      <w:pPr>
        <w:pStyle w:val="ListParagraph"/>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Calculators:</w:t>
      </w:r>
      <w:r w:rsidRPr="000B44E7">
        <w:rPr>
          <w:rFonts w:eastAsia="Times New Roman" w:cs="Times New Roman"/>
          <w:kern w:val="0"/>
          <w:sz w:val="24"/>
          <w:szCs w:val="24"/>
          <w:lang w:eastAsia="en-IN"/>
          <w14:ligatures w14:val="none"/>
        </w:rPr>
        <w:t xml:space="preserve"> Using tools like mortgage calculators, loan calculators, and savings calculators to help customers make informed decisions.</w:t>
      </w:r>
    </w:p>
    <w:p w14:paraId="47A20814" w14:textId="77777777" w:rsidR="000B44E7" w:rsidRPr="000B44E7" w:rsidRDefault="000B44E7" w:rsidP="000B44E7">
      <w:pPr>
        <w:pStyle w:val="ListParagraph"/>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Risk Assessment Tools:</w:t>
      </w:r>
      <w:r w:rsidRPr="000B44E7">
        <w:rPr>
          <w:rFonts w:eastAsia="Times New Roman" w:cs="Times New Roman"/>
          <w:kern w:val="0"/>
          <w:sz w:val="24"/>
          <w:szCs w:val="24"/>
          <w:lang w:eastAsia="en-IN"/>
          <w14:ligatures w14:val="none"/>
        </w:rPr>
        <w:t xml:space="preserve"> Leveraging risk assessment tools to evaluate the financial health of potential borrowers and manage loan portfolios.</w:t>
      </w:r>
    </w:p>
    <w:p w14:paraId="2E1CBBDC"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Integration with Yahoo Finance</w:t>
      </w:r>
    </w:p>
    <w:p w14:paraId="1F5FC389"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Underwriting and Advisory Services:</w:t>
      </w:r>
    </w:p>
    <w:p w14:paraId="37DD25BA" w14:textId="77777777" w:rsidR="000B44E7" w:rsidRPr="000B44E7" w:rsidRDefault="000B44E7" w:rsidP="000B44E7">
      <w:pPr>
        <w:pStyle w:val="ListParagraph"/>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Data Analysis:</w:t>
      </w:r>
      <w:r w:rsidRPr="000B44E7">
        <w:rPr>
          <w:rFonts w:eastAsia="Times New Roman" w:cs="Times New Roman"/>
          <w:kern w:val="0"/>
          <w:sz w:val="24"/>
          <w:szCs w:val="24"/>
          <w:lang w:eastAsia="en-IN"/>
          <w14:ligatures w14:val="none"/>
        </w:rPr>
        <w:t xml:space="preserve"> Using detailed market data and stock performance analysis to price IPOs and other securities accurately.</w:t>
      </w:r>
    </w:p>
    <w:p w14:paraId="39FD2AEF" w14:textId="77777777" w:rsidR="000B44E7" w:rsidRPr="000B44E7" w:rsidRDefault="000B44E7" w:rsidP="000B44E7">
      <w:pPr>
        <w:pStyle w:val="ListParagraph"/>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M&amp;A Insights:</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potential acquisition targets’ financial health, stock performance, and market position.</w:t>
      </w:r>
    </w:p>
    <w:p w14:paraId="4064EEE9"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Sales and Trading:</w:t>
      </w:r>
    </w:p>
    <w:p w14:paraId="7B2E438C" w14:textId="77777777" w:rsidR="000B44E7" w:rsidRPr="000B44E7" w:rsidRDefault="000B44E7" w:rsidP="000B44E7">
      <w:pPr>
        <w:pStyle w:val="ListParagraph"/>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Real-Time Market Data:</w:t>
      </w:r>
      <w:r w:rsidRPr="000B44E7">
        <w:rPr>
          <w:rFonts w:eastAsia="Times New Roman" w:cs="Times New Roman"/>
          <w:kern w:val="0"/>
          <w:sz w:val="24"/>
          <w:szCs w:val="24"/>
          <w:lang w:eastAsia="en-IN"/>
          <w14:ligatures w14:val="none"/>
        </w:rPr>
        <w:t xml:space="preserve"> Accessing real-time prices for stocks, bonds, and other securities to inform trading decisions.</w:t>
      </w:r>
    </w:p>
    <w:p w14:paraId="38E24912" w14:textId="77777777" w:rsidR="000B44E7" w:rsidRPr="000B44E7" w:rsidRDefault="000B44E7" w:rsidP="000B44E7">
      <w:pPr>
        <w:pStyle w:val="ListParagraph"/>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Historical Data Analysis:</w:t>
      </w:r>
      <w:r w:rsidRPr="000B44E7">
        <w:rPr>
          <w:rFonts w:eastAsia="Times New Roman" w:cs="Times New Roman"/>
          <w:kern w:val="0"/>
          <w:sz w:val="24"/>
          <w:szCs w:val="24"/>
          <w:lang w:eastAsia="en-IN"/>
          <w14:ligatures w14:val="none"/>
        </w:rPr>
        <w:t xml:space="preserve"> Using historical data and interactive charts to </w:t>
      </w:r>
      <w:proofErr w:type="spellStart"/>
      <w:r w:rsidRPr="000B44E7">
        <w:rPr>
          <w:rFonts w:eastAsia="Times New Roman" w:cs="Times New Roman"/>
          <w:kern w:val="0"/>
          <w:sz w:val="24"/>
          <w:szCs w:val="24"/>
          <w:lang w:eastAsia="en-IN"/>
          <w14:ligatures w14:val="none"/>
        </w:rPr>
        <w:t>analyze</w:t>
      </w:r>
      <w:proofErr w:type="spellEnd"/>
      <w:r w:rsidRPr="000B44E7">
        <w:rPr>
          <w:rFonts w:eastAsia="Times New Roman" w:cs="Times New Roman"/>
          <w:kern w:val="0"/>
          <w:sz w:val="24"/>
          <w:szCs w:val="24"/>
          <w:lang w:eastAsia="en-IN"/>
          <w14:ligatures w14:val="none"/>
        </w:rPr>
        <w:t xml:space="preserve"> market trends and make predictions.</w:t>
      </w:r>
    </w:p>
    <w:p w14:paraId="5C1A1114"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Asset Management:</w:t>
      </w:r>
    </w:p>
    <w:p w14:paraId="6F0E086D" w14:textId="77777777" w:rsidR="000B44E7" w:rsidRPr="000B44E7" w:rsidRDefault="000B44E7" w:rsidP="000B44E7">
      <w:pPr>
        <w:pStyle w:val="ListParagraph"/>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Portfolio Monitoring:</w:t>
      </w:r>
      <w:r w:rsidRPr="000B44E7">
        <w:rPr>
          <w:rFonts w:eastAsia="Times New Roman" w:cs="Times New Roman"/>
          <w:kern w:val="0"/>
          <w:sz w:val="24"/>
          <w:szCs w:val="24"/>
          <w:lang w:eastAsia="en-IN"/>
          <w14:ligatures w14:val="none"/>
        </w:rPr>
        <w:t xml:space="preserve"> Tracking the performance of various securities in managed portfolios to adjust asset allocations.</w:t>
      </w:r>
    </w:p>
    <w:p w14:paraId="0866277A" w14:textId="77777777" w:rsidR="000B44E7" w:rsidRPr="000B44E7" w:rsidRDefault="000B44E7" w:rsidP="000B44E7">
      <w:pPr>
        <w:pStyle w:val="ListParagraph"/>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Research:</w:t>
      </w:r>
      <w:r w:rsidRPr="000B44E7">
        <w:rPr>
          <w:rFonts w:eastAsia="Times New Roman" w:cs="Times New Roman"/>
          <w:kern w:val="0"/>
          <w:sz w:val="24"/>
          <w:szCs w:val="24"/>
          <w:lang w:eastAsia="en-IN"/>
          <w14:ligatures w14:val="none"/>
        </w:rPr>
        <w:t xml:space="preserve"> Accessing detailed company profiles, analyst ratings, and financial statements to inform investment strategies.</w:t>
      </w:r>
    </w:p>
    <w:p w14:paraId="520519C2"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News and Reports:</w:t>
      </w:r>
    </w:p>
    <w:p w14:paraId="28BA0849" w14:textId="77777777" w:rsidR="000B44E7" w:rsidRPr="000B44E7" w:rsidRDefault="000B44E7" w:rsidP="000B44E7">
      <w:pPr>
        <w:pStyle w:val="ListParagraph"/>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Trends:</w:t>
      </w:r>
      <w:r w:rsidRPr="000B44E7">
        <w:rPr>
          <w:rFonts w:eastAsia="Times New Roman" w:cs="Times New Roman"/>
          <w:kern w:val="0"/>
          <w:sz w:val="24"/>
          <w:szCs w:val="24"/>
          <w:lang w:eastAsia="en-IN"/>
          <w14:ligatures w14:val="none"/>
        </w:rPr>
        <w:t xml:space="preserve"> Staying updated on market trends and economic events that affect investment banking activities.</w:t>
      </w:r>
    </w:p>
    <w:p w14:paraId="03DCA613" w14:textId="77777777" w:rsidR="000B44E7" w:rsidRPr="000B44E7" w:rsidRDefault="000B44E7" w:rsidP="000B44E7">
      <w:pPr>
        <w:pStyle w:val="ListParagraph"/>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Corporate Actions:</w:t>
      </w:r>
      <w:r w:rsidRPr="000B44E7">
        <w:rPr>
          <w:rFonts w:eastAsia="Times New Roman" w:cs="Times New Roman"/>
          <w:kern w:val="0"/>
          <w:sz w:val="24"/>
          <w:szCs w:val="24"/>
          <w:lang w:eastAsia="en-IN"/>
          <w14:ligatures w14:val="none"/>
        </w:rPr>
        <w:t xml:space="preserve"> Following news on mergers, acquisitions, and other corporate actions to provide timely advice to clients.</w:t>
      </w:r>
    </w:p>
    <w:p w14:paraId="42DBDA4E" w14:textId="77777777"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Examples</w:t>
      </w:r>
    </w:p>
    <w:p w14:paraId="0752AD0B"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Examples</w:t>
      </w:r>
    </w:p>
    <w:p w14:paraId="09C53626"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Bank of America:</w:t>
      </w:r>
      <w:r w:rsidRPr="000B44E7">
        <w:rPr>
          <w:rFonts w:eastAsia="Times New Roman" w:cs="Times New Roman"/>
          <w:kern w:val="0"/>
          <w:sz w:val="24"/>
          <w:szCs w:val="24"/>
          <w:lang w:eastAsia="en-IN"/>
          <w14:ligatures w14:val="none"/>
        </w:rPr>
        <w:t xml:space="preserve"> Uses Yahoo Finance to monitor interest rates and adjust their mortgage and loan products.</w:t>
      </w:r>
    </w:p>
    <w:p w14:paraId="6DBAF74A"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Wells Fargo:</w:t>
      </w:r>
      <w:r w:rsidRPr="000B44E7">
        <w:rPr>
          <w:rFonts w:eastAsia="Times New Roman" w:cs="Times New Roman"/>
          <w:kern w:val="0"/>
          <w:sz w:val="24"/>
          <w:szCs w:val="24"/>
          <w:lang w:eastAsia="en-IN"/>
          <w14:ligatures w14:val="none"/>
        </w:rPr>
        <w:t xml:space="preserve"> Tracks housing market trends on Yahoo Finance to inform their mortgage offerings.</w:t>
      </w:r>
    </w:p>
    <w:p w14:paraId="38ADC785"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Citibank:</w:t>
      </w:r>
      <w:r w:rsidRPr="000B44E7">
        <w:rPr>
          <w:rFonts w:eastAsia="Times New Roman" w:cs="Times New Roman"/>
          <w:kern w:val="0"/>
          <w:sz w:val="24"/>
          <w:szCs w:val="24"/>
          <w:lang w:eastAsia="en-IN"/>
          <w14:ligatures w14:val="none"/>
        </w:rPr>
        <w:t xml:space="preserve"> Utilizes real-time currency exchange rates from Yahoo Finance to offer competitive foreign exchange services.</w:t>
      </w:r>
    </w:p>
    <w:p w14:paraId="7DCC1A0C"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Examples</w:t>
      </w:r>
    </w:p>
    <w:p w14:paraId="1A102B4F"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Goldman Sachs:</w:t>
      </w:r>
      <w:r w:rsidRPr="000B44E7">
        <w:rPr>
          <w:rFonts w:eastAsia="Times New Roman" w:cs="Times New Roman"/>
          <w:kern w:val="0"/>
          <w:sz w:val="24"/>
          <w:szCs w:val="24"/>
          <w:lang w:eastAsia="en-IN"/>
          <w14:ligatures w14:val="none"/>
        </w:rPr>
        <w:t xml:space="preserve"> Uses Yahoo Finance to </w:t>
      </w:r>
      <w:proofErr w:type="spellStart"/>
      <w:r w:rsidRPr="000B44E7">
        <w:rPr>
          <w:rFonts w:eastAsia="Times New Roman" w:cs="Times New Roman"/>
          <w:kern w:val="0"/>
          <w:sz w:val="24"/>
          <w:szCs w:val="24"/>
          <w:lang w:eastAsia="en-IN"/>
          <w14:ligatures w14:val="none"/>
        </w:rPr>
        <w:t>analyze</w:t>
      </w:r>
      <w:proofErr w:type="spellEnd"/>
      <w:r w:rsidRPr="000B44E7">
        <w:rPr>
          <w:rFonts w:eastAsia="Times New Roman" w:cs="Times New Roman"/>
          <w:kern w:val="0"/>
          <w:sz w:val="24"/>
          <w:szCs w:val="24"/>
          <w:lang w:eastAsia="en-IN"/>
          <w14:ligatures w14:val="none"/>
        </w:rPr>
        <w:t xml:space="preserve"> market data for pricing new IPOs.</w:t>
      </w:r>
    </w:p>
    <w:p w14:paraId="795A2D5E"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Morgan Stanley:</w:t>
      </w:r>
      <w:r w:rsidRPr="000B44E7">
        <w:rPr>
          <w:rFonts w:eastAsia="Times New Roman" w:cs="Times New Roman"/>
          <w:kern w:val="0"/>
          <w:sz w:val="24"/>
          <w:szCs w:val="24"/>
          <w:lang w:eastAsia="en-IN"/>
          <w14:ligatures w14:val="none"/>
        </w:rPr>
        <w:t xml:space="preserve"> Relies on Yahoo Finance to research and evaluate potential M&amp;A targets.</w:t>
      </w:r>
    </w:p>
    <w:p w14:paraId="138B6DC8"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JPMorgan’s Trading Desk:</w:t>
      </w:r>
      <w:r w:rsidRPr="000B44E7">
        <w:rPr>
          <w:rFonts w:eastAsia="Times New Roman" w:cs="Times New Roman"/>
          <w:kern w:val="0"/>
          <w:sz w:val="24"/>
          <w:szCs w:val="24"/>
          <w:lang w:eastAsia="en-IN"/>
          <w14:ligatures w14:val="none"/>
        </w:rPr>
        <w:t xml:space="preserve"> Accesses real-time stock prices on Yahoo Finance to make informed trading decisions.</w:t>
      </w:r>
    </w:p>
    <w:p w14:paraId="66FF443B"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By integrating Yahoo Finance’s comprehensive financial information and tools, both commercial and investment banks can enhance their operational efficiency, make better-informed decisions, and provide more value to their clients.</w:t>
      </w:r>
    </w:p>
    <w:p w14:paraId="34294E42" w14:textId="77777777" w:rsidR="000B44E7" w:rsidRDefault="000B44E7">
      <w:pPr>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br w:type="page"/>
      </w:r>
    </w:p>
    <w:p w14:paraId="75498142" w14:textId="757BA1E0" w:rsidR="000B44E7" w:rsidRPr="000B44E7" w:rsidRDefault="000B44E7" w:rsidP="000B44E7">
      <w:pPr>
        <w:pStyle w:val="Heading2"/>
        <w:rPr>
          <w:rFonts w:eastAsia="Times New Roman"/>
          <w:b/>
          <w:bCs/>
          <w:lang w:eastAsia="en-IN"/>
        </w:rPr>
      </w:pPr>
      <w:r w:rsidRPr="000B44E7">
        <w:rPr>
          <w:rFonts w:eastAsia="Times New Roman"/>
          <w:b/>
          <w:bCs/>
          <w:lang w:eastAsia="en-IN"/>
        </w:rPr>
        <w:lastRenderedPageBreak/>
        <w:t>D</w:t>
      </w:r>
      <w:r w:rsidRPr="000B44E7">
        <w:rPr>
          <w:rFonts w:eastAsia="Times New Roman"/>
          <w:b/>
          <w:bCs/>
          <w:lang w:eastAsia="en-IN"/>
        </w:rPr>
        <w:t>ifferences between commercial and investment banking operations:</w:t>
      </w:r>
    </w:p>
    <w:tbl>
      <w:tblPr>
        <w:tblStyle w:val="TableGrid"/>
        <w:tblW w:w="9744" w:type="dxa"/>
        <w:tblInd w:w="-364" w:type="dxa"/>
        <w:tblLook w:val="04A0" w:firstRow="1" w:lastRow="0" w:firstColumn="1" w:lastColumn="0" w:noHBand="0" w:noVBand="1"/>
      </w:tblPr>
      <w:tblGrid>
        <w:gridCol w:w="2619"/>
        <w:gridCol w:w="3115"/>
        <w:gridCol w:w="4010"/>
      </w:tblGrid>
      <w:tr w:rsidR="000B44E7" w:rsidRPr="000B44E7" w14:paraId="6EB20573" w14:textId="77777777" w:rsidTr="000B44E7">
        <w:trPr>
          <w:trHeight w:val="544"/>
        </w:trPr>
        <w:tc>
          <w:tcPr>
            <w:tcW w:w="0" w:type="auto"/>
            <w:hideMark/>
          </w:tcPr>
          <w:p w14:paraId="1FF0AD40"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Aspect</w:t>
            </w:r>
          </w:p>
        </w:tc>
        <w:tc>
          <w:tcPr>
            <w:tcW w:w="0" w:type="auto"/>
            <w:hideMark/>
          </w:tcPr>
          <w:p w14:paraId="6F3335DB"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Operations</w:t>
            </w:r>
          </w:p>
        </w:tc>
        <w:tc>
          <w:tcPr>
            <w:tcW w:w="0" w:type="auto"/>
            <w:hideMark/>
          </w:tcPr>
          <w:p w14:paraId="1AA608F3"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Operations</w:t>
            </w:r>
          </w:p>
        </w:tc>
      </w:tr>
      <w:tr w:rsidR="000B44E7" w:rsidRPr="000B44E7" w14:paraId="12A51E93" w14:textId="77777777" w:rsidTr="000B44E7">
        <w:trPr>
          <w:trHeight w:val="811"/>
        </w:trPr>
        <w:tc>
          <w:tcPr>
            <w:tcW w:w="0" w:type="auto"/>
            <w:hideMark/>
          </w:tcPr>
          <w:p w14:paraId="3E880F4E"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Primary Focus</w:t>
            </w:r>
          </w:p>
        </w:tc>
        <w:tc>
          <w:tcPr>
            <w:tcW w:w="0" w:type="auto"/>
            <w:hideMark/>
          </w:tcPr>
          <w:p w14:paraId="04BFE70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Retail and small business banking, personal finance</w:t>
            </w:r>
          </w:p>
        </w:tc>
        <w:tc>
          <w:tcPr>
            <w:tcW w:w="0" w:type="auto"/>
            <w:hideMark/>
          </w:tcPr>
          <w:p w14:paraId="510D9F4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Corporate finance, capital markets, advisory services</w:t>
            </w:r>
          </w:p>
        </w:tc>
      </w:tr>
      <w:tr w:rsidR="000B44E7" w:rsidRPr="000B44E7" w14:paraId="34AA23EC" w14:textId="77777777" w:rsidTr="000B44E7">
        <w:trPr>
          <w:trHeight w:val="811"/>
        </w:trPr>
        <w:tc>
          <w:tcPr>
            <w:tcW w:w="0" w:type="auto"/>
            <w:hideMark/>
          </w:tcPr>
          <w:p w14:paraId="63929975"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Main Services</w:t>
            </w:r>
          </w:p>
        </w:tc>
        <w:tc>
          <w:tcPr>
            <w:tcW w:w="0" w:type="auto"/>
            <w:hideMark/>
          </w:tcPr>
          <w:p w14:paraId="0A161638"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Deposits, loans, payment services, savings accounts</w:t>
            </w:r>
          </w:p>
        </w:tc>
        <w:tc>
          <w:tcPr>
            <w:tcW w:w="0" w:type="auto"/>
            <w:hideMark/>
          </w:tcPr>
          <w:p w14:paraId="0C5F075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Underwriting, M&amp;A advisory, trading, asset management</w:t>
            </w:r>
          </w:p>
        </w:tc>
      </w:tr>
      <w:tr w:rsidR="000B44E7" w:rsidRPr="000B44E7" w14:paraId="370FCF59" w14:textId="77777777" w:rsidTr="000B44E7">
        <w:trPr>
          <w:trHeight w:val="811"/>
        </w:trPr>
        <w:tc>
          <w:tcPr>
            <w:tcW w:w="0" w:type="auto"/>
            <w:hideMark/>
          </w:tcPr>
          <w:p w14:paraId="7E30E3DB"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Clientele</w:t>
            </w:r>
          </w:p>
        </w:tc>
        <w:tc>
          <w:tcPr>
            <w:tcW w:w="0" w:type="auto"/>
            <w:hideMark/>
          </w:tcPr>
          <w:p w14:paraId="34A2419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Individuals, small to medium-sized businesses</w:t>
            </w:r>
          </w:p>
        </w:tc>
        <w:tc>
          <w:tcPr>
            <w:tcW w:w="0" w:type="auto"/>
            <w:hideMark/>
          </w:tcPr>
          <w:p w14:paraId="4FBA3F0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Corporations, governments, institutional investors</w:t>
            </w:r>
          </w:p>
        </w:tc>
      </w:tr>
      <w:tr w:rsidR="000B44E7" w:rsidRPr="000B44E7" w14:paraId="7CB7C75D" w14:textId="77777777" w:rsidTr="000B44E7">
        <w:trPr>
          <w:trHeight w:val="811"/>
        </w:trPr>
        <w:tc>
          <w:tcPr>
            <w:tcW w:w="0" w:type="auto"/>
            <w:hideMark/>
          </w:tcPr>
          <w:p w14:paraId="749255D5"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Revenue Sources</w:t>
            </w:r>
          </w:p>
        </w:tc>
        <w:tc>
          <w:tcPr>
            <w:tcW w:w="0" w:type="auto"/>
            <w:hideMark/>
          </w:tcPr>
          <w:p w14:paraId="2CF3B7A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Interest on loans, fees for services, account maintenance charges</w:t>
            </w:r>
          </w:p>
        </w:tc>
        <w:tc>
          <w:tcPr>
            <w:tcW w:w="0" w:type="auto"/>
            <w:hideMark/>
          </w:tcPr>
          <w:p w14:paraId="1CDA45E3"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Fees from underwriting, advisory services, trading commissions</w:t>
            </w:r>
          </w:p>
        </w:tc>
      </w:tr>
      <w:tr w:rsidR="000B44E7" w:rsidRPr="000B44E7" w14:paraId="75ED1197" w14:textId="77777777" w:rsidTr="000B44E7">
        <w:trPr>
          <w:trHeight w:val="811"/>
        </w:trPr>
        <w:tc>
          <w:tcPr>
            <w:tcW w:w="0" w:type="auto"/>
            <w:hideMark/>
          </w:tcPr>
          <w:p w14:paraId="316839F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Examples of Products/Services</w:t>
            </w:r>
          </w:p>
        </w:tc>
        <w:tc>
          <w:tcPr>
            <w:tcW w:w="0" w:type="auto"/>
            <w:hideMark/>
          </w:tcPr>
          <w:p w14:paraId="06838F79"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Checking and savings accounts, mortgages, personal loans</w:t>
            </w:r>
          </w:p>
        </w:tc>
        <w:tc>
          <w:tcPr>
            <w:tcW w:w="0" w:type="auto"/>
            <w:hideMark/>
          </w:tcPr>
          <w:p w14:paraId="0023BBE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Initial public offerings (IPOs), bond issuances, mergers and acquisitions</w:t>
            </w:r>
          </w:p>
        </w:tc>
      </w:tr>
      <w:tr w:rsidR="000B44E7" w:rsidRPr="000B44E7" w14:paraId="2A39CD66" w14:textId="77777777" w:rsidTr="000B44E7">
        <w:trPr>
          <w:trHeight w:val="811"/>
        </w:trPr>
        <w:tc>
          <w:tcPr>
            <w:tcW w:w="0" w:type="auto"/>
            <w:hideMark/>
          </w:tcPr>
          <w:p w14:paraId="22C8CB4A"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Risk Profile</w:t>
            </w:r>
          </w:p>
        </w:tc>
        <w:tc>
          <w:tcPr>
            <w:tcW w:w="0" w:type="auto"/>
            <w:hideMark/>
          </w:tcPr>
          <w:p w14:paraId="0C2B9A4C"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Lower risk due to secured loans and regulatory oversight</w:t>
            </w:r>
          </w:p>
        </w:tc>
        <w:tc>
          <w:tcPr>
            <w:tcW w:w="0" w:type="auto"/>
            <w:hideMark/>
          </w:tcPr>
          <w:p w14:paraId="7FCB02D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Higher risk due to market volatility and complex financial products</w:t>
            </w:r>
          </w:p>
        </w:tc>
      </w:tr>
      <w:tr w:rsidR="000B44E7" w:rsidRPr="000B44E7" w14:paraId="14182558" w14:textId="77777777" w:rsidTr="000B44E7">
        <w:trPr>
          <w:trHeight w:val="1089"/>
        </w:trPr>
        <w:tc>
          <w:tcPr>
            <w:tcW w:w="0" w:type="auto"/>
            <w:hideMark/>
          </w:tcPr>
          <w:p w14:paraId="0689984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Regulation</w:t>
            </w:r>
          </w:p>
        </w:tc>
        <w:tc>
          <w:tcPr>
            <w:tcW w:w="0" w:type="auto"/>
            <w:hideMark/>
          </w:tcPr>
          <w:p w14:paraId="67A4781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Heavily regulated by government and financial authorities</w:t>
            </w:r>
          </w:p>
        </w:tc>
        <w:tc>
          <w:tcPr>
            <w:tcW w:w="0" w:type="auto"/>
            <w:hideMark/>
          </w:tcPr>
          <w:p w14:paraId="2B9F29E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Also regulated but with a focus on different aspects such as capital requirements and disclosures</w:t>
            </w:r>
          </w:p>
        </w:tc>
      </w:tr>
      <w:tr w:rsidR="000B44E7" w:rsidRPr="000B44E7" w14:paraId="66EAF59F" w14:textId="77777777" w:rsidTr="000B44E7">
        <w:trPr>
          <w:trHeight w:val="811"/>
        </w:trPr>
        <w:tc>
          <w:tcPr>
            <w:tcW w:w="0" w:type="auto"/>
            <w:hideMark/>
          </w:tcPr>
          <w:p w14:paraId="7D5D55F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Typical Transactions</w:t>
            </w:r>
          </w:p>
        </w:tc>
        <w:tc>
          <w:tcPr>
            <w:tcW w:w="0" w:type="auto"/>
            <w:hideMark/>
          </w:tcPr>
          <w:p w14:paraId="00B6E88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Daily transactions like deposits, withdrawals, loans, and payments</w:t>
            </w:r>
          </w:p>
        </w:tc>
        <w:tc>
          <w:tcPr>
            <w:tcW w:w="0" w:type="auto"/>
            <w:hideMark/>
          </w:tcPr>
          <w:p w14:paraId="04024A59"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Large, complex transactions like corporate takeovers and stock offerings</w:t>
            </w:r>
          </w:p>
        </w:tc>
      </w:tr>
      <w:tr w:rsidR="000B44E7" w:rsidRPr="000B44E7" w14:paraId="4D30A44F" w14:textId="77777777" w:rsidTr="000B44E7">
        <w:trPr>
          <w:trHeight w:val="811"/>
        </w:trPr>
        <w:tc>
          <w:tcPr>
            <w:tcW w:w="0" w:type="auto"/>
            <w:hideMark/>
          </w:tcPr>
          <w:p w14:paraId="5EDDD06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Examples of Institutions</w:t>
            </w:r>
          </w:p>
        </w:tc>
        <w:tc>
          <w:tcPr>
            <w:tcW w:w="0" w:type="auto"/>
            <w:hideMark/>
          </w:tcPr>
          <w:p w14:paraId="7E91C34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Bank of America, Wells Fargo, Citibank</w:t>
            </w:r>
          </w:p>
        </w:tc>
        <w:tc>
          <w:tcPr>
            <w:tcW w:w="0" w:type="auto"/>
            <w:hideMark/>
          </w:tcPr>
          <w:p w14:paraId="38FC96C4"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Goldman Sachs, Morgan Stanley, JPMorgan Chase (investment banking division)</w:t>
            </w:r>
          </w:p>
        </w:tc>
      </w:tr>
      <w:tr w:rsidR="000B44E7" w:rsidRPr="000B44E7" w14:paraId="348CD995" w14:textId="77777777" w:rsidTr="000B44E7">
        <w:trPr>
          <w:trHeight w:val="811"/>
        </w:trPr>
        <w:tc>
          <w:tcPr>
            <w:tcW w:w="0" w:type="auto"/>
            <w:hideMark/>
          </w:tcPr>
          <w:p w14:paraId="5E1C52FF"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Focus</w:t>
            </w:r>
          </w:p>
        </w:tc>
        <w:tc>
          <w:tcPr>
            <w:tcW w:w="0" w:type="auto"/>
            <w:hideMark/>
          </w:tcPr>
          <w:p w14:paraId="7FA8FAD7"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Primarily low-risk, stable returns (e.g., personal loans, mortgages)</w:t>
            </w:r>
          </w:p>
        </w:tc>
        <w:tc>
          <w:tcPr>
            <w:tcW w:w="0" w:type="auto"/>
            <w:hideMark/>
          </w:tcPr>
          <w:p w14:paraId="10AC142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Potentially high-risk, high-reward investments (e.g., equities, derivatives)</w:t>
            </w:r>
          </w:p>
        </w:tc>
      </w:tr>
      <w:tr w:rsidR="000B44E7" w:rsidRPr="000B44E7" w14:paraId="4E7B6F9F" w14:textId="77777777" w:rsidTr="000B44E7">
        <w:trPr>
          <w:trHeight w:val="811"/>
        </w:trPr>
        <w:tc>
          <w:tcPr>
            <w:tcW w:w="0" w:type="auto"/>
            <w:hideMark/>
          </w:tcPr>
          <w:p w14:paraId="1A83E75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Capital Requirements</w:t>
            </w:r>
          </w:p>
        </w:tc>
        <w:tc>
          <w:tcPr>
            <w:tcW w:w="0" w:type="auto"/>
            <w:hideMark/>
          </w:tcPr>
          <w:p w14:paraId="514E057C"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Higher capital requirements to protect depositor funds</w:t>
            </w:r>
          </w:p>
        </w:tc>
        <w:tc>
          <w:tcPr>
            <w:tcW w:w="0" w:type="auto"/>
            <w:hideMark/>
          </w:tcPr>
          <w:p w14:paraId="393557F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Capital used for underwriting and trading activities</w:t>
            </w:r>
          </w:p>
        </w:tc>
      </w:tr>
      <w:tr w:rsidR="000B44E7" w:rsidRPr="000B44E7" w14:paraId="46199312" w14:textId="77777777" w:rsidTr="000B44E7">
        <w:trPr>
          <w:trHeight w:val="811"/>
        </w:trPr>
        <w:tc>
          <w:tcPr>
            <w:tcW w:w="0" w:type="auto"/>
            <w:hideMark/>
          </w:tcPr>
          <w:p w14:paraId="7076140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Income Stability</w:t>
            </w:r>
          </w:p>
        </w:tc>
        <w:tc>
          <w:tcPr>
            <w:tcW w:w="0" w:type="auto"/>
            <w:hideMark/>
          </w:tcPr>
          <w:p w14:paraId="7CEA641E"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More stable due to consistent interest and fee income</w:t>
            </w:r>
          </w:p>
        </w:tc>
        <w:tc>
          <w:tcPr>
            <w:tcW w:w="0" w:type="auto"/>
            <w:hideMark/>
          </w:tcPr>
          <w:p w14:paraId="470FD98B"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More variable due to dependence on market conditions and deal flow</w:t>
            </w:r>
          </w:p>
        </w:tc>
      </w:tr>
      <w:tr w:rsidR="000B44E7" w:rsidRPr="000B44E7" w14:paraId="34B0CD66" w14:textId="77777777" w:rsidTr="000B44E7">
        <w:trPr>
          <w:trHeight w:val="811"/>
        </w:trPr>
        <w:tc>
          <w:tcPr>
            <w:tcW w:w="0" w:type="auto"/>
            <w:hideMark/>
          </w:tcPr>
          <w:p w14:paraId="5E2BF0C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Customer Relationships</w:t>
            </w:r>
          </w:p>
        </w:tc>
        <w:tc>
          <w:tcPr>
            <w:tcW w:w="0" w:type="auto"/>
            <w:hideMark/>
          </w:tcPr>
          <w:p w14:paraId="56C0066F"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Long-term relationships with individual and small business clients</w:t>
            </w:r>
          </w:p>
        </w:tc>
        <w:tc>
          <w:tcPr>
            <w:tcW w:w="0" w:type="auto"/>
            <w:hideMark/>
          </w:tcPr>
          <w:p w14:paraId="1FC3C6D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Transaction-based relationships with corporate and institutional clients</w:t>
            </w:r>
          </w:p>
        </w:tc>
      </w:tr>
    </w:tbl>
    <w:p w14:paraId="7DC495F9"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This table should give a clear comparison of the differences between commercial and investment banking operations.</w:t>
      </w:r>
    </w:p>
    <w:p w14:paraId="4E92D23E" w14:textId="75234C2E" w:rsidR="00147AA4" w:rsidRDefault="00147AA4" w:rsidP="00147AA4">
      <w:pPr>
        <w:pStyle w:val="Heading2"/>
        <w:jc w:val="center"/>
        <w:rPr>
          <w:rFonts w:eastAsia="Times New Roman"/>
          <w:b/>
          <w:bCs/>
          <w:sz w:val="36"/>
          <w:szCs w:val="36"/>
          <w:lang w:eastAsia="en-IN"/>
        </w:rPr>
      </w:pPr>
      <w:r w:rsidRPr="00147AA4">
        <w:rPr>
          <w:rFonts w:eastAsia="Times New Roman"/>
          <w:b/>
          <w:bCs/>
          <w:sz w:val="36"/>
          <w:szCs w:val="36"/>
          <w:lang w:eastAsia="en-IN"/>
        </w:rPr>
        <w:lastRenderedPageBreak/>
        <w:t>Tables Relate to Commercial &amp; Investment Banking Operations</w:t>
      </w:r>
    </w:p>
    <w:p w14:paraId="3F876EF5" w14:textId="2F95F514" w:rsidR="00147AA4" w:rsidRDefault="00147AA4" w:rsidP="00147AA4">
      <w:pPr>
        <w:pStyle w:val="Heading2"/>
        <w:rPr>
          <w:rFonts w:eastAsia="Times New Roman"/>
          <w:lang w:eastAsia="en-IN"/>
        </w:rPr>
      </w:pPr>
      <w:r>
        <w:rPr>
          <w:rFonts w:eastAsia="Times New Roman"/>
          <w:lang w:eastAsia="en-IN"/>
        </w:rPr>
        <w:t xml:space="preserve">1. </w:t>
      </w:r>
      <w:r w:rsidRPr="00147AA4">
        <w:rPr>
          <w:rFonts w:eastAsia="Times New Roman"/>
          <w:lang w:eastAsia="en-IN"/>
        </w:rPr>
        <w:t>Commercial Banking Data Table</w:t>
      </w:r>
    </w:p>
    <w:tbl>
      <w:tblPr>
        <w:tblStyle w:val="TableGrid"/>
        <w:tblW w:w="9334" w:type="dxa"/>
        <w:tblLook w:val="04A0" w:firstRow="1" w:lastRow="0" w:firstColumn="1" w:lastColumn="0" w:noHBand="0" w:noVBand="1"/>
      </w:tblPr>
      <w:tblGrid>
        <w:gridCol w:w="1784"/>
        <w:gridCol w:w="1510"/>
        <w:gridCol w:w="1510"/>
        <w:gridCol w:w="1510"/>
        <w:gridCol w:w="1510"/>
        <w:gridCol w:w="1510"/>
      </w:tblGrid>
      <w:tr w:rsidR="00147AA4" w:rsidRPr="00147AA4" w14:paraId="22543EC3" w14:textId="77777777" w:rsidTr="00147AA4">
        <w:trPr>
          <w:trHeight w:val="153"/>
        </w:trPr>
        <w:tc>
          <w:tcPr>
            <w:tcW w:w="1784" w:type="dxa"/>
            <w:hideMark/>
          </w:tcPr>
          <w:p w14:paraId="6718C14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Metric</w:t>
            </w:r>
          </w:p>
        </w:tc>
        <w:tc>
          <w:tcPr>
            <w:tcW w:w="1510" w:type="dxa"/>
            <w:hideMark/>
          </w:tcPr>
          <w:p w14:paraId="3BBCC7F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2018</w:t>
            </w:r>
          </w:p>
        </w:tc>
        <w:tc>
          <w:tcPr>
            <w:tcW w:w="1510" w:type="dxa"/>
            <w:hideMark/>
          </w:tcPr>
          <w:p w14:paraId="54514260"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2019</w:t>
            </w:r>
          </w:p>
        </w:tc>
        <w:tc>
          <w:tcPr>
            <w:tcW w:w="1510" w:type="dxa"/>
            <w:hideMark/>
          </w:tcPr>
          <w:p w14:paraId="4C6C3451"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2020</w:t>
            </w:r>
          </w:p>
        </w:tc>
        <w:tc>
          <w:tcPr>
            <w:tcW w:w="1510" w:type="dxa"/>
            <w:hideMark/>
          </w:tcPr>
          <w:p w14:paraId="6E1FE04A"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2021</w:t>
            </w:r>
          </w:p>
        </w:tc>
        <w:tc>
          <w:tcPr>
            <w:tcW w:w="1510" w:type="dxa"/>
            <w:hideMark/>
          </w:tcPr>
          <w:p w14:paraId="57EC610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2022</w:t>
            </w:r>
          </w:p>
        </w:tc>
      </w:tr>
      <w:tr w:rsidR="00147AA4" w:rsidRPr="00147AA4" w14:paraId="0D886784" w14:textId="77777777" w:rsidTr="00147AA4">
        <w:trPr>
          <w:trHeight w:val="616"/>
        </w:trPr>
        <w:tc>
          <w:tcPr>
            <w:tcW w:w="1784" w:type="dxa"/>
            <w:hideMark/>
          </w:tcPr>
          <w:p w14:paraId="14F88F2A"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Total Assets (in billions USD)</w:t>
            </w:r>
          </w:p>
        </w:tc>
        <w:tc>
          <w:tcPr>
            <w:tcW w:w="1510" w:type="dxa"/>
            <w:hideMark/>
          </w:tcPr>
          <w:p w14:paraId="1E990D4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3,200</w:t>
            </w:r>
          </w:p>
        </w:tc>
        <w:tc>
          <w:tcPr>
            <w:tcW w:w="1510" w:type="dxa"/>
            <w:hideMark/>
          </w:tcPr>
          <w:p w14:paraId="70A05B6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3,500</w:t>
            </w:r>
          </w:p>
        </w:tc>
        <w:tc>
          <w:tcPr>
            <w:tcW w:w="1510" w:type="dxa"/>
            <w:hideMark/>
          </w:tcPr>
          <w:p w14:paraId="52DE5D3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3,750</w:t>
            </w:r>
          </w:p>
        </w:tc>
        <w:tc>
          <w:tcPr>
            <w:tcW w:w="1510" w:type="dxa"/>
            <w:hideMark/>
          </w:tcPr>
          <w:p w14:paraId="37AC1EF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4,100</w:t>
            </w:r>
          </w:p>
        </w:tc>
        <w:tc>
          <w:tcPr>
            <w:tcW w:w="1510" w:type="dxa"/>
            <w:hideMark/>
          </w:tcPr>
          <w:p w14:paraId="612CC4D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4,300</w:t>
            </w:r>
          </w:p>
        </w:tc>
      </w:tr>
      <w:tr w:rsidR="00147AA4" w:rsidRPr="00147AA4" w14:paraId="1A224150" w14:textId="77777777" w:rsidTr="00147AA4">
        <w:trPr>
          <w:trHeight w:val="925"/>
        </w:trPr>
        <w:tc>
          <w:tcPr>
            <w:tcW w:w="1784" w:type="dxa"/>
            <w:hideMark/>
          </w:tcPr>
          <w:p w14:paraId="44F7ECA6"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Net Interest Income (in billions USD)</w:t>
            </w:r>
          </w:p>
        </w:tc>
        <w:tc>
          <w:tcPr>
            <w:tcW w:w="1510" w:type="dxa"/>
            <w:hideMark/>
          </w:tcPr>
          <w:p w14:paraId="763E70E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140</w:t>
            </w:r>
          </w:p>
        </w:tc>
        <w:tc>
          <w:tcPr>
            <w:tcW w:w="1510" w:type="dxa"/>
            <w:hideMark/>
          </w:tcPr>
          <w:p w14:paraId="547E042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150</w:t>
            </w:r>
          </w:p>
        </w:tc>
        <w:tc>
          <w:tcPr>
            <w:tcW w:w="1510" w:type="dxa"/>
            <w:hideMark/>
          </w:tcPr>
          <w:p w14:paraId="0172AC9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140</w:t>
            </w:r>
          </w:p>
        </w:tc>
        <w:tc>
          <w:tcPr>
            <w:tcW w:w="1510" w:type="dxa"/>
            <w:hideMark/>
          </w:tcPr>
          <w:p w14:paraId="2753842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160</w:t>
            </w:r>
          </w:p>
        </w:tc>
        <w:tc>
          <w:tcPr>
            <w:tcW w:w="1510" w:type="dxa"/>
            <w:hideMark/>
          </w:tcPr>
          <w:p w14:paraId="4A00C213"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165</w:t>
            </w:r>
          </w:p>
        </w:tc>
      </w:tr>
      <w:tr w:rsidR="00147AA4" w:rsidRPr="00147AA4" w14:paraId="56510661" w14:textId="77777777" w:rsidTr="00147AA4">
        <w:trPr>
          <w:trHeight w:val="616"/>
        </w:trPr>
        <w:tc>
          <w:tcPr>
            <w:tcW w:w="1784" w:type="dxa"/>
            <w:hideMark/>
          </w:tcPr>
          <w:p w14:paraId="2F305329"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Total Loans (in billions USD)</w:t>
            </w:r>
          </w:p>
        </w:tc>
        <w:tc>
          <w:tcPr>
            <w:tcW w:w="1510" w:type="dxa"/>
            <w:hideMark/>
          </w:tcPr>
          <w:p w14:paraId="6BF30F1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2,600</w:t>
            </w:r>
          </w:p>
        </w:tc>
        <w:tc>
          <w:tcPr>
            <w:tcW w:w="1510" w:type="dxa"/>
            <w:hideMark/>
          </w:tcPr>
          <w:p w14:paraId="66975606"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2,800</w:t>
            </w:r>
          </w:p>
        </w:tc>
        <w:tc>
          <w:tcPr>
            <w:tcW w:w="1510" w:type="dxa"/>
            <w:hideMark/>
          </w:tcPr>
          <w:p w14:paraId="56CC0E8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3,000</w:t>
            </w:r>
          </w:p>
        </w:tc>
        <w:tc>
          <w:tcPr>
            <w:tcW w:w="1510" w:type="dxa"/>
            <w:hideMark/>
          </w:tcPr>
          <w:p w14:paraId="6D553B0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3,200</w:t>
            </w:r>
          </w:p>
        </w:tc>
        <w:tc>
          <w:tcPr>
            <w:tcW w:w="1510" w:type="dxa"/>
            <w:hideMark/>
          </w:tcPr>
          <w:p w14:paraId="79C6AFB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3,400</w:t>
            </w:r>
          </w:p>
        </w:tc>
      </w:tr>
      <w:tr w:rsidR="00147AA4" w:rsidRPr="00147AA4" w14:paraId="74AA2450" w14:textId="77777777" w:rsidTr="00147AA4">
        <w:trPr>
          <w:trHeight w:val="616"/>
        </w:trPr>
        <w:tc>
          <w:tcPr>
            <w:tcW w:w="1784" w:type="dxa"/>
            <w:hideMark/>
          </w:tcPr>
          <w:p w14:paraId="7D6EA8E7"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Non-Performing Loans Ratio (%)</w:t>
            </w:r>
          </w:p>
        </w:tc>
        <w:tc>
          <w:tcPr>
            <w:tcW w:w="1510" w:type="dxa"/>
            <w:hideMark/>
          </w:tcPr>
          <w:p w14:paraId="195294D1"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1.7</w:t>
            </w:r>
          </w:p>
        </w:tc>
        <w:tc>
          <w:tcPr>
            <w:tcW w:w="1510" w:type="dxa"/>
            <w:hideMark/>
          </w:tcPr>
          <w:p w14:paraId="1023C2D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1.5</w:t>
            </w:r>
          </w:p>
        </w:tc>
        <w:tc>
          <w:tcPr>
            <w:tcW w:w="1510" w:type="dxa"/>
            <w:hideMark/>
          </w:tcPr>
          <w:p w14:paraId="46F5517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1.3</w:t>
            </w:r>
          </w:p>
        </w:tc>
        <w:tc>
          <w:tcPr>
            <w:tcW w:w="1510" w:type="dxa"/>
            <w:hideMark/>
          </w:tcPr>
          <w:p w14:paraId="4C43535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1.2</w:t>
            </w:r>
          </w:p>
        </w:tc>
        <w:tc>
          <w:tcPr>
            <w:tcW w:w="1510" w:type="dxa"/>
            <w:hideMark/>
          </w:tcPr>
          <w:p w14:paraId="4DE210C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w:t>
            </w:r>
          </w:p>
        </w:tc>
      </w:tr>
      <w:tr w:rsidR="00147AA4" w:rsidRPr="00147AA4" w14:paraId="7843B621" w14:textId="77777777" w:rsidTr="00147AA4">
        <w:trPr>
          <w:trHeight w:val="770"/>
        </w:trPr>
        <w:tc>
          <w:tcPr>
            <w:tcW w:w="1784" w:type="dxa"/>
            <w:hideMark/>
          </w:tcPr>
          <w:p w14:paraId="3E400D98"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Operating Expenses (in billions USD)</w:t>
            </w:r>
          </w:p>
        </w:tc>
        <w:tc>
          <w:tcPr>
            <w:tcW w:w="1510" w:type="dxa"/>
            <w:hideMark/>
          </w:tcPr>
          <w:p w14:paraId="3A5655D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75</w:t>
            </w:r>
          </w:p>
        </w:tc>
        <w:tc>
          <w:tcPr>
            <w:tcW w:w="1510" w:type="dxa"/>
            <w:hideMark/>
          </w:tcPr>
          <w:p w14:paraId="1D28CA5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80</w:t>
            </w:r>
          </w:p>
        </w:tc>
        <w:tc>
          <w:tcPr>
            <w:tcW w:w="1510" w:type="dxa"/>
            <w:hideMark/>
          </w:tcPr>
          <w:p w14:paraId="40E82BC6"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85</w:t>
            </w:r>
          </w:p>
        </w:tc>
        <w:tc>
          <w:tcPr>
            <w:tcW w:w="1510" w:type="dxa"/>
            <w:hideMark/>
          </w:tcPr>
          <w:p w14:paraId="25E42A8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90</w:t>
            </w:r>
          </w:p>
        </w:tc>
        <w:tc>
          <w:tcPr>
            <w:tcW w:w="1510" w:type="dxa"/>
            <w:hideMark/>
          </w:tcPr>
          <w:p w14:paraId="3D40C14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95</w:t>
            </w:r>
          </w:p>
        </w:tc>
      </w:tr>
      <w:tr w:rsidR="00147AA4" w:rsidRPr="00147AA4" w14:paraId="3B130462" w14:textId="77777777" w:rsidTr="00147AA4">
        <w:trPr>
          <w:trHeight w:val="770"/>
        </w:trPr>
        <w:tc>
          <w:tcPr>
            <w:tcW w:w="1784" w:type="dxa"/>
            <w:hideMark/>
          </w:tcPr>
          <w:p w14:paraId="58AEFB0F"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Net Income (in billions USD)</w:t>
            </w:r>
          </w:p>
        </w:tc>
        <w:tc>
          <w:tcPr>
            <w:tcW w:w="1510" w:type="dxa"/>
            <w:hideMark/>
          </w:tcPr>
          <w:p w14:paraId="4BE25E0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w:t>
            </w:r>
          </w:p>
        </w:tc>
        <w:tc>
          <w:tcPr>
            <w:tcW w:w="1510" w:type="dxa"/>
            <w:hideMark/>
          </w:tcPr>
          <w:p w14:paraId="463DAB0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25</w:t>
            </w:r>
          </w:p>
        </w:tc>
        <w:tc>
          <w:tcPr>
            <w:tcW w:w="1510" w:type="dxa"/>
            <w:hideMark/>
          </w:tcPr>
          <w:p w14:paraId="46D7E54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w:t>
            </w:r>
          </w:p>
        </w:tc>
        <w:tc>
          <w:tcPr>
            <w:tcW w:w="1510" w:type="dxa"/>
            <w:hideMark/>
          </w:tcPr>
          <w:p w14:paraId="63834FD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28</w:t>
            </w:r>
          </w:p>
        </w:tc>
        <w:tc>
          <w:tcPr>
            <w:tcW w:w="1510" w:type="dxa"/>
            <w:hideMark/>
          </w:tcPr>
          <w:p w14:paraId="3F9B121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30</w:t>
            </w:r>
          </w:p>
        </w:tc>
      </w:tr>
      <w:tr w:rsidR="00147AA4" w:rsidRPr="00147AA4" w14:paraId="53BFCB95" w14:textId="77777777" w:rsidTr="00147AA4">
        <w:trPr>
          <w:trHeight w:val="462"/>
        </w:trPr>
        <w:tc>
          <w:tcPr>
            <w:tcW w:w="1784" w:type="dxa"/>
            <w:hideMark/>
          </w:tcPr>
          <w:p w14:paraId="639BE443"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Return on Assets (ROA) (%)</w:t>
            </w:r>
          </w:p>
        </w:tc>
        <w:tc>
          <w:tcPr>
            <w:tcW w:w="1510" w:type="dxa"/>
            <w:hideMark/>
          </w:tcPr>
          <w:p w14:paraId="6E90D52C"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0.69</w:t>
            </w:r>
          </w:p>
        </w:tc>
        <w:tc>
          <w:tcPr>
            <w:tcW w:w="1510" w:type="dxa"/>
            <w:hideMark/>
          </w:tcPr>
          <w:p w14:paraId="454EFC5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0.71</w:t>
            </w:r>
          </w:p>
        </w:tc>
        <w:tc>
          <w:tcPr>
            <w:tcW w:w="1510" w:type="dxa"/>
            <w:hideMark/>
          </w:tcPr>
          <w:p w14:paraId="023332C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0.59</w:t>
            </w:r>
          </w:p>
        </w:tc>
        <w:tc>
          <w:tcPr>
            <w:tcW w:w="1510" w:type="dxa"/>
            <w:hideMark/>
          </w:tcPr>
          <w:p w14:paraId="012EE2D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0.68</w:t>
            </w:r>
          </w:p>
        </w:tc>
        <w:tc>
          <w:tcPr>
            <w:tcW w:w="1510" w:type="dxa"/>
            <w:hideMark/>
          </w:tcPr>
          <w:p w14:paraId="7EC12BF1"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0.7</w:t>
            </w:r>
          </w:p>
        </w:tc>
      </w:tr>
      <w:tr w:rsidR="00147AA4" w:rsidRPr="00147AA4" w14:paraId="179B0E92" w14:textId="77777777" w:rsidTr="00147AA4">
        <w:trPr>
          <w:trHeight w:val="462"/>
        </w:trPr>
        <w:tc>
          <w:tcPr>
            <w:tcW w:w="1784" w:type="dxa"/>
            <w:hideMark/>
          </w:tcPr>
          <w:p w14:paraId="7FF1F6B4"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Return on Equity (ROE) (%)</w:t>
            </w:r>
          </w:p>
        </w:tc>
        <w:tc>
          <w:tcPr>
            <w:tcW w:w="1510" w:type="dxa"/>
            <w:hideMark/>
          </w:tcPr>
          <w:p w14:paraId="009266F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10.2</w:t>
            </w:r>
          </w:p>
        </w:tc>
        <w:tc>
          <w:tcPr>
            <w:tcW w:w="1510" w:type="dxa"/>
            <w:hideMark/>
          </w:tcPr>
          <w:p w14:paraId="0B84796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10.5</w:t>
            </w:r>
          </w:p>
        </w:tc>
        <w:tc>
          <w:tcPr>
            <w:tcW w:w="1510" w:type="dxa"/>
            <w:hideMark/>
          </w:tcPr>
          <w:p w14:paraId="743156C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9.8</w:t>
            </w:r>
          </w:p>
        </w:tc>
        <w:tc>
          <w:tcPr>
            <w:tcW w:w="1510" w:type="dxa"/>
            <w:hideMark/>
          </w:tcPr>
          <w:p w14:paraId="23DBF6A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11.2</w:t>
            </w:r>
          </w:p>
        </w:tc>
        <w:tc>
          <w:tcPr>
            <w:tcW w:w="1510" w:type="dxa"/>
            <w:hideMark/>
          </w:tcPr>
          <w:p w14:paraId="4891ACB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11.5</w:t>
            </w:r>
          </w:p>
        </w:tc>
      </w:tr>
      <w:tr w:rsidR="00147AA4" w:rsidRPr="00147AA4" w14:paraId="3DC8F19C" w14:textId="77777777" w:rsidTr="00147AA4">
        <w:trPr>
          <w:trHeight w:val="462"/>
        </w:trPr>
        <w:tc>
          <w:tcPr>
            <w:tcW w:w="1784" w:type="dxa"/>
            <w:hideMark/>
          </w:tcPr>
          <w:p w14:paraId="328AABB7"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Number of Branches</w:t>
            </w:r>
          </w:p>
        </w:tc>
        <w:tc>
          <w:tcPr>
            <w:tcW w:w="1510" w:type="dxa"/>
            <w:hideMark/>
          </w:tcPr>
          <w:p w14:paraId="0CEA598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4,800</w:t>
            </w:r>
          </w:p>
        </w:tc>
        <w:tc>
          <w:tcPr>
            <w:tcW w:w="1510" w:type="dxa"/>
            <w:hideMark/>
          </w:tcPr>
          <w:p w14:paraId="157A80C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5,000</w:t>
            </w:r>
          </w:p>
        </w:tc>
        <w:tc>
          <w:tcPr>
            <w:tcW w:w="1510" w:type="dxa"/>
            <w:hideMark/>
          </w:tcPr>
          <w:p w14:paraId="17AAB36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5,200</w:t>
            </w:r>
          </w:p>
        </w:tc>
        <w:tc>
          <w:tcPr>
            <w:tcW w:w="1510" w:type="dxa"/>
            <w:hideMark/>
          </w:tcPr>
          <w:p w14:paraId="0AB2165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5,300</w:t>
            </w:r>
          </w:p>
        </w:tc>
        <w:tc>
          <w:tcPr>
            <w:tcW w:w="1510" w:type="dxa"/>
            <w:hideMark/>
          </w:tcPr>
          <w:p w14:paraId="6D10EFB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5,400</w:t>
            </w:r>
          </w:p>
        </w:tc>
      </w:tr>
      <w:tr w:rsidR="00147AA4" w:rsidRPr="00147AA4" w14:paraId="303C0135" w14:textId="77777777" w:rsidTr="00147AA4">
        <w:trPr>
          <w:trHeight w:val="616"/>
        </w:trPr>
        <w:tc>
          <w:tcPr>
            <w:tcW w:w="1784" w:type="dxa"/>
            <w:hideMark/>
          </w:tcPr>
          <w:p w14:paraId="60E9B514"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Number of Employees</w:t>
            </w:r>
          </w:p>
        </w:tc>
        <w:tc>
          <w:tcPr>
            <w:tcW w:w="1510" w:type="dxa"/>
            <w:hideMark/>
          </w:tcPr>
          <w:p w14:paraId="00D49E1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1,95,000</w:t>
            </w:r>
          </w:p>
        </w:tc>
        <w:tc>
          <w:tcPr>
            <w:tcW w:w="1510" w:type="dxa"/>
            <w:hideMark/>
          </w:tcPr>
          <w:p w14:paraId="77C128A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2,00,000</w:t>
            </w:r>
          </w:p>
        </w:tc>
        <w:tc>
          <w:tcPr>
            <w:tcW w:w="1510" w:type="dxa"/>
            <w:hideMark/>
          </w:tcPr>
          <w:p w14:paraId="4840674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2,10,000</w:t>
            </w:r>
          </w:p>
        </w:tc>
        <w:tc>
          <w:tcPr>
            <w:tcW w:w="1510" w:type="dxa"/>
            <w:hideMark/>
          </w:tcPr>
          <w:p w14:paraId="69C6FC6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2,15,000</w:t>
            </w:r>
          </w:p>
        </w:tc>
        <w:tc>
          <w:tcPr>
            <w:tcW w:w="1510" w:type="dxa"/>
            <w:hideMark/>
          </w:tcPr>
          <w:p w14:paraId="11CE3E6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2,20,000</w:t>
            </w:r>
          </w:p>
        </w:tc>
      </w:tr>
    </w:tbl>
    <w:p w14:paraId="2DDB45DA" w14:textId="77777777" w:rsidR="00147AA4" w:rsidRPr="00147AA4" w:rsidRDefault="00147AA4" w:rsidP="00147AA4">
      <w:pPr>
        <w:rPr>
          <w:lang w:eastAsia="en-IN"/>
        </w:rPr>
      </w:pPr>
    </w:p>
    <w:p w14:paraId="77D198F0" w14:textId="77777777" w:rsidR="00147AA4" w:rsidRPr="00147AA4" w:rsidRDefault="00147AA4" w:rsidP="00147AA4">
      <w:pPr>
        <w:rPr>
          <w:sz w:val="24"/>
          <w:szCs w:val="24"/>
          <w:lang w:eastAsia="en-IN"/>
        </w:rPr>
      </w:pPr>
      <w:r w:rsidRPr="00147AA4">
        <w:rPr>
          <w:b/>
          <w:bCs/>
          <w:sz w:val="24"/>
          <w:szCs w:val="24"/>
          <w:lang w:eastAsia="en-IN"/>
        </w:rPr>
        <w:t>Commercial Banking Data Table Interpretation (2018-2022)</w:t>
      </w:r>
    </w:p>
    <w:p w14:paraId="3EE532B0" w14:textId="77777777" w:rsidR="00147AA4" w:rsidRPr="00147AA4" w:rsidRDefault="00147AA4" w:rsidP="00147AA4">
      <w:pPr>
        <w:rPr>
          <w:sz w:val="24"/>
          <w:szCs w:val="24"/>
          <w:lang w:eastAsia="en-IN"/>
        </w:rPr>
      </w:pPr>
      <w:r w:rsidRPr="00147AA4">
        <w:rPr>
          <w:b/>
          <w:bCs/>
          <w:sz w:val="24"/>
          <w:szCs w:val="24"/>
          <w:lang w:eastAsia="en-IN"/>
        </w:rPr>
        <w:t>Financial Metrics:</w:t>
      </w:r>
    </w:p>
    <w:p w14:paraId="79D65B62"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Total Assets</w:t>
      </w:r>
      <w:r w:rsidRPr="00147AA4">
        <w:rPr>
          <w:sz w:val="24"/>
          <w:szCs w:val="24"/>
          <w:lang w:eastAsia="en-IN"/>
        </w:rPr>
        <w:t>: Increased steadily from 3,200 billion USD in 2018 to 4,300 billion USD in 2022, indicating growth in the bank's asset base.</w:t>
      </w:r>
    </w:p>
    <w:p w14:paraId="2F7CA973"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Net Interest Income</w:t>
      </w:r>
      <w:r w:rsidRPr="00147AA4">
        <w:rPr>
          <w:sz w:val="24"/>
          <w:szCs w:val="24"/>
          <w:lang w:eastAsia="en-IN"/>
        </w:rPr>
        <w:t>: Rose from 140 billion USD in 2018 to 165 billion USD in 2022, showing increased earnings from loans and investments.</w:t>
      </w:r>
    </w:p>
    <w:p w14:paraId="5C7D7B84"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Total Loans</w:t>
      </w:r>
      <w:r w:rsidRPr="00147AA4">
        <w:rPr>
          <w:sz w:val="24"/>
          <w:szCs w:val="24"/>
          <w:lang w:eastAsia="en-IN"/>
        </w:rPr>
        <w:t>: Grew from 2,600 billion USD in 2018 to 3,400 billion USD in 2022, reflecting expansion in lending activities.</w:t>
      </w:r>
    </w:p>
    <w:p w14:paraId="54F84F84"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Non-Performing Loans Ratio</w:t>
      </w:r>
      <w:r w:rsidRPr="00147AA4">
        <w:rPr>
          <w:sz w:val="24"/>
          <w:szCs w:val="24"/>
          <w:lang w:eastAsia="en-IN"/>
        </w:rPr>
        <w:t>: Decreased from 1.7% in 2018 to 1.1% in 2022, indicating improved loan quality.</w:t>
      </w:r>
    </w:p>
    <w:p w14:paraId="550F6F9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Operating Expenses</w:t>
      </w:r>
      <w:r w:rsidRPr="00147AA4">
        <w:rPr>
          <w:sz w:val="24"/>
          <w:szCs w:val="24"/>
          <w:lang w:eastAsia="en-IN"/>
        </w:rPr>
        <w:t>: Increased from 75 billion USD in 2018 to 95 billion USD in 2022, likely due to expanded operations.</w:t>
      </w:r>
    </w:p>
    <w:p w14:paraId="4C39D31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Net Income</w:t>
      </w:r>
      <w:r w:rsidRPr="00147AA4">
        <w:rPr>
          <w:sz w:val="24"/>
          <w:szCs w:val="24"/>
          <w:lang w:eastAsia="en-IN"/>
        </w:rPr>
        <w:t>: Grew from 22 billion USD in 2018 to 30 billion USD in 2022, showing improved profitability.</w:t>
      </w:r>
    </w:p>
    <w:p w14:paraId="6165141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lastRenderedPageBreak/>
        <w:t>Return on Assets (ROA)</w:t>
      </w:r>
      <w:r w:rsidRPr="00147AA4">
        <w:rPr>
          <w:sz w:val="24"/>
          <w:szCs w:val="24"/>
          <w:lang w:eastAsia="en-IN"/>
        </w:rPr>
        <w:t>: Showed stability, ranging from 0.69% to 0.7% over the period.</w:t>
      </w:r>
    </w:p>
    <w:p w14:paraId="7DC1A427"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Return on Equity (ROE)</w:t>
      </w:r>
      <w:r w:rsidRPr="00147AA4">
        <w:rPr>
          <w:sz w:val="24"/>
          <w:szCs w:val="24"/>
          <w:lang w:eastAsia="en-IN"/>
        </w:rPr>
        <w:t>: Increased from 10.2% in 2018 to 11.5% in 2022, indicating better profitability relative to shareholder equity.</w:t>
      </w:r>
    </w:p>
    <w:p w14:paraId="08C36388" w14:textId="77777777" w:rsidR="00147AA4" w:rsidRPr="00147AA4" w:rsidRDefault="00147AA4" w:rsidP="00147AA4">
      <w:pPr>
        <w:rPr>
          <w:sz w:val="24"/>
          <w:szCs w:val="24"/>
          <w:lang w:eastAsia="en-IN"/>
        </w:rPr>
      </w:pPr>
      <w:r w:rsidRPr="00147AA4">
        <w:rPr>
          <w:b/>
          <w:bCs/>
          <w:sz w:val="24"/>
          <w:szCs w:val="24"/>
          <w:lang w:eastAsia="en-IN"/>
        </w:rPr>
        <w:t>Operational Indicators:</w:t>
      </w:r>
    </w:p>
    <w:p w14:paraId="4ACE1985" w14:textId="77777777" w:rsidR="00147AA4" w:rsidRPr="00147AA4" w:rsidRDefault="00147AA4" w:rsidP="00147AA4">
      <w:pPr>
        <w:pStyle w:val="ListParagraph"/>
        <w:numPr>
          <w:ilvl w:val="0"/>
          <w:numId w:val="28"/>
        </w:numPr>
        <w:rPr>
          <w:sz w:val="24"/>
          <w:szCs w:val="24"/>
          <w:lang w:eastAsia="en-IN"/>
        </w:rPr>
      </w:pPr>
      <w:r w:rsidRPr="00147AA4">
        <w:rPr>
          <w:b/>
          <w:bCs/>
          <w:sz w:val="24"/>
          <w:szCs w:val="24"/>
          <w:lang w:eastAsia="en-IN"/>
        </w:rPr>
        <w:t>Number of Branches</w:t>
      </w:r>
      <w:r w:rsidRPr="00147AA4">
        <w:rPr>
          <w:sz w:val="24"/>
          <w:szCs w:val="24"/>
          <w:lang w:eastAsia="en-IN"/>
        </w:rPr>
        <w:t>: Expanded from 4,800 in 2018 to 5,400 in 2022, reflecting geographic expansion.</w:t>
      </w:r>
    </w:p>
    <w:p w14:paraId="5FB5D73C" w14:textId="77777777" w:rsidR="00147AA4" w:rsidRPr="00147AA4" w:rsidRDefault="00147AA4" w:rsidP="00147AA4">
      <w:pPr>
        <w:pStyle w:val="ListParagraph"/>
        <w:numPr>
          <w:ilvl w:val="0"/>
          <w:numId w:val="28"/>
        </w:numPr>
        <w:rPr>
          <w:sz w:val="24"/>
          <w:szCs w:val="24"/>
          <w:lang w:eastAsia="en-IN"/>
        </w:rPr>
      </w:pPr>
      <w:r w:rsidRPr="00147AA4">
        <w:rPr>
          <w:b/>
          <w:bCs/>
          <w:sz w:val="24"/>
          <w:szCs w:val="24"/>
          <w:lang w:eastAsia="en-IN"/>
        </w:rPr>
        <w:t>Number of Employees</w:t>
      </w:r>
      <w:r w:rsidRPr="00147AA4">
        <w:rPr>
          <w:sz w:val="24"/>
          <w:szCs w:val="24"/>
          <w:lang w:eastAsia="en-IN"/>
        </w:rPr>
        <w:t>: Increased from 195,000 in 2018 to 220,000 in 2022, supporting growing operations.</w:t>
      </w:r>
    </w:p>
    <w:p w14:paraId="5E0F036B" w14:textId="77777777" w:rsidR="00147AA4" w:rsidRDefault="00147AA4" w:rsidP="00147AA4">
      <w:pPr>
        <w:rPr>
          <w:sz w:val="24"/>
          <w:szCs w:val="24"/>
          <w:lang w:eastAsia="en-IN"/>
        </w:rPr>
      </w:pPr>
      <w:r w:rsidRPr="00147AA4">
        <w:rPr>
          <w:sz w:val="24"/>
          <w:szCs w:val="24"/>
          <w:lang w:eastAsia="en-IN"/>
        </w:rPr>
        <w:t>These metrics illustrate the commercial bank's financial performance, operational growth, and efficiency improvements over the five-year period.</w:t>
      </w:r>
    </w:p>
    <w:p w14:paraId="29E05208" w14:textId="4F130ED7" w:rsidR="00147AA4" w:rsidRPr="00147AA4" w:rsidRDefault="00147AA4" w:rsidP="00147AA4">
      <w:pPr>
        <w:pStyle w:val="Heading2"/>
        <w:rPr>
          <w:rFonts w:eastAsia="Times New Roman"/>
          <w:lang w:eastAsia="en-IN"/>
        </w:rPr>
      </w:pPr>
      <w:r>
        <w:rPr>
          <w:rFonts w:eastAsia="Times New Roman"/>
          <w:lang w:eastAsia="en-IN"/>
        </w:rPr>
        <w:t xml:space="preserve">2. </w:t>
      </w:r>
      <w:r w:rsidRPr="00147AA4">
        <w:rPr>
          <w:rFonts w:eastAsia="Times New Roman"/>
          <w:lang w:eastAsia="en-IN"/>
        </w:rPr>
        <w:t>Investment Banking Data Table</w:t>
      </w:r>
    </w:p>
    <w:tbl>
      <w:tblPr>
        <w:tblStyle w:val="TableGrid"/>
        <w:tblW w:w="9111" w:type="dxa"/>
        <w:tblLook w:val="04A0" w:firstRow="1" w:lastRow="0" w:firstColumn="1" w:lastColumn="0" w:noHBand="0" w:noVBand="1"/>
      </w:tblPr>
      <w:tblGrid>
        <w:gridCol w:w="2156"/>
        <w:gridCol w:w="1389"/>
        <w:gridCol w:w="1390"/>
        <w:gridCol w:w="1392"/>
        <w:gridCol w:w="1392"/>
        <w:gridCol w:w="1392"/>
      </w:tblGrid>
      <w:tr w:rsidR="006768B6" w:rsidRPr="006768B6" w14:paraId="5445FC9A" w14:textId="77777777" w:rsidTr="006768B6">
        <w:trPr>
          <w:trHeight w:val="154"/>
        </w:trPr>
        <w:tc>
          <w:tcPr>
            <w:tcW w:w="2156" w:type="dxa"/>
            <w:hideMark/>
          </w:tcPr>
          <w:p w14:paraId="5442EB25"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Metric</w:t>
            </w:r>
          </w:p>
        </w:tc>
        <w:tc>
          <w:tcPr>
            <w:tcW w:w="1389" w:type="dxa"/>
            <w:hideMark/>
          </w:tcPr>
          <w:p w14:paraId="2643D2BE"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2018</w:t>
            </w:r>
          </w:p>
        </w:tc>
        <w:tc>
          <w:tcPr>
            <w:tcW w:w="1390" w:type="dxa"/>
            <w:hideMark/>
          </w:tcPr>
          <w:p w14:paraId="12F896DF"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2019</w:t>
            </w:r>
          </w:p>
        </w:tc>
        <w:tc>
          <w:tcPr>
            <w:tcW w:w="1392" w:type="dxa"/>
            <w:hideMark/>
          </w:tcPr>
          <w:p w14:paraId="65C0A64D"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2020</w:t>
            </w:r>
          </w:p>
        </w:tc>
        <w:tc>
          <w:tcPr>
            <w:tcW w:w="1392" w:type="dxa"/>
            <w:hideMark/>
          </w:tcPr>
          <w:p w14:paraId="2AB8C824"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2021</w:t>
            </w:r>
          </w:p>
        </w:tc>
        <w:tc>
          <w:tcPr>
            <w:tcW w:w="1392" w:type="dxa"/>
            <w:hideMark/>
          </w:tcPr>
          <w:p w14:paraId="0DE2E3B3"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2022</w:t>
            </w:r>
          </w:p>
        </w:tc>
      </w:tr>
      <w:tr w:rsidR="006768B6" w:rsidRPr="006768B6" w14:paraId="2FF316F4" w14:textId="77777777" w:rsidTr="006768B6">
        <w:trPr>
          <w:trHeight w:val="777"/>
        </w:trPr>
        <w:tc>
          <w:tcPr>
            <w:tcW w:w="2156" w:type="dxa"/>
            <w:hideMark/>
          </w:tcPr>
          <w:p w14:paraId="1BF89117"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Total Revenue (in billions USD)</w:t>
            </w:r>
          </w:p>
        </w:tc>
        <w:tc>
          <w:tcPr>
            <w:tcW w:w="1389" w:type="dxa"/>
            <w:hideMark/>
          </w:tcPr>
          <w:p w14:paraId="29E2DD7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48</w:t>
            </w:r>
          </w:p>
        </w:tc>
        <w:tc>
          <w:tcPr>
            <w:tcW w:w="1390" w:type="dxa"/>
            <w:hideMark/>
          </w:tcPr>
          <w:p w14:paraId="7F5734A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50</w:t>
            </w:r>
          </w:p>
        </w:tc>
        <w:tc>
          <w:tcPr>
            <w:tcW w:w="1392" w:type="dxa"/>
            <w:hideMark/>
          </w:tcPr>
          <w:p w14:paraId="4F8D1396"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2" w:type="dxa"/>
            <w:hideMark/>
          </w:tcPr>
          <w:p w14:paraId="72353EA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55</w:t>
            </w:r>
          </w:p>
        </w:tc>
        <w:tc>
          <w:tcPr>
            <w:tcW w:w="1392" w:type="dxa"/>
            <w:hideMark/>
          </w:tcPr>
          <w:p w14:paraId="7FB077D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60</w:t>
            </w:r>
          </w:p>
        </w:tc>
      </w:tr>
      <w:tr w:rsidR="006768B6" w:rsidRPr="006768B6" w14:paraId="41B90440" w14:textId="77777777" w:rsidTr="006768B6">
        <w:trPr>
          <w:trHeight w:val="621"/>
        </w:trPr>
        <w:tc>
          <w:tcPr>
            <w:tcW w:w="2156" w:type="dxa"/>
            <w:hideMark/>
          </w:tcPr>
          <w:p w14:paraId="1BC45500"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Advisory Fees (in billions USD)</w:t>
            </w:r>
          </w:p>
        </w:tc>
        <w:tc>
          <w:tcPr>
            <w:tcW w:w="1389" w:type="dxa"/>
            <w:hideMark/>
          </w:tcPr>
          <w:p w14:paraId="55FDA9F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0" w:type="dxa"/>
            <w:hideMark/>
          </w:tcPr>
          <w:p w14:paraId="7F6ED8D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w:t>
            </w:r>
          </w:p>
        </w:tc>
        <w:tc>
          <w:tcPr>
            <w:tcW w:w="1392" w:type="dxa"/>
            <w:hideMark/>
          </w:tcPr>
          <w:p w14:paraId="5A82E94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2" w:type="dxa"/>
            <w:hideMark/>
          </w:tcPr>
          <w:p w14:paraId="6B3C5C2D"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w:t>
            </w:r>
          </w:p>
        </w:tc>
        <w:tc>
          <w:tcPr>
            <w:tcW w:w="1392" w:type="dxa"/>
            <w:hideMark/>
          </w:tcPr>
          <w:p w14:paraId="05A90F3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25</w:t>
            </w:r>
          </w:p>
        </w:tc>
      </w:tr>
      <w:tr w:rsidR="006768B6" w:rsidRPr="006768B6" w14:paraId="7AF35C4F" w14:textId="77777777" w:rsidTr="006768B6">
        <w:trPr>
          <w:trHeight w:val="777"/>
        </w:trPr>
        <w:tc>
          <w:tcPr>
            <w:tcW w:w="2156" w:type="dxa"/>
            <w:hideMark/>
          </w:tcPr>
          <w:p w14:paraId="71E4D43A"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Underwriting Fees (in billions USD)</w:t>
            </w:r>
          </w:p>
        </w:tc>
        <w:tc>
          <w:tcPr>
            <w:tcW w:w="1389" w:type="dxa"/>
            <w:hideMark/>
          </w:tcPr>
          <w:p w14:paraId="72AEB21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16</w:t>
            </w:r>
          </w:p>
        </w:tc>
        <w:tc>
          <w:tcPr>
            <w:tcW w:w="1390" w:type="dxa"/>
            <w:hideMark/>
          </w:tcPr>
          <w:p w14:paraId="32F4559C"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2" w:type="dxa"/>
            <w:hideMark/>
          </w:tcPr>
          <w:p w14:paraId="62850F5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c>
          <w:tcPr>
            <w:tcW w:w="1392" w:type="dxa"/>
            <w:hideMark/>
          </w:tcPr>
          <w:p w14:paraId="25AB973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w:t>
            </w:r>
          </w:p>
        </w:tc>
        <w:tc>
          <w:tcPr>
            <w:tcW w:w="1392" w:type="dxa"/>
            <w:hideMark/>
          </w:tcPr>
          <w:p w14:paraId="42D4DB7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w:t>
            </w:r>
          </w:p>
        </w:tc>
      </w:tr>
      <w:tr w:rsidR="006768B6" w:rsidRPr="006768B6" w14:paraId="1308DC7B" w14:textId="77777777" w:rsidTr="006768B6">
        <w:trPr>
          <w:trHeight w:val="777"/>
        </w:trPr>
        <w:tc>
          <w:tcPr>
            <w:tcW w:w="2156" w:type="dxa"/>
            <w:hideMark/>
          </w:tcPr>
          <w:p w14:paraId="65292FDE"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Trading Revenue (in billions USD)</w:t>
            </w:r>
          </w:p>
        </w:tc>
        <w:tc>
          <w:tcPr>
            <w:tcW w:w="1389" w:type="dxa"/>
            <w:hideMark/>
          </w:tcPr>
          <w:p w14:paraId="781E4A8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14</w:t>
            </w:r>
          </w:p>
        </w:tc>
        <w:tc>
          <w:tcPr>
            <w:tcW w:w="1390" w:type="dxa"/>
            <w:hideMark/>
          </w:tcPr>
          <w:p w14:paraId="3D1D6EE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12</w:t>
            </w:r>
          </w:p>
        </w:tc>
        <w:tc>
          <w:tcPr>
            <w:tcW w:w="1392" w:type="dxa"/>
            <w:hideMark/>
          </w:tcPr>
          <w:p w14:paraId="2D33D8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10</w:t>
            </w:r>
          </w:p>
        </w:tc>
        <w:tc>
          <w:tcPr>
            <w:tcW w:w="1392" w:type="dxa"/>
            <w:hideMark/>
          </w:tcPr>
          <w:p w14:paraId="39057EC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13</w:t>
            </w:r>
          </w:p>
        </w:tc>
        <w:tc>
          <w:tcPr>
            <w:tcW w:w="1392" w:type="dxa"/>
            <w:hideMark/>
          </w:tcPr>
          <w:p w14:paraId="22DCFDF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r>
      <w:tr w:rsidR="006768B6" w:rsidRPr="006768B6" w14:paraId="7CF6E12B" w14:textId="77777777" w:rsidTr="006768B6">
        <w:trPr>
          <w:trHeight w:val="933"/>
        </w:trPr>
        <w:tc>
          <w:tcPr>
            <w:tcW w:w="2156" w:type="dxa"/>
            <w:hideMark/>
          </w:tcPr>
          <w:p w14:paraId="55FF210A"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Assets under Management (in trillions USD)</w:t>
            </w:r>
          </w:p>
        </w:tc>
        <w:tc>
          <w:tcPr>
            <w:tcW w:w="1389" w:type="dxa"/>
            <w:hideMark/>
          </w:tcPr>
          <w:p w14:paraId="37A36BF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1.3</w:t>
            </w:r>
          </w:p>
        </w:tc>
        <w:tc>
          <w:tcPr>
            <w:tcW w:w="1390" w:type="dxa"/>
            <w:hideMark/>
          </w:tcPr>
          <w:p w14:paraId="13722C8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c>
          <w:tcPr>
            <w:tcW w:w="1392" w:type="dxa"/>
            <w:hideMark/>
          </w:tcPr>
          <w:p w14:paraId="1E227D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1.7</w:t>
            </w:r>
          </w:p>
        </w:tc>
        <w:tc>
          <w:tcPr>
            <w:tcW w:w="1392" w:type="dxa"/>
            <w:hideMark/>
          </w:tcPr>
          <w:p w14:paraId="2C355E2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1.9</w:t>
            </w:r>
          </w:p>
        </w:tc>
        <w:tc>
          <w:tcPr>
            <w:tcW w:w="1392" w:type="dxa"/>
            <w:hideMark/>
          </w:tcPr>
          <w:p w14:paraId="166A096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2.1</w:t>
            </w:r>
          </w:p>
        </w:tc>
      </w:tr>
      <w:tr w:rsidR="006768B6" w:rsidRPr="006768B6" w14:paraId="62B2DA74" w14:textId="77777777" w:rsidTr="006768B6">
        <w:trPr>
          <w:trHeight w:val="777"/>
        </w:trPr>
        <w:tc>
          <w:tcPr>
            <w:tcW w:w="2156" w:type="dxa"/>
            <w:hideMark/>
          </w:tcPr>
          <w:p w14:paraId="26293665"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Investment Banking Income Ratio (%)</w:t>
            </w:r>
          </w:p>
        </w:tc>
        <w:tc>
          <w:tcPr>
            <w:tcW w:w="1389" w:type="dxa"/>
            <w:hideMark/>
          </w:tcPr>
          <w:p w14:paraId="1618794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5.4</w:t>
            </w:r>
          </w:p>
        </w:tc>
        <w:tc>
          <w:tcPr>
            <w:tcW w:w="1390" w:type="dxa"/>
            <w:hideMark/>
          </w:tcPr>
          <w:p w14:paraId="43F0DE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5.6</w:t>
            </w:r>
          </w:p>
        </w:tc>
        <w:tc>
          <w:tcPr>
            <w:tcW w:w="1392" w:type="dxa"/>
            <w:hideMark/>
          </w:tcPr>
          <w:p w14:paraId="0A94A23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4.8</w:t>
            </w:r>
          </w:p>
        </w:tc>
        <w:tc>
          <w:tcPr>
            <w:tcW w:w="1392" w:type="dxa"/>
            <w:hideMark/>
          </w:tcPr>
          <w:p w14:paraId="031F663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5.2</w:t>
            </w:r>
          </w:p>
        </w:tc>
        <w:tc>
          <w:tcPr>
            <w:tcW w:w="1392" w:type="dxa"/>
            <w:hideMark/>
          </w:tcPr>
          <w:p w14:paraId="66A1A7E5"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5.8</w:t>
            </w:r>
          </w:p>
        </w:tc>
      </w:tr>
      <w:tr w:rsidR="006768B6" w:rsidRPr="006768B6" w14:paraId="49ABAC31" w14:textId="77777777" w:rsidTr="006768B6">
        <w:trPr>
          <w:trHeight w:val="777"/>
        </w:trPr>
        <w:tc>
          <w:tcPr>
            <w:tcW w:w="2156" w:type="dxa"/>
            <w:hideMark/>
          </w:tcPr>
          <w:p w14:paraId="027371F4"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Average Deal Size (in millions USD)</w:t>
            </w:r>
          </w:p>
        </w:tc>
        <w:tc>
          <w:tcPr>
            <w:tcW w:w="1389" w:type="dxa"/>
            <w:hideMark/>
          </w:tcPr>
          <w:p w14:paraId="21E7610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240</w:t>
            </w:r>
          </w:p>
        </w:tc>
        <w:tc>
          <w:tcPr>
            <w:tcW w:w="1390" w:type="dxa"/>
            <w:hideMark/>
          </w:tcPr>
          <w:p w14:paraId="4481222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250</w:t>
            </w:r>
          </w:p>
        </w:tc>
        <w:tc>
          <w:tcPr>
            <w:tcW w:w="1392" w:type="dxa"/>
            <w:hideMark/>
          </w:tcPr>
          <w:p w14:paraId="29082B4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230</w:t>
            </w:r>
          </w:p>
        </w:tc>
        <w:tc>
          <w:tcPr>
            <w:tcW w:w="1392" w:type="dxa"/>
            <w:hideMark/>
          </w:tcPr>
          <w:p w14:paraId="3970247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270</w:t>
            </w:r>
          </w:p>
        </w:tc>
        <w:tc>
          <w:tcPr>
            <w:tcW w:w="1392" w:type="dxa"/>
            <w:hideMark/>
          </w:tcPr>
          <w:p w14:paraId="1E33F0D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280</w:t>
            </w:r>
          </w:p>
        </w:tc>
      </w:tr>
      <w:tr w:rsidR="006768B6" w:rsidRPr="006768B6" w14:paraId="3E2A1938" w14:textId="77777777" w:rsidTr="006768B6">
        <w:trPr>
          <w:trHeight w:val="310"/>
        </w:trPr>
        <w:tc>
          <w:tcPr>
            <w:tcW w:w="2156" w:type="dxa"/>
            <w:hideMark/>
          </w:tcPr>
          <w:p w14:paraId="59F9BB33"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Number of IPOs</w:t>
            </w:r>
          </w:p>
        </w:tc>
        <w:tc>
          <w:tcPr>
            <w:tcW w:w="1389" w:type="dxa"/>
            <w:hideMark/>
          </w:tcPr>
          <w:p w14:paraId="5C8F86D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0" w:type="dxa"/>
            <w:hideMark/>
          </w:tcPr>
          <w:p w14:paraId="0934D4D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50</w:t>
            </w:r>
          </w:p>
        </w:tc>
        <w:tc>
          <w:tcPr>
            <w:tcW w:w="1392" w:type="dxa"/>
            <w:hideMark/>
          </w:tcPr>
          <w:p w14:paraId="4AD6748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2" w:type="dxa"/>
            <w:hideMark/>
          </w:tcPr>
          <w:p w14:paraId="2040536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55</w:t>
            </w:r>
          </w:p>
        </w:tc>
        <w:tc>
          <w:tcPr>
            <w:tcW w:w="1392" w:type="dxa"/>
            <w:hideMark/>
          </w:tcPr>
          <w:p w14:paraId="5ECB73E6"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60</w:t>
            </w:r>
          </w:p>
        </w:tc>
      </w:tr>
      <w:tr w:rsidR="006768B6" w:rsidRPr="006768B6" w14:paraId="66A49AA0" w14:textId="77777777" w:rsidTr="006768B6">
        <w:trPr>
          <w:trHeight w:val="621"/>
        </w:trPr>
        <w:tc>
          <w:tcPr>
            <w:tcW w:w="2156" w:type="dxa"/>
            <w:hideMark/>
          </w:tcPr>
          <w:p w14:paraId="70164AF0"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Mergers &amp; Acquisitions Deals</w:t>
            </w:r>
          </w:p>
        </w:tc>
        <w:tc>
          <w:tcPr>
            <w:tcW w:w="1389" w:type="dxa"/>
            <w:hideMark/>
          </w:tcPr>
          <w:p w14:paraId="2245D1F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190</w:t>
            </w:r>
          </w:p>
        </w:tc>
        <w:tc>
          <w:tcPr>
            <w:tcW w:w="1390" w:type="dxa"/>
            <w:hideMark/>
          </w:tcPr>
          <w:p w14:paraId="6B950FCD"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200</w:t>
            </w:r>
          </w:p>
        </w:tc>
        <w:tc>
          <w:tcPr>
            <w:tcW w:w="1392" w:type="dxa"/>
            <w:hideMark/>
          </w:tcPr>
          <w:p w14:paraId="508C1D3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180</w:t>
            </w:r>
          </w:p>
        </w:tc>
        <w:tc>
          <w:tcPr>
            <w:tcW w:w="1392" w:type="dxa"/>
            <w:hideMark/>
          </w:tcPr>
          <w:p w14:paraId="2A4996A2"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220</w:t>
            </w:r>
          </w:p>
        </w:tc>
        <w:tc>
          <w:tcPr>
            <w:tcW w:w="1392" w:type="dxa"/>
            <w:hideMark/>
          </w:tcPr>
          <w:p w14:paraId="64247B8C"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230</w:t>
            </w:r>
          </w:p>
        </w:tc>
      </w:tr>
    </w:tbl>
    <w:p w14:paraId="6CB54E13" w14:textId="77777777" w:rsidR="00147AA4" w:rsidRDefault="00147AA4" w:rsidP="00147AA4">
      <w:pPr>
        <w:rPr>
          <w:sz w:val="24"/>
          <w:szCs w:val="24"/>
          <w:lang w:eastAsia="en-IN"/>
        </w:rPr>
      </w:pPr>
    </w:p>
    <w:p w14:paraId="3E0B123B" w14:textId="77777777" w:rsidR="006768B6" w:rsidRPr="006768B6" w:rsidRDefault="006768B6" w:rsidP="006768B6">
      <w:pPr>
        <w:rPr>
          <w:sz w:val="24"/>
          <w:szCs w:val="24"/>
          <w:lang w:eastAsia="en-IN"/>
        </w:rPr>
      </w:pPr>
      <w:r w:rsidRPr="006768B6">
        <w:rPr>
          <w:b/>
          <w:bCs/>
          <w:sz w:val="24"/>
          <w:szCs w:val="24"/>
          <w:lang w:eastAsia="en-IN"/>
        </w:rPr>
        <w:t>Investment Banking Data Table Interpretation (2018-2022)</w:t>
      </w:r>
    </w:p>
    <w:p w14:paraId="49C733DB" w14:textId="77777777" w:rsidR="006768B6" w:rsidRPr="006768B6" w:rsidRDefault="006768B6" w:rsidP="006768B6">
      <w:pPr>
        <w:rPr>
          <w:sz w:val="24"/>
          <w:szCs w:val="24"/>
          <w:lang w:eastAsia="en-IN"/>
        </w:rPr>
      </w:pPr>
      <w:r w:rsidRPr="006768B6">
        <w:rPr>
          <w:b/>
          <w:bCs/>
          <w:sz w:val="24"/>
          <w:szCs w:val="24"/>
          <w:lang w:eastAsia="en-IN"/>
        </w:rPr>
        <w:t>Financial Metrics:</w:t>
      </w:r>
    </w:p>
    <w:p w14:paraId="7A1D2AE7"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Total Revenue</w:t>
      </w:r>
      <w:r w:rsidRPr="006768B6">
        <w:rPr>
          <w:sz w:val="24"/>
          <w:szCs w:val="24"/>
          <w:lang w:eastAsia="en-IN"/>
        </w:rPr>
        <w:t>: Increased from 48 billion USD in 2018 to 60 billion USD in 2022, indicating overall growth in the bank's revenue streams.</w:t>
      </w:r>
    </w:p>
    <w:p w14:paraId="4C03D1A9"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lastRenderedPageBreak/>
        <w:t>Advisory Fees</w:t>
      </w:r>
      <w:r w:rsidRPr="006768B6">
        <w:rPr>
          <w:sz w:val="24"/>
          <w:szCs w:val="24"/>
          <w:lang w:eastAsia="en-IN"/>
        </w:rPr>
        <w:t>: Fluctuated between 18 billion USD and 25 billion USD over the years, reflecting fees earned from providing advisory services for mergers, acquisitions, and other transactions.</w:t>
      </w:r>
    </w:p>
    <w:p w14:paraId="498F100B"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Underwriting Fees</w:t>
      </w:r>
      <w:r w:rsidRPr="006768B6">
        <w:rPr>
          <w:sz w:val="24"/>
          <w:szCs w:val="24"/>
          <w:lang w:eastAsia="en-IN"/>
        </w:rPr>
        <w:t>: Varied from 15 billion USD to 22 billion USD, representing fees earned from underwriting services for issuing securities.</w:t>
      </w:r>
    </w:p>
    <w:p w14:paraId="1067530F"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Trading Revenue</w:t>
      </w:r>
      <w:r w:rsidRPr="006768B6">
        <w:rPr>
          <w:sz w:val="24"/>
          <w:szCs w:val="24"/>
          <w:lang w:eastAsia="en-IN"/>
        </w:rPr>
        <w:t>: Ranged from 10 billion USD to 15 billion USD, showing revenue generated from trading activities in financial markets.</w:t>
      </w:r>
    </w:p>
    <w:p w14:paraId="66EA30DA" w14:textId="77777777" w:rsidR="006768B6" w:rsidRPr="006768B6" w:rsidRDefault="006768B6" w:rsidP="006768B6">
      <w:pPr>
        <w:rPr>
          <w:sz w:val="24"/>
          <w:szCs w:val="24"/>
          <w:lang w:eastAsia="en-IN"/>
        </w:rPr>
      </w:pPr>
      <w:r w:rsidRPr="006768B6">
        <w:rPr>
          <w:b/>
          <w:bCs/>
          <w:sz w:val="24"/>
          <w:szCs w:val="24"/>
          <w:lang w:eastAsia="en-IN"/>
        </w:rPr>
        <w:t>Operational Metrics:</w:t>
      </w:r>
    </w:p>
    <w:p w14:paraId="41610332"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Assets under Management</w:t>
      </w:r>
      <w:r w:rsidRPr="006768B6">
        <w:rPr>
          <w:sz w:val="24"/>
          <w:szCs w:val="24"/>
          <w:lang w:eastAsia="en-IN"/>
        </w:rPr>
        <w:t>: Increased steadily from 1.3 trillion USD in 2018 to 2.1 trillion USD in 2022, indicating growth in assets managed by the investment bank for clients.</w:t>
      </w:r>
    </w:p>
    <w:p w14:paraId="41C47380"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Investment Banking Income Ratio</w:t>
      </w:r>
      <w:r w:rsidRPr="006768B6">
        <w:rPr>
          <w:sz w:val="24"/>
          <w:szCs w:val="24"/>
          <w:lang w:eastAsia="en-IN"/>
        </w:rPr>
        <w:t>: Fluctuated around 5.4% to 5.8%, showing the efficiency of generating income relative to total revenue.</w:t>
      </w:r>
    </w:p>
    <w:p w14:paraId="288FC347"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Average Deal Size</w:t>
      </w:r>
      <w:r w:rsidRPr="006768B6">
        <w:rPr>
          <w:sz w:val="24"/>
          <w:szCs w:val="24"/>
          <w:lang w:eastAsia="en-IN"/>
        </w:rPr>
        <w:t>: Rose from 240 million USD in 2018 to 280 million USD in 2022, indicating larger transaction sizes handled by the bank.</w:t>
      </w:r>
    </w:p>
    <w:p w14:paraId="2E43431A"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Number of IPOs</w:t>
      </w:r>
      <w:r w:rsidRPr="006768B6">
        <w:rPr>
          <w:sz w:val="24"/>
          <w:szCs w:val="24"/>
          <w:lang w:eastAsia="en-IN"/>
        </w:rPr>
        <w:t>: Increased from 45 in 2018 to 60 in 2022, reflecting the bank's involvement in initial public offerings.</w:t>
      </w:r>
    </w:p>
    <w:p w14:paraId="6571FAC9"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Mergers &amp; Acquisitions Deals</w:t>
      </w:r>
      <w:r w:rsidRPr="006768B6">
        <w:rPr>
          <w:sz w:val="24"/>
          <w:szCs w:val="24"/>
          <w:lang w:eastAsia="en-IN"/>
        </w:rPr>
        <w:t>: Grew from 190 deals in 2018 to 230 deals in 2022, indicating increased activity in mergers and acquisitions advised by the bank.</w:t>
      </w:r>
    </w:p>
    <w:p w14:paraId="5FB38D4E" w14:textId="757A3CB2" w:rsidR="00147AA4" w:rsidRPr="006768B6" w:rsidRDefault="006768B6" w:rsidP="00147AA4">
      <w:pPr>
        <w:rPr>
          <w:sz w:val="24"/>
          <w:szCs w:val="24"/>
          <w:lang w:eastAsia="en-IN"/>
        </w:rPr>
      </w:pPr>
      <w:r w:rsidRPr="006768B6">
        <w:rPr>
          <w:sz w:val="24"/>
          <w:szCs w:val="24"/>
          <w:lang w:eastAsia="en-IN"/>
        </w:rPr>
        <w:t>These metrics collectively illustrate the investment bank's financial performance, its role in managing assets and facilitating financial transactions, and its growth in advisory and underwriting services over the five-year period.</w:t>
      </w:r>
    </w:p>
    <w:p w14:paraId="6D57D4EE" w14:textId="41B4C267" w:rsidR="008A21E4" w:rsidRDefault="000B44E7" w:rsidP="000B44E7">
      <w:pPr>
        <w:pStyle w:val="Heading1"/>
        <w:rPr>
          <w:rFonts w:eastAsia="Times New Roman"/>
          <w:lang w:eastAsia="en-IN"/>
        </w:rPr>
      </w:pPr>
      <w:r>
        <w:rPr>
          <w:rFonts w:eastAsia="Times New Roman"/>
          <w:lang w:eastAsia="en-IN"/>
        </w:rPr>
        <w:t>Conclusion:</w:t>
      </w:r>
    </w:p>
    <w:p w14:paraId="1A2E38E2" w14:textId="3B7F5475" w:rsidR="000B44E7" w:rsidRPr="000B44E7" w:rsidRDefault="000B44E7" w:rsidP="000B44E7">
      <w:pPr>
        <w:rPr>
          <w:sz w:val="24"/>
          <w:szCs w:val="24"/>
        </w:rPr>
      </w:pPr>
      <w:r w:rsidRPr="000B44E7">
        <w:rPr>
          <w:sz w:val="24"/>
          <w:szCs w:val="24"/>
        </w:rPr>
        <w:t>In conclusion, the integration of Yahoo Finance plays a pivotal role in enhancing the operational capabilities of both commercial and investment banking sectors. For commercial banks, access to real-time market data, economic indicators, and currency exchange rates on Yahoo Finance facilitates informed decision-making in setting competitive interest rates, managing foreign exchange transactions, and navigating regulatory changes. This integration empowers commercial banks like Bank of America, Wells Fargo, and Citibank to optimize their product offerings and enhance customer service. On the other hand, investment banks such as Goldman Sachs, Morgan Stanley, and JPMorgan utilize Yahoo Finance for precise market analysis, aiding in underwriting IPOs, conducting mergers and acquisitions, and optimizing trading strategies. The depth of financial data and analytical tools offered by Yahoo Finance supports both sectors in navigating complex financial landscapes, thereby fostering growth, risk management, and client satisfaction across their respective markets.</w:t>
      </w:r>
    </w:p>
    <w:sectPr w:rsidR="000B44E7" w:rsidRPr="000B44E7" w:rsidSect="000B44E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196F"/>
    <w:multiLevelType w:val="hybridMultilevel"/>
    <w:tmpl w:val="D2E412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DC57326"/>
    <w:multiLevelType w:val="hybridMultilevel"/>
    <w:tmpl w:val="90B86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0E4691"/>
    <w:multiLevelType w:val="multilevel"/>
    <w:tmpl w:val="FBC0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1444C"/>
    <w:multiLevelType w:val="hybridMultilevel"/>
    <w:tmpl w:val="B0461C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654122"/>
    <w:multiLevelType w:val="hybridMultilevel"/>
    <w:tmpl w:val="E31413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D13066"/>
    <w:multiLevelType w:val="hybridMultilevel"/>
    <w:tmpl w:val="EA1A9D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35B2FF5"/>
    <w:multiLevelType w:val="multilevel"/>
    <w:tmpl w:val="FE18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53977"/>
    <w:multiLevelType w:val="multilevel"/>
    <w:tmpl w:val="B91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A535D"/>
    <w:multiLevelType w:val="hybridMultilevel"/>
    <w:tmpl w:val="9FB4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C7F1F"/>
    <w:multiLevelType w:val="hybridMultilevel"/>
    <w:tmpl w:val="47841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35707E"/>
    <w:multiLevelType w:val="hybridMultilevel"/>
    <w:tmpl w:val="BB02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1C600C"/>
    <w:multiLevelType w:val="hybridMultilevel"/>
    <w:tmpl w:val="0C0803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5B72DA4"/>
    <w:multiLevelType w:val="hybridMultilevel"/>
    <w:tmpl w:val="62886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94891"/>
    <w:multiLevelType w:val="hybridMultilevel"/>
    <w:tmpl w:val="721409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FBC1983"/>
    <w:multiLevelType w:val="hybridMultilevel"/>
    <w:tmpl w:val="F998FC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61E1242"/>
    <w:multiLevelType w:val="hybridMultilevel"/>
    <w:tmpl w:val="4D307B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83D6083"/>
    <w:multiLevelType w:val="hybridMultilevel"/>
    <w:tmpl w:val="A27262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CBE2B9E"/>
    <w:multiLevelType w:val="multilevel"/>
    <w:tmpl w:val="F3EEA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C78CD"/>
    <w:multiLevelType w:val="hybridMultilevel"/>
    <w:tmpl w:val="4E6E1F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3A02C3F"/>
    <w:multiLevelType w:val="multilevel"/>
    <w:tmpl w:val="599C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66066"/>
    <w:multiLevelType w:val="hybridMultilevel"/>
    <w:tmpl w:val="D4986A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BBA1643"/>
    <w:multiLevelType w:val="hybridMultilevel"/>
    <w:tmpl w:val="5F90A0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CA24571"/>
    <w:multiLevelType w:val="hybridMultilevel"/>
    <w:tmpl w:val="733C31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EEE6B4F"/>
    <w:multiLevelType w:val="hybridMultilevel"/>
    <w:tmpl w:val="29E0C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05665EC"/>
    <w:multiLevelType w:val="hybridMultilevel"/>
    <w:tmpl w:val="AEEC05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0D271E2"/>
    <w:multiLevelType w:val="hybridMultilevel"/>
    <w:tmpl w:val="86F85A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70E22E6"/>
    <w:multiLevelType w:val="multilevel"/>
    <w:tmpl w:val="F38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E39FC"/>
    <w:multiLevelType w:val="hybridMultilevel"/>
    <w:tmpl w:val="6A5CC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96272F8"/>
    <w:multiLevelType w:val="hybridMultilevel"/>
    <w:tmpl w:val="A4C0D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2328EE"/>
    <w:multiLevelType w:val="hybridMultilevel"/>
    <w:tmpl w:val="EEEC53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65009354">
    <w:abstractNumId w:val="17"/>
  </w:num>
  <w:num w:numId="2" w16cid:durableId="193659265">
    <w:abstractNumId w:val="19"/>
  </w:num>
  <w:num w:numId="3" w16cid:durableId="1401246381">
    <w:abstractNumId w:val="6"/>
  </w:num>
  <w:num w:numId="4" w16cid:durableId="1861048402">
    <w:abstractNumId w:val="2"/>
  </w:num>
  <w:num w:numId="5" w16cid:durableId="1603418558">
    <w:abstractNumId w:val="7"/>
  </w:num>
  <w:num w:numId="6" w16cid:durableId="1511406592">
    <w:abstractNumId w:val="26"/>
  </w:num>
  <w:num w:numId="7" w16cid:durableId="1904219997">
    <w:abstractNumId w:val="27"/>
  </w:num>
  <w:num w:numId="8" w16cid:durableId="644702822">
    <w:abstractNumId w:val="11"/>
  </w:num>
  <w:num w:numId="9" w16cid:durableId="1462266351">
    <w:abstractNumId w:val="13"/>
  </w:num>
  <w:num w:numId="10" w16cid:durableId="57896676">
    <w:abstractNumId w:val="29"/>
  </w:num>
  <w:num w:numId="11" w16cid:durableId="1959558609">
    <w:abstractNumId w:val="0"/>
  </w:num>
  <w:num w:numId="12" w16cid:durableId="1082920212">
    <w:abstractNumId w:val="24"/>
  </w:num>
  <w:num w:numId="13" w16cid:durableId="941567531">
    <w:abstractNumId w:val="20"/>
  </w:num>
  <w:num w:numId="14" w16cid:durableId="1816945235">
    <w:abstractNumId w:val="18"/>
  </w:num>
  <w:num w:numId="15" w16cid:durableId="1909654547">
    <w:abstractNumId w:val="21"/>
  </w:num>
  <w:num w:numId="16" w16cid:durableId="314377978">
    <w:abstractNumId w:val="16"/>
  </w:num>
  <w:num w:numId="17" w16cid:durableId="15736566">
    <w:abstractNumId w:val="1"/>
  </w:num>
  <w:num w:numId="18" w16cid:durableId="1180700461">
    <w:abstractNumId w:val="22"/>
  </w:num>
  <w:num w:numId="19" w16cid:durableId="620037847">
    <w:abstractNumId w:val="5"/>
  </w:num>
  <w:num w:numId="20" w16cid:durableId="1529029996">
    <w:abstractNumId w:val="14"/>
  </w:num>
  <w:num w:numId="21" w16cid:durableId="1457723510">
    <w:abstractNumId w:val="3"/>
  </w:num>
  <w:num w:numId="22" w16cid:durableId="1261335538">
    <w:abstractNumId w:val="15"/>
  </w:num>
  <w:num w:numId="23" w16cid:durableId="1288315511">
    <w:abstractNumId w:val="25"/>
  </w:num>
  <w:num w:numId="24" w16cid:durableId="1291932527">
    <w:abstractNumId w:val="4"/>
  </w:num>
  <w:num w:numId="25" w16cid:durableId="299462912">
    <w:abstractNumId w:val="23"/>
  </w:num>
  <w:num w:numId="26" w16cid:durableId="569073687">
    <w:abstractNumId w:val="9"/>
  </w:num>
  <w:num w:numId="27" w16cid:durableId="22363523">
    <w:abstractNumId w:val="28"/>
  </w:num>
  <w:num w:numId="28" w16cid:durableId="971136683">
    <w:abstractNumId w:val="8"/>
  </w:num>
  <w:num w:numId="29" w16cid:durableId="722945673">
    <w:abstractNumId w:val="12"/>
  </w:num>
  <w:num w:numId="30" w16cid:durableId="1576016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7"/>
    <w:rsid w:val="000B44E7"/>
    <w:rsid w:val="00147AA4"/>
    <w:rsid w:val="006768B6"/>
    <w:rsid w:val="0088182B"/>
    <w:rsid w:val="008A21E4"/>
    <w:rsid w:val="00E4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C570"/>
  <w15:chartTrackingRefBased/>
  <w15:docId w15:val="{CB2D8888-DED7-4BAC-A0C1-F247400E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E7"/>
    <w:rPr>
      <w:rFonts w:eastAsiaTheme="majorEastAsia" w:cstheme="majorBidi"/>
      <w:color w:val="272727" w:themeColor="text1" w:themeTint="D8"/>
    </w:rPr>
  </w:style>
  <w:style w:type="paragraph" w:styleId="Title">
    <w:name w:val="Title"/>
    <w:basedOn w:val="Normal"/>
    <w:next w:val="Normal"/>
    <w:link w:val="TitleChar"/>
    <w:uiPriority w:val="10"/>
    <w:qFormat/>
    <w:rsid w:val="000B4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E7"/>
    <w:pPr>
      <w:spacing w:before="160"/>
      <w:jc w:val="center"/>
    </w:pPr>
    <w:rPr>
      <w:i/>
      <w:iCs/>
      <w:color w:val="404040" w:themeColor="text1" w:themeTint="BF"/>
    </w:rPr>
  </w:style>
  <w:style w:type="character" w:customStyle="1" w:styleId="QuoteChar">
    <w:name w:val="Quote Char"/>
    <w:basedOn w:val="DefaultParagraphFont"/>
    <w:link w:val="Quote"/>
    <w:uiPriority w:val="29"/>
    <w:rsid w:val="000B44E7"/>
    <w:rPr>
      <w:i/>
      <w:iCs/>
      <w:color w:val="404040" w:themeColor="text1" w:themeTint="BF"/>
    </w:rPr>
  </w:style>
  <w:style w:type="paragraph" w:styleId="ListParagraph">
    <w:name w:val="List Paragraph"/>
    <w:basedOn w:val="Normal"/>
    <w:uiPriority w:val="34"/>
    <w:qFormat/>
    <w:rsid w:val="000B44E7"/>
    <w:pPr>
      <w:ind w:left="720"/>
      <w:contextualSpacing/>
    </w:pPr>
  </w:style>
  <w:style w:type="character" w:styleId="IntenseEmphasis">
    <w:name w:val="Intense Emphasis"/>
    <w:basedOn w:val="DefaultParagraphFont"/>
    <w:uiPriority w:val="21"/>
    <w:qFormat/>
    <w:rsid w:val="000B44E7"/>
    <w:rPr>
      <w:i/>
      <w:iCs/>
      <w:color w:val="0F4761" w:themeColor="accent1" w:themeShade="BF"/>
    </w:rPr>
  </w:style>
  <w:style w:type="paragraph" w:styleId="IntenseQuote">
    <w:name w:val="Intense Quote"/>
    <w:basedOn w:val="Normal"/>
    <w:next w:val="Normal"/>
    <w:link w:val="IntenseQuoteChar"/>
    <w:uiPriority w:val="30"/>
    <w:qFormat/>
    <w:rsid w:val="000B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4E7"/>
    <w:rPr>
      <w:i/>
      <w:iCs/>
      <w:color w:val="0F4761" w:themeColor="accent1" w:themeShade="BF"/>
    </w:rPr>
  </w:style>
  <w:style w:type="character" w:styleId="IntenseReference">
    <w:name w:val="Intense Reference"/>
    <w:basedOn w:val="DefaultParagraphFont"/>
    <w:uiPriority w:val="32"/>
    <w:qFormat/>
    <w:rsid w:val="000B44E7"/>
    <w:rPr>
      <w:b/>
      <w:bCs/>
      <w:smallCaps/>
      <w:color w:val="0F4761" w:themeColor="accent1" w:themeShade="BF"/>
      <w:spacing w:val="5"/>
    </w:rPr>
  </w:style>
  <w:style w:type="paragraph" w:styleId="NormalWeb">
    <w:name w:val="Normal (Web)"/>
    <w:basedOn w:val="Normal"/>
    <w:uiPriority w:val="99"/>
    <w:semiHidden/>
    <w:unhideWhenUsed/>
    <w:rsid w:val="000B44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44E7"/>
    <w:rPr>
      <w:b/>
      <w:bCs/>
    </w:rPr>
  </w:style>
  <w:style w:type="table" w:styleId="TableGrid">
    <w:name w:val="Table Grid"/>
    <w:basedOn w:val="TableNormal"/>
    <w:uiPriority w:val="39"/>
    <w:rsid w:val="000B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5903">
      <w:bodyDiv w:val="1"/>
      <w:marLeft w:val="0"/>
      <w:marRight w:val="0"/>
      <w:marTop w:val="0"/>
      <w:marBottom w:val="0"/>
      <w:divBdr>
        <w:top w:val="none" w:sz="0" w:space="0" w:color="auto"/>
        <w:left w:val="none" w:sz="0" w:space="0" w:color="auto"/>
        <w:bottom w:val="none" w:sz="0" w:space="0" w:color="auto"/>
        <w:right w:val="none" w:sz="0" w:space="0" w:color="auto"/>
      </w:divBdr>
    </w:div>
    <w:div w:id="166946690">
      <w:bodyDiv w:val="1"/>
      <w:marLeft w:val="0"/>
      <w:marRight w:val="0"/>
      <w:marTop w:val="0"/>
      <w:marBottom w:val="0"/>
      <w:divBdr>
        <w:top w:val="none" w:sz="0" w:space="0" w:color="auto"/>
        <w:left w:val="none" w:sz="0" w:space="0" w:color="auto"/>
        <w:bottom w:val="none" w:sz="0" w:space="0" w:color="auto"/>
        <w:right w:val="none" w:sz="0" w:space="0" w:color="auto"/>
      </w:divBdr>
    </w:div>
    <w:div w:id="715084440">
      <w:bodyDiv w:val="1"/>
      <w:marLeft w:val="0"/>
      <w:marRight w:val="0"/>
      <w:marTop w:val="0"/>
      <w:marBottom w:val="0"/>
      <w:divBdr>
        <w:top w:val="none" w:sz="0" w:space="0" w:color="auto"/>
        <w:left w:val="none" w:sz="0" w:space="0" w:color="auto"/>
        <w:bottom w:val="none" w:sz="0" w:space="0" w:color="auto"/>
        <w:right w:val="none" w:sz="0" w:space="0" w:color="auto"/>
      </w:divBdr>
    </w:div>
    <w:div w:id="919101713">
      <w:bodyDiv w:val="1"/>
      <w:marLeft w:val="0"/>
      <w:marRight w:val="0"/>
      <w:marTop w:val="0"/>
      <w:marBottom w:val="0"/>
      <w:divBdr>
        <w:top w:val="none" w:sz="0" w:space="0" w:color="auto"/>
        <w:left w:val="none" w:sz="0" w:space="0" w:color="auto"/>
        <w:bottom w:val="none" w:sz="0" w:space="0" w:color="auto"/>
        <w:right w:val="none" w:sz="0" w:space="0" w:color="auto"/>
      </w:divBdr>
    </w:div>
    <w:div w:id="1417554597">
      <w:bodyDiv w:val="1"/>
      <w:marLeft w:val="0"/>
      <w:marRight w:val="0"/>
      <w:marTop w:val="0"/>
      <w:marBottom w:val="0"/>
      <w:divBdr>
        <w:top w:val="none" w:sz="0" w:space="0" w:color="auto"/>
        <w:left w:val="none" w:sz="0" w:space="0" w:color="auto"/>
        <w:bottom w:val="none" w:sz="0" w:space="0" w:color="auto"/>
        <w:right w:val="none" w:sz="0" w:space="0" w:color="auto"/>
      </w:divBdr>
    </w:div>
    <w:div w:id="1861118459">
      <w:bodyDiv w:val="1"/>
      <w:marLeft w:val="0"/>
      <w:marRight w:val="0"/>
      <w:marTop w:val="0"/>
      <w:marBottom w:val="0"/>
      <w:divBdr>
        <w:top w:val="none" w:sz="0" w:space="0" w:color="auto"/>
        <w:left w:val="none" w:sz="0" w:space="0" w:color="auto"/>
        <w:bottom w:val="none" w:sz="0" w:space="0" w:color="auto"/>
        <w:right w:val="none" w:sz="0" w:space="0" w:color="auto"/>
      </w:divBdr>
    </w:div>
    <w:div w:id="1896038622">
      <w:bodyDiv w:val="1"/>
      <w:marLeft w:val="0"/>
      <w:marRight w:val="0"/>
      <w:marTop w:val="0"/>
      <w:marBottom w:val="0"/>
      <w:divBdr>
        <w:top w:val="none" w:sz="0" w:space="0" w:color="auto"/>
        <w:left w:val="none" w:sz="0" w:space="0" w:color="auto"/>
        <w:bottom w:val="none" w:sz="0" w:space="0" w:color="auto"/>
        <w:right w:val="none" w:sz="0" w:space="0" w:color="auto"/>
      </w:divBdr>
    </w:div>
    <w:div w:id="1969168275">
      <w:bodyDiv w:val="1"/>
      <w:marLeft w:val="0"/>
      <w:marRight w:val="0"/>
      <w:marTop w:val="0"/>
      <w:marBottom w:val="0"/>
      <w:divBdr>
        <w:top w:val="none" w:sz="0" w:space="0" w:color="auto"/>
        <w:left w:val="none" w:sz="0" w:space="0" w:color="auto"/>
        <w:bottom w:val="none" w:sz="0" w:space="0" w:color="auto"/>
        <w:right w:val="none" w:sz="0" w:space="0" w:color="auto"/>
      </w:divBdr>
    </w:div>
    <w:div w:id="20715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2024-06-18T07:29:00Z</dcterms:created>
  <dcterms:modified xsi:type="dcterms:W3CDTF">2024-06-18T07:53:00Z</dcterms:modified>
</cp:coreProperties>
</file>