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E6DC3" w14:textId="75BB702E" w:rsidR="008C4506" w:rsidRPr="008C4506" w:rsidRDefault="008C4506" w:rsidP="008C4506">
      <w:pPr>
        <w:pStyle w:val="Heading1"/>
        <w:jc w:val="center"/>
        <w:rPr>
          <w:rFonts w:eastAsia="Times New Roman"/>
          <w:b/>
          <w:bCs/>
          <w:sz w:val="36"/>
          <w:szCs w:val="36"/>
          <w:lang w:eastAsia="en-IN"/>
        </w:rPr>
      </w:pPr>
      <w:r w:rsidRPr="008C4506">
        <w:rPr>
          <w:rFonts w:eastAsia="Times New Roman"/>
          <w:b/>
          <w:bCs/>
          <w:sz w:val="36"/>
          <w:szCs w:val="36"/>
          <w:lang w:eastAsia="en-IN"/>
        </w:rPr>
        <w:t xml:space="preserve">CREDIT CARDS </w:t>
      </w:r>
    </w:p>
    <w:p w14:paraId="1135DA96" w14:textId="77777777" w:rsidR="008C4506" w:rsidRPr="008C4506" w:rsidRDefault="008C4506" w:rsidP="008C4506">
      <w:pPr>
        <w:pStyle w:val="Heading2"/>
        <w:rPr>
          <w:rFonts w:eastAsia="Times New Roman"/>
          <w:lang w:eastAsia="en-IN"/>
        </w:rPr>
      </w:pPr>
      <w:r w:rsidRPr="008C4506">
        <w:rPr>
          <w:rFonts w:eastAsia="Times New Roman"/>
          <w:lang w:eastAsia="en-IN"/>
        </w:rPr>
        <w:t>Introduction</w:t>
      </w:r>
    </w:p>
    <w:p w14:paraId="5A0F7300"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kern w:val="0"/>
          <w:sz w:val="24"/>
          <w:szCs w:val="24"/>
          <w:lang w:eastAsia="en-IN"/>
          <w14:ligatures w14:val="none"/>
        </w:rPr>
        <w:t>Credit cards play a pivotal role in the US banking system, serving as a major financial tool for consumers and a significant revenue stream for financial institutions. This assignment explores the history, functionality, benefits, and risks associated with credit cards, as well as their impact on the economy and banking sector.</w:t>
      </w:r>
    </w:p>
    <w:p w14:paraId="1DBB9DEB" w14:textId="77777777" w:rsidR="008C4506" w:rsidRPr="008C4506" w:rsidRDefault="008C4506" w:rsidP="008C4506">
      <w:pPr>
        <w:pStyle w:val="Heading2"/>
        <w:rPr>
          <w:rFonts w:eastAsia="Times New Roman"/>
          <w:lang w:eastAsia="en-IN"/>
        </w:rPr>
      </w:pPr>
      <w:r w:rsidRPr="008C4506">
        <w:rPr>
          <w:rFonts w:eastAsia="Times New Roman"/>
          <w:lang w:eastAsia="en-IN"/>
        </w:rPr>
        <w:t>History of Credit Cards</w:t>
      </w:r>
    </w:p>
    <w:p w14:paraId="41A60ED2"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kern w:val="0"/>
          <w:sz w:val="24"/>
          <w:szCs w:val="24"/>
          <w:lang w:eastAsia="en-IN"/>
          <w14:ligatures w14:val="none"/>
        </w:rPr>
        <w:t xml:space="preserve">The concept of credit cards </w:t>
      </w:r>
      <w:proofErr w:type="gramStart"/>
      <w:r w:rsidRPr="008C4506">
        <w:rPr>
          <w:rFonts w:eastAsia="Times New Roman" w:cs="Times New Roman"/>
          <w:kern w:val="0"/>
          <w:sz w:val="24"/>
          <w:szCs w:val="24"/>
          <w:lang w:eastAsia="en-IN"/>
          <w14:ligatures w14:val="none"/>
        </w:rPr>
        <w:t>dates back to</w:t>
      </w:r>
      <w:proofErr w:type="gramEnd"/>
      <w:r w:rsidRPr="008C4506">
        <w:rPr>
          <w:rFonts w:eastAsia="Times New Roman" w:cs="Times New Roman"/>
          <w:kern w:val="0"/>
          <w:sz w:val="24"/>
          <w:szCs w:val="24"/>
          <w:lang w:eastAsia="en-IN"/>
          <w14:ligatures w14:val="none"/>
        </w:rPr>
        <w:t xml:space="preserve"> the early 20th century, but it wasn't until the 1950s that they became widespread. The first general-purpose credit card, the Diners Club card, was introduced in 1950. American Express followed in 1958, and Bank of America launched the </w:t>
      </w:r>
      <w:proofErr w:type="spellStart"/>
      <w:r w:rsidRPr="008C4506">
        <w:rPr>
          <w:rFonts w:eastAsia="Times New Roman" w:cs="Times New Roman"/>
          <w:kern w:val="0"/>
          <w:sz w:val="24"/>
          <w:szCs w:val="24"/>
          <w:lang w:eastAsia="en-IN"/>
          <w14:ligatures w14:val="none"/>
        </w:rPr>
        <w:t>BankAmericard</w:t>
      </w:r>
      <w:proofErr w:type="spellEnd"/>
      <w:r w:rsidRPr="008C4506">
        <w:rPr>
          <w:rFonts w:eastAsia="Times New Roman" w:cs="Times New Roman"/>
          <w:kern w:val="0"/>
          <w:sz w:val="24"/>
          <w:szCs w:val="24"/>
          <w:lang w:eastAsia="en-IN"/>
          <w14:ligatures w14:val="none"/>
        </w:rPr>
        <w:t xml:space="preserve"> (now Visa) in 1958. MasterCard (originally Master Charge) was established in 1966.</w:t>
      </w:r>
    </w:p>
    <w:p w14:paraId="1A936EF3" w14:textId="77777777" w:rsidR="008C4506" w:rsidRPr="008C4506" w:rsidRDefault="008C4506" w:rsidP="008C4506">
      <w:pPr>
        <w:pStyle w:val="Heading2"/>
        <w:rPr>
          <w:rFonts w:eastAsia="Times New Roman"/>
          <w:lang w:eastAsia="en-IN"/>
        </w:rPr>
      </w:pPr>
      <w:r w:rsidRPr="008C4506">
        <w:rPr>
          <w:rFonts w:eastAsia="Times New Roman"/>
          <w:lang w:eastAsia="en-IN"/>
        </w:rPr>
        <w:t>How Credit Cards Work</w:t>
      </w:r>
    </w:p>
    <w:p w14:paraId="25141FE5"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kern w:val="0"/>
          <w:sz w:val="24"/>
          <w:szCs w:val="24"/>
          <w:lang w:eastAsia="en-IN"/>
          <w14:ligatures w14:val="none"/>
        </w:rPr>
        <w:t>Credit cards allow consumers to borrow funds from a financial institution to make purchases, up to a pre-approved credit limit. Cardholders must repay the borrowed amount either in full by the due date or over time with interest. Key components of credit card functionality include:</w:t>
      </w:r>
    </w:p>
    <w:p w14:paraId="10184FD6" w14:textId="77777777" w:rsidR="008C4506" w:rsidRPr="008C4506" w:rsidRDefault="008C4506" w:rsidP="008C450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Credit Limit:</w:t>
      </w:r>
      <w:r w:rsidRPr="008C4506">
        <w:rPr>
          <w:rFonts w:eastAsia="Times New Roman" w:cs="Times New Roman"/>
          <w:kern w:val="0"/>
          <w:sz w:val="24"/>
          <w:szCs w:val="24"/>
          <w:lang w:eastAsia="en-IN"/>
          <w14:ligatures w14:val="none"/>
        </w:rPr>
        <w:t xml:space="preserve"> The maximum amount that can be borrowed.</w:t>
      </w:r>
    </w:p>
    <w:p w14:paraId="0FBB8EB3" w14:textId="77777777" w:rsidR="008C4506" w:rsidRPr="008C4506" w:rsidRDefault="008C4506" w:rsidP="008C450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Interest Rate (APR):</w:t>
      </w:r>
      <w:r w:rsidRPr="008C4506">
        <w:rPr>
          <w:rFonts w:eastAsia="Times New Roman" w:cs="Times New Roman"/>
          <w:kern w:val="0"/>
          <w:sz w:val="24"/>
          <w:szCs w:val="24"/>
          <w:lang w:eastAsia="en-IN"/>
          <w14:ligatures w14:val="none"/>
        </w:rPr>
        <w:t xml:space="preserve"> The annual percentage rate charged on outstanding balances.</w:t>
      </w:r>
    </w:p>
    <w:p w14:paraId="295E2738" w14:textId="77777777" w:rsidR="008C4506" w:rsidRPr="008C4506" w:rsidRDefault="008C4506" w:rsidP="008C450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Minimum Payment:</w:t>
      </w:r>
      <w:r w:rsidRPr="008C4506">
        <w:rPr>
          <w:rFonts w:eastAsia="Times New Roman" w:cs="Times New Roman"/>
          <w:kern w:val="0"/>
          <w:sz w:val="24"/>
          <w:szCs w:val="24"/>
          <w:lang w:eastAsia="en-IN"/>
          <w14:ligatures w14:val="none"/>
        </w:rPr>
        <w:t xml:space="preserve"> The minimum amount that must be paid each billing cycle.</w:t>
      </w:r>
    </w:p>
    <w:p w14:paraId="1C13600B" w14:textId="77777777" w:rsidR="008C4506" w:rsidRPr="008C4506" w:rsidRDefault="008C4506" w:rsidP="008C4506">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Rewards Programs:</w:t>
      </w:r>
      <w:r w:rsidRPr="008C4506">
        <w:rPr>
          <w:rFonts w:eastAsia="Times New Roman" w:cs="Times New Roman"/>
          <w:kern w:val="0"/>
          <w:sz w:val="24"/>
          <w:szCs w:val="24"/>
          <w:lang w:eastAsia="en-IN"/>
          <w14:ligatures w14:val="none"/>
        </w:rPr>
        <w:t xml:space="preserve"> Incentives such as cashback, points, or miles for card usage.</w:t>
      </w:r>
    </w:p>
    <w:p w14:paraId="2E585186" w14:textId="77777777" w:rsidR="008C4506" w:rsidRPr="008C4506" w:rsidRDefault="008C4506" w:rsidP="008C4506">
      <w:pPr>
        <w:pStyle w:val="Heading2"/>
        <w:rPr>
          <w:rFonts w:eastAsia="Times New Roman"/>
          <w:lang w:eastAsia="en-IN"/>
        </w:rPr>
      </w:pPr>
      <w:r w:rsidRPr="008C4506">
        <w:rPr>
          <w:rFonts w:eastAsia="Times New Roman"/>
          <w:lang w:eastAsia="en-IN"/>
        </w:rPr>
        <w:t>Uses of Credit Cards</w:t>
      </w:r>
    </w:p>
    <w:p w14:paraId="0D3C5F1E" w14:textId="77777777" w:rsidR="008C4506" w:rsidRPr="008C4506" w:rsidRDefault="008C4506" w:rsidP="008C4506">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Everyday Purchases:</w:t>
      </w:r>
      <w:r w:rsidRPr="008C4506">
        <w:rPr>
          <w:rFonts w:eastAsia="Times New Roman" w:cs="Times New Roman"/>
          <w:kern w:val="0"/>
          <w:sz w:val="24"/>
          <w:szCs w:val="24"/>
          <w:lang w:eastAsia="en-IN"/>
          <w14:ligatures w14:val="none"/>
        </w:rPr>
        <w:t xml:space="preserve"> Groceries, fuel, dining, and other daily expenses.</w:t>
      </w:r>
    </w:p>
    <w:p w14:paraId="6019C8C7" w14:textId="77777777" w:rsidR="008C4506" w:rsidRPr="008C4506" w:rsidRDefault="008C4506" w:rsidP="008C4506">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Online Shopping:</w:t>
      </w:r>
      <w:r w:rsidRPr="008C4506">
        <w:rPr>
          <w:rFonts w:eastAsia="Times New Roman" w:cs="Times New Roman"/>
          <w:kern w:val="0"/>
          <w:sz w:val="24"/>
          <w:szCs w:val="24"/>
          <w:lang w:eastAsia="en-IN"/>
          <w14:ligatures w14:val="none"/>
        </w:rPr>
        <w:t xml:space="preserve"> Secure transactions for online purchases.</w:t>
      </w:r>
    </w:p>
    <w:p w14:paraId="5838740D" w14:textId="77777777" w:rsidR="008C4506" w:rsidRPr="008C4506" w:rsidRDefault="008C4506" w:rsidP="008C4506">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Travel Expenses:</w:t>
      </w:r>
      <w:r w:rsidRPr="008C4506">
        <w:rPr>
          <w:rFonts w:eastAsia="Times New Roman" w:cs="Times New Roman"/>
          <w:kern w:val="0"/>
          <w:sz w:val="24"/>
          <w:szCs w:val="24"/>
          <w:lang w:eastAsia="en-IN"/>
          <w14:ligatures w14:val="none"/>
        </w:rPr>
        <w:t xml:space="preserve"> Booking flights, hotels, and rental cars.</w:t>
      </w:r>
    </w:p>
    <w:p w14:paraId="08C8F6EF" w14:textId="77777777" w:rsidR="008C4506" w:rsidRPr="008C4506" w:rsidRDefault="008C4506" w:rsidP="008C4506">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Emergency Expenses:</w:t>
      </w:r>
      <w:r w:rsidRPr="008C4506">
        <w:rPr>
          <w:rFonts w:eastAsia="Times New Roman" w:cs="Times New Roman"/>
          <w:kern w:val="0"/>
          <w:sz w:val="24"/>
          <w:szCs w:val="24"/>
          <w:lang w:eastAsia="en-IN"/>
          <w14:ligatures w14:val="none"/>
        </w:rPr>
        <w:t xml:space="preserve"> Unplanned medical expenses or car repairs.</w:t>
      </w:r>
    </w:p>
    <w:p w14:paraId="20B5EAFE" w14:textId="77777777" w:rsidR="008C4506" w:rsidRPr="008C4506" w:rsidRDefault="008C4506" w:rsidP="008C4506">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Large Purchases:</w:t>
      </w:r>
      <w:r w:rsidRPr="008C4506">
        <w:rPr>
          <w:rFonts w:eastAsia="Times New Roman" w:cs="Times New Roman"/>
          <w:kern w:val="0"/>
          <w:sz w:val="24"/>
          <w:szCs w:val="24"/>
          <w:lang w:eastAsia="en-IN"/>
          <w14:ligatures w14:val="none"/>
        </w:rPr>
        <w:t xml:space="preserve"> Buying electronics, furniture, and other high-ticket items.</w:t>
      </w:r>
    </w:p>
    <w:p w14:paraId="7E04E6A4" w14:textId="77777777" w:rsidR="008C4506" w:rsidRPr="008C4506" w:rsidRDefault="008C4506" w:rsidP="008C4506">
      <w:pPr>
        <w:pStyle w:val="Heading2"/>
        <w:rPr>
          <w:rFonts w:eastAsia="Times New Roman"/>
          <w:lang w:eastAsia="en-IN"/>
        </w:rPr>
      </w:pPr>
      <w:r w:rsidRPr="008C4506">
        <w:rPr>
          <w:rFonts w:eastAsia="Times New Roman"/>
          <w:lang w:eastAsia="en-IN"/>
        </w:rPr>
        <w:t>Necessity in Today's World</w:t>
      </w:r>
    </w:p>
    <w:p w14:paraId="1D110FA6"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kern w:val="0"/>
          <w:sz w:val="24"/>
          <w:szCs w:val="24"/>
          <w:lang w:eastAsia="en-IN"/>
          <w14:ligatures w14:val="none"/>
        </w:rPr>
        <w:t>In today’s fast-paced and digital world, credit cards are essential for several reasons:</w:t>
      </w:r>
    </w:p>
    <w:p w14:paraId="329226B3" w14:textId="77777777" w:rsidR="008C4506" w:rsidRPr="008C4506" w:rsidRDefault="008C4506" w:rsidP="008C4506">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Convenience:</w:t>
      </w:r>
      <w:r w:rsidRPr="008C4506">
        <w:rPr>
          <w:rFonts w:eastAsia="Times New Roman" w:cs="Times New Roman"/>
          <w:kern w:val="0"/>
          <w:sz w:val="24"/>
          <w:szCs w:val="24"/>
          <w:lang w:eastAsia="en-IN"/>
          <w14:ligatures w14:val="none"/>
        </w:rPr>
        <w:t xml:space="preserve"> Streamlined payment process in physical and online stores.</w:t>
      </w:r>
    </w:p>
    <w:p w14:paraId="2BE3813D" w14:textId="77777777" w:rsidR="008C4506" w:rsidRPr="008C4506" w:rsidRDefault="008C4506" w:rsidP="008C4506">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lastRenderedPageBreak/>
        <w:t>Cashless Transactions:</w:t>
      </w:r>
      <w:r w:rsidRPr="008C4506">
        <w:rPr>
          <w:rFonts w:eastAsia="Times New Roman" w:cs="Times New Roman"/>
          <w:kern w:val="0"/>
          <w:sz w:val="24"/>
          <w:szCs w:val="24"/>
          <w:lang w:eastAsia="en-IN"/>
          <w14:ligatures w14:val="none"/>
        </w:rPr>
        <w:t xml:space="preserve"> Reducing the need to carry large amounts of cash.</w:t>
      </w:r>
    </w:p>
    <w:p w14:paraId="51E1BD54" w14:textId="77777777" w:rsidR="008C4506" w:rsidRPr="008C4506" w:rsidRDefault="008C4506" w:rsidP="008C4506">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Building Credit:</w:t>
      </w:r>
      <w:r w:rsidRPr="008C4506">
        <w:rPr>
          <w:rFonts w:eastAsia="Times New Roman" w:cs="Times New Roman"/>
          <w:kern w:val="0"/>
          <w:sz w:val="24"/>
          <w:szCs w:val="24"/>
          <w:lang w:eastAsia="en-IN"/>
          <w14:ligatures w14:val="none"/>
        </w:rPr>
        <w:t xml:space="preserve"> Establishing and improving credit scores.</w:t>
      </w:r>
    </w:p>
    <w:p w14:paraId="5C2913E2" w14:textId="77777777" w:rsidR="008C4506" w:rsidRPr="008C4506" w:rsidRDefault="008C4506" w:rsidP="008C4506">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Financial Flexibility:</w:t>
      </w:r>
      <w:r w:rsidRPr="008C4506">
        <w:rPr>
          <w:rFonts w:eastAsia="Times New Roman" w:cs="Times New Roman"/>
          <w:kern w:val="0"/>
          <w:sz w:val="24"/>
          <w:szCs w:val="24"/>
          <w:lang w:eastAsia="en-IN"/>
          <w14:ligatures w14:val="none"/>
        </w:rPr>
        <w:t xml:space="preserve"> Ability to manage and defer payments.</w:t>
      </w:r>
    </w:p>
    <w:p w14:paraId="2EECB32C" w14:textId="77777777" w:rsidR="008C4506" w:rsidRPr="008C4506" w:rsidRDefault="008C4506" w:rsidP="008C4506">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Enhanced Security:</w:t>
      </w:r>
      <w:r w:rsidRPr="008C4506">
        <w:rPr>
          <w:rFonts w:eastAsia="Times New Roman" w:cs="Times New Roman"/>
          <w:kern w:val="0"/>
          <w:sz w:val="24"/>
          <w:szCs w:val="24"/>
          <w:lang w:eastAsia="en-IN"/>
          <w14:ligatures w14:val="none"/>
        </w:rPr>
        <w:t xml:space="preserve"> Protection against fraud and unauthorized transactions.</w:t>
      </w:r>
    </w:p>
    <w:p w14:paraId="49A2724E" w14:textId="77777777" w:rsidR="008C4506" w:rsidRPr="008C4506" w:rsidRDefault="008C4506" w:rsidP="008C4506">
      <w:pPr>
        <w:pStyle w:val="Heading2"/>
        <w:rPr>
          <w:rFonts w:eastAsia="Times New Roman"/>
          <w:lang w:eastAsia="en-IN"/>
        </w:rPr>
      </w:pPr>
      <w:r w:rsidRPr="008C4506">
        <w:rPr>
          <w:rFonts w:eastAsia="Times New Roman"/>
          <w:lang w:eastAsia="en-IN"/>
        </w:rPr>
        <w:t>Types of Credit Cards</w:t>
      </w:r>
    </w:p>
    <w:p w14:paraId="7807F393" w14:textId="77777777" w:rsidR="008C4506" w:rsidRPr="008C4506" w:rsidRDefault="008C4506" w:rsidP="008C4506">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Standard Credit Cards:</w:t>
      </w:r>
      <w:r w:rsidRPr="008C4506">
        <w:rPr>
          <w:rFonts w:eastAsia="Times New Roman" w:cs="Times New Roman"/>
          <w:kern w:val="0"/>
          <w:sz w:val="24"/>
          <w:szCs w:val="24"/>
          <w:lang w:eastAsia="en-IN"/>
          <w14:ligatures w14:val="none"/>
        </w:rPr>
        <w:t xml:space="preserve"> Basic cards without rewards.</w:t>
      </w:r>
    </w:p>
    <w:p w14:paraId="6418350D" w14:textId="77777777" w:rsidR="008C4506" w:rsidRPr="008C4506" w:rsidRDefault="008C4506" w:rsidP="008C4506">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Rewards Credit Cards:</w:t>
      </w:r>
      <w:r w:rsidRPr="008C4506">
        <w:rPr>
          <w:rFonts w:eastAsia="Times New Roman" w:cs="Times New Roman"/>
          <w:kern w:val="0"/>
          <w:sz w:val="24"/>
          <w:szCs w:val="24"/>
          <w:lang w:eastAsia="en-IN"/>
          <w14:ligatures w14:val="none"/>
        </w:rPr>
        <w:t xml:space="preserve"> Cards offering points, cashback, or miles.</w:t>
      </w:r>
    </w:p>
    <w:p w14:paraId="0FB82E3C" w14:textId="77777777" w:rsidR="008C4506" w:rsidRPr="008C4506" w:rsidRDefault="008C4506" w:rsidP="008C4506">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Secured Credit Cards:</w:t>
      </w:r>
      <w:r w:rsidRPr="008C4506">
        <w:rPr>
          <w:rFonts w:eastAsia="Times New Roman" w:cs="Times New Roman"/>
          <w:kern w:val="0"/>
          <w:sz w:val="24"/>
          <w:szCs w:val="24"/>
          <w:lang w:eastAsia="en-IN"/>
          <w14:ligatures w14:val="none"/>
        </w:rPr>
        <w:t xml:space="preserve"> Cards requiring a security deposit, for building or repairing credit.</w:t>
      </w:r>
    </w:p>
    <w:p w14:paraId="27D2669A" w14:textId="77777777" w:rsidR="008C4506" w:rsidRPr="008C4506" w:rsidRDefault="008C4506" w:rsidP="008C4506">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Balance Transfer Cards:</w:t>
      </w:r>
      <w:r w:rsidRPr="008C4506">
        <w:rPr>
          <w:rFonts w:eastAsia="Times New Roman" w:cs="Times New Roman"/>
          <w:kern w:val="0"/>
          <w:sz w:val="24"/>
          <w:szCs w:val="24"/>
          <w:lang w:eastAsia="en-IN"/>
          <w14:ligatures w14:val="none"/>
        </w:rPr>
        <w:t xml:space="preserve"> Cards with low introductory rates for transferring existing balances.</w:t>
      </w:r>
    </w:p>
    <w:p w14:paraId="4DB6DB44" w14:textId="77777777" w:rsidR="008C4506" w:rsidRPr="008C4506" w:rsidRDefault="008C4506" w:rsidP="008C4506">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Student Credit Cards:</w:t>
      </w:r>
      <w:r w:rsidRPr="008C4506">
        <w:rPr>
          <w:rFonts w:eastAsia="Times New Roman" w:cs="Times New Roman"/>
          <w:kern w:val="0"/>
          <w:sz w:val="24"/>
          <w:szCs w:val="24"/>
          <w:lang w:eastAsia="en-IN"/>
          <w14:ligatures w14:val="none"/>
        </w:rPr>
        <w:t xml:space="preserve"> Cards designed for college students, often with lower credit limits.</w:t>
      </w:r>
    </w:p>
    <w:p w14:paraId="375E5A66" w14:textId="77777777" w:rsidR="008C4506" w:rsidRPr="008C4506" w:rsidRDefault="008C4506" w:rsidP="008C4506">
      <w:pPr>
        <w:pStyle w:val="Heading2"/>
        <w:rPr>
          <w:rFonts w:eastAsia="Times New Roman"/>
          <w:lang w:eastAsia="en-IN"/>
        </w:rPr>
      </w:pPr>
      <w:r w:rsidRPr="008C4506">
        <w:rPr>
          <w:rFonts w:eastAsia="Times New Roman"/>
          <w:lang w:eastAsia="en-IN"/>
        </w:rPr>
        <w:t>Examples for Different Types of Credit Cards</w:t>
      </w:r>
    </w:p>
    <w:p w14:paraId="39BED498" w14:textId="77777777" w:rsidR="008C4506" w:rsidRPr="008C4506" w:rsidRDefault="008C4506" w:rsidP="008C45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C4506">
        <w:rPr>
          <w:rFonts w:eastAsia="Times New Roman" w:cs="Times New Roman"/>
          <w:b/>
          <w:bCs/>
          <w:kern w:val="0"/>
          <w:sz w:val="24"/>
          <w:szCs w:val="24"/>
          <w:lang w:eastAsia="en-IN"/>
          <w14:ligatures w14:val="none"/>
        </w:rPr>
        <w:t>Standard Credit Cards</w:t>
      </w:r>
    </w:p>
    <w:p w14:paraId="68EEA761"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Example: Citi Simplicity® Card</w:t>
      </w:r>
    </w:p>
    <w:p w14:paraId="26981E1D" w14:textId="77777777" w:rsidR="008C4506" w:rsidRPr="008C4506" w:rsidRDefault="008C4506" w:rsidP="008C4506">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Features:</w:t>
      </w:r>
      <w:r w:rsidRPr="008C4506">
        <w:rPr>
          <w:rFonts w:eastAsia="Times New Roman" w:cs="Times New Roman"/>
          <w:kern w:val="0"/>
          <w:sz w:val="24"/>
          <w:szCs w:val="24"/>
          <w:lang w:eastAsia="en-IN"/>
          <w14:ligatures w14:val="none"/>
        </w:rPr>
        <w:t xml:space="preserve"> No late fees, no penalty rate, and no annual fee.</w:t>
      </w:r>
    </w:p>
    <w:p w14:paraId="34C80B43" w14:textId="77777777" w:rsidR="008C4506" w:rsidRPr="008C4506" w:rsidRDefault="008C4506" w:rsidP="008C4506">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Benefits:</w:t>
      </w:r>
      <w:r w:rsidRPr="008C4506">
        <w:rPr>
          <w:rFonts w:eastAsia="Times New Roman" w:cs="Times New Roman"/>
          <w:kern w:val="0"/>
          <w:sz w:val="24"/>
          <w:szCs w:val="24"/>
          <w:lang w:eastAsia="en-IN"/>
          <w14:ligatures w14:val="none"/>
        </w:rPr>
        <w:t xml:space="preserve"> Offers 0% introductory APR on balance transfers for a certain period.</w:t>
      </w:r>
    </w:p>
    <w:p w14:paraId="7964E32D" w14:textId="77777777" w:rsidR="008C4506" w:rsidRPr="008C4506" w:rsidRDefault="008C4506" w:rsidP="008C45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C4506">
        <w:rPr>
          <w:rFonts w:eastAsia="Times New Roman" w:cs="Times New Roman"/>
          <w:b/>
          <w:bCs/>
          <w:kern w:val="0"/>
          <w:sz w:val="24"/>
          <w:szCs w:val="24"/>
          <w:lang w:eastAsia="en-IN"/>
          <w14:ligatures w14:val="none"/>
        </w:rPr>
        <w:t>Rewards Credit Cards</w:t>
      </w:r>
    </w:p>
    <w:p w14:paraId="2E6C2D62"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Example: Chase Sapphire Preferred® Card</w:t>
      </w:r>
    </w:p>
    <w:p w14:paraId="0715E225" w14:textId="77777777" w:rsidR="008C4506" w:rsidRPr="008C4506" w:rsidRDefault="008C4506" w:rsidP="008C4506">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Features:</w:t>
      </w:r>
      <w:r w:rsidRPr="008C4506">
        <w:rPr>
          <w:rFonts w:eastAsia="Times New Roman" w:cs="Times New Roman"/>
          <w:kern w:val="0"/>
          <w:sz w:val="24"/>
          <w:szCs w:val="24"/>
          <w:lang w:eastAsia="en-IN"/>
          <w14:ligatures w14:val="none"/>
        </w:rPr>
        <w:t xml:space="preserve"> Earn 2X points on travel and dining at restaurants and 1 point per dollar spent on all other purchases.</w:t>
      </w:r>
    </w:p>
    <w:p w14:paraId="6D915B3D" w14:textId="77777777" w:rsidR="008C4506" w:rsidRPr="008C4506" w:rsidRDefault="008C4506" w:rsidP="008C4506">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Benefits:</w:t>
      </w:r>
      <w:r w:rsidRPr="008C4506">
        <w:rPr>
          <w:rFonts w:eastAsia="Times New Roman" w:cs="Times New Roman"/>
          <w:kern w:val="0"/>
          <w:sz w:val="24"/>
          <w:szCs w:val="24"/>
          <w:lang w:eastAsia="en-IN"/>
          <w14:ligatures w14:val="none"/>
        </w:rPr>
        <w:t xml:space="preserve"> Points can be redeemed for travel, cash back, gift cards, or transfers to travel partners.</w:t>
      </w:r>
    </w:p>
    <w:p w14:paraId="7C661D08" w14:textId="77777777" w:rsidR="008C4506" w:rsidRPr="008C4506" w:rsidRDefault="008C4506" w:rsidP="008C45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C4506">
        <w:rPr>
          <w:rFonts w:eastAsia="Times New Roman" w:cs="Times New Roman"/>
          <w:b/>
          <w:bCs/>
          <w:kern w:val="0"/>
          <w:sz w:val="24"/>
          <w:szCs w:val="24"/>
          <w:lang w:eastAsia="en-IN"/>
          <w14:ligatures w14:val="none"/>
        </w:rPr>
        <w:t>Secured Credit Cards</w:t>
      </w:r>
    </w:p>
    <w:p w14:paraId="7474AF11"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Example: Discover it® Secured Credit Card</w:t>
      </w:r>
    </w:p>
    <w:p w14:paraId="3B6D266C" w14:textId="77777777" w:rsidR="008C4506" w:rsidRPr="008C4506" w:rsidRDefault="008C4506" w:rsidP="008C4506">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Features:</w:t>
      </w:r>
      <w:r w:rsidRPr="008C4506">
        <w:rPr>
          <w:rFonts w:eastAsia="Times New Roman" w:cs="Times New Roman"/>
          <w:kern w:val="0"/>
          <w:sz w:val="24"/>
          <w:szCs w:val="24"/>
          <w:lang w:eastAsia="en-IN"/>
          <w14:ligatures w14:val="none"/>
        </w:rPr>
        <w:t xml:space="preserve"> Requires a refundable security deposit, which determines the credit limit.</w:t>
      </w:r>
    </w:p>
    <w:p w14:paraId="6567D1D4" w14:textId="77777777" w:rsidR="008C4506" w:rsidRPr="008C4506" w:rsidRDefault="008C4506" w:rsidP="008C4506">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Benefits:</w:t>
      </w:r>
      <w:r w:rsidRPr="008C4506">
        <w:rPr>
          <w:rFonts w:eastAsia="Times New Roman" w:cs="Times New Roman"/>
          <w:kern w:val="0"/>
          <w:sz w:val="24"/>
          <w:szCs w:val="24"/>
          <w:lang w:eastAsia="en-IN"/>
          <w14:ligatures w14:val="none"/>
        </w:rPr>
        <w:t xml:space="preserve"> Earns 2% cash back at gas stations and restaurants on up to $1,000 in combined purchases each quarter, plus 1% on all other purchases.</w:t>
      </w:r>
    </w:p>
    <w:p w14:paraId="5AE98EA0" w14:textId="77777777" w:rsidR="008C4506" w:rsidRPr="008C4506" w:rsidRDefault="008C4506" w:rsidP="008C45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C4506">
        <w:rPr>
          <w:rFonts w:eastAsia="Times New Roman" w:cs="Times New Roman"/>
          <w:b/>
          <w:bCs/>
          <w:kern w:val="0"/>
          <w:sz w:val="24"/>
          <w:szCs w:val="24"/>
          <w:lang w:eastAsia="en-IN"/>
          <w14:ligatures w14:val="none"/>
        </w:rPr>
        <w:t>Balance Transfer Cards</w:t>
      </w:r>
    </w:p>
    <w:p w14:paraId="4D117D72"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Example: Wells Fargo Reflect® Card</w:t>
      </w:r>
    </w:p>
    <w:p w14:paraId="330658C7" w14:textId="77777777" w:rsidR="008C4506" w:rsidRPr="008C4506" w:rsidRDefault="008C4506" w:rsidP="008C4506">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lastRenderedPageBreak/>
        <w:t>Features:</w:t>
      </w:r>
      <w:r w:rsidRPr="008C4506">
        <w:rPr>
          <w:rFonts w:eastAsia="Times New Roman" w:cs="Times New Roman"/>
          <w:kern w:val="0"/>
          <w:sz w:val="24"/>
          <w:szCs w:val="24"/>
          <w:lang w:eastAsia="en-IN"/>
          <w14:ligatures w14:val="none"/>
        </w:rPr>
        <w:t xml:space="preserve"> Offers 0% introductory APR for 18 months on balance transfers and purchases.</w:t>
      </w:r>
    </w:p>
    <w:p w14:paraId="1588A662" w14:textId="77777777" w:rsidR="008C4506" w:rsidRPr="008C4506" w:rsidRDefault="008C4506" w:rsidP="008C4506">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Benefits:</w:t>
      </w:r>
      <w:r w:rsidRPr="008C4506">
        <w:rPr>
          <w:rFonts w:eastAsia="Times New Roman" w:cs="Times New Roman"/>
          <w:kern w:val="0"/>
          <w:sz w:val="24"/>
          <w:szCs w:val="24"/>
          <w:lang w:eastAsia="en-IN"/>
          <w14:ligatures w14:val="none"/>
        </w:rPr>
        <w:t xml:space="preserve"> No annual fee and access to credit education tools.</w:t>
      </w:r>
    </w:p>
    <w:p w14:paraId="3663BA25" w14:textId="77777777" w:rsidR="008C4506" w:rsidRPr="008C4506" w:rsidRDefault="008C4506" w:rsidP="008C45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C4506">
        <w:rPr>
          <w:rFonts w:eastAsia="Times New Roman" w:cs="Times New Roman"/>
          <w:b/>
          <w:bCs/>
          <w:kern w:val="0"/>
          <w:sz w:val="24"/>
          <w:szCs w:val="24"/>
          <w:lang w:eastAsia="en-IN"/>
          <w14:ligatures w14:val="none"/>
        </w:rPr>
        <w:t>Student Credit Cards</w:t>
      </w:r>
    </w:p>
    <w:p w14:paraId="2AE8EE4A"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Example: Discover it® Student Cash Back</w:t>
      </w:r>
    </w:p>
    <w:p w14:paraId="450A6659" w14:textId="77777777" w:rsidR="008C4506" w:rsidRPr="008C4506" w:rsidRDefault="008C4506" w:rsidP="008C4506">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Features:</w:t>
      </w:r>
      <w:r w:rsidRPr="008C4506">
        <w:rPr>
          <w:rFonts w:eastAsia="Times New Roman" w:cs="Times New Roman"/>
          <w:kern w:val="0"/>
          <w:sz w:val="24"/>
          <w:szCs w:val="24"/>
          <w:lang w:eastAsia="en-IN"/>
          <w14:ligatures w14:val="none"/>
        </w:rPr>
        <w:t xml:space="preserve"> Earns 5% cash back on rotating categories each quarter up to the quarterly maximum when activated and 1% on all other purchases.</w:t>
      </w:r>
    </w:p>
    <w:p w14:paraId="3B053987" w14:textId="77777777" w:rsidR="008C4506" w:rsidRPr="008C4506" w:rsidRDefault="008C4506" w:rsidP="008C4506">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Benefits:</w:t>
      </w:r>
      <w:r w:rsidRPr="008C4506">
        <w:rPr>
          <w:rFonts w:eastAsia="Times New Roman" w:cs="Times New Roman"/>
          <w:kern w:val="0"/>
          <w:sz w:val="24"/>
          <w:szCs w:val="24"/>
          <w:lang w:eastAsia="en-IN"/>
          <w14:ligatures w14:val="none"/>
        </w:rPr>
        <w:t xml:space="preserve"> Rewards for good grades and no annual fee.</w:t>
      </w:r>
    </w:p>
    <w:p w14:paraId="7B0697D1" w14:textId="77777777" w:rsidR="008C4506" w:rsidRPr="008C4506" w:rsidRDefault="008C4506" w:rsidP="008C4506">
      <w:pPr>
        <w:pStyle w:val="Heading2"/>
        <w:rPr>
          <w:rFonts w:eastAsia="Times New Roman"/>
          <w:lang w:eastAsia="en-IN"/>
        </w:rPr>
      </w:pPr>
      <w:r w:rsidRPr="008C4506">
        <w:rPr>
          <w:rFonts w:eastAsia="Times New Roman"/>
          <w:lang w:eastAsia="en-IN"/>
        </w:rPr>
        <w:t>Digital Credit Cards</w:t>
      </w:r>
    </w:p>
    <w:p w14:paraId="46FB1E24"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kern w:val="0"/>
          <w:sz w:val="24"/>
          <w:szCs w:val="24"/>
          <w:lang w:eastAsia="en-IN"/>
          <w14:ligatures w14:val="none"/>
        </w:rPr>
        <w:t>Digital credit cards, or virtual credit cards, are designed for online transactions. They provide a temporary credit card number that can be used for a specific transaction or a limited period, offering enhanced security against fraud. Major benefits include:</w:t>
      </w:r>
    </w:p>
    <w:p w14:paraId="2AC0369A" w14:textId="77777777" w:rsidR="008C4506" w:rsidRPr="008C4506" w:rsidRDefault="008C4506" w:rsidP="008C4506">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Increased Security:</w:t>
      </w:r>
      <w:r w:rsidRPr="008C4506">
        <w:rPr>
          <w:rFonts w:eastAsia="Times New Roman" w:cs="Times New Roman"/>
          <w:kern w:val="0"/>
          <w:sz w:val="24"/>
          <w:szCs w:val="24"/>
          <w:lang w:eastAsia="en-IN"/>
          <w14:ligatures w14:val="none"/>
        </w:rPr>
        <w:t xml:space="preserve"> Reducing the risk of unauthorized use.</w:t>
      </w:r>
    </w:p>
    <w:p w14:paraId="2AFB7E86" w14:textId="77777777" w:rsidR="008C4506" w:rsidRPr="008C4506" w:rsidRDefault="008C4506" w:rsidP="008C4506">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Ease of Use:</w:t>
      </w:r>
      <w:r w:rsidRPr="008C4506">
        <w:rPr>
          <w:rFonts w:eastAsia="Times New Roman" w:cs="Times New Roman"/>
          <w:kern w:val="0"/>
          <w:sz w:val="24"/>
          <w:szCs w:val="24"/>
          <w:lang w:eastAsia="en-IN"/>
          <w14:ligatures w14:val="none"/>
        </w:rPr>
        <w:t xml:space="preserve"> Integrated into digital wallets for seamless payments.</w:t>
      </w:r>
    </w:p>
    <w:p w14:paraId="0D31A696" w14:textId="77777777" w:rsidR="008C4506" w:rsidRPr="008C4506" w:rsidRDefault="008C4506" w:rsidP="008C4506">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Controlled Spending:</w:t>
      </w:r>
      <w:r w:rsidRPr="008C4506">
        <w:rPr>
          <w:rFonts w:eastAsia="Times New Roman" w:cs="Times New Roman"/>
          <w:kern w:val="0"/>
          <w:sz w:val="24"/>
          <w:szCs w:val="24"/>
          <w:lang w:eastAsia="en-IN"/>
          <w14:ligatures w14:val="none"/>
        </w:rPr>
        <w:t xml:space="preserve"> Set limits for specific transactions.</w:t>
      </w:r>
    </w:p>
    <w:p w14:paraId="64D4EF98" w14:textId="77777777" w:rsidR="008C4506" w:rsidRPr="008C4506" w:rsidRDefault="008C4506" w:rsidP="008C4506">
      <w:pPr>
        <w:pStyle w:val="Heading2"/>
        <w:rPr>
          <w:rFonts w:eastAsia="Times New Roman"/>
          <w:lang w:eastAsia="en-IN"/>
        </w:rPr>
      </w:pPr>
      <w:r w:rsidRPr="008C4506">
        <w:rPr>
          <w:rFonts w:eastAsia="Times New Roman"/>
          <w:lang w:eastAsia="en-IN"/>
        </w:rPr>
        <w:t>Examples for Digital Credit Cards</w:t>
      </w:r>
    </w:p>
    <w:p w14:paraId="57F88870"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Example: Apple Card</w:t>
      </w:r>
    </w:p>
    <w:p w14:paraId="749711F1" w14:textId="77777777" w:rsidR="008C4506" w:rsidRPr="008C4506" w:rsidRDefault="008C4506" w:rsidP="008C4506">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Features:</w:t>
      </w:r>
      <w:r w:rsidRPr="008C4506">
        <w:rPr>
          <w:rFonts w:eastAsia="Times New Roman" w:cs="Times New Roman"/>
          <w:kern w:val="0"/>
          <w:sz w:val="24"/>
          <w:szCs w:val="24"/>
          <w:lang w:eastAsia="en-IN"/>
          <w14:ligatures w14:val="none"/>
        </w:rPr>
        <w:t xml:space="preserve"> Integrated with Apple Wallet, offers daily cash back, and has no fees.</w:t>
      </w:r>
    </w:p>
    <w:p w14:paraId="629841E9" w14:textId="77777777" w:rsidR="008C4506" w:rsidRPr="008C4506" w:rsidRDefault="008C4506" w:rsidP="008C4506">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Benefits:</w:t>
      </w:r>
      <w:r w:rsidRPr="008C4506">
        <w:rPr>
          <w:rFonts w:eastAsia="Times New Roman" w:cs="Times New Roman"/>
          <w:kern w:val="0"/>
          <w:sz w:val="24"/>
          <w:szCs w:val="24"/>
          <w:lang w:eastAsia="en-IN"/>
          <w14:ligatures w14:val="none"/>
        </w:rPr>
        <w:t xml:space="preserve"> Enhanced security with Face ID or Touch ID authentication, easy tracking of spending, and instant approval and access to the card in the Apple Wallet.</w:t>
      </w:r>
    </w:p>
    <w:p w14:paraId="06256F20"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Example: Capital One Virtual Card Numbers</w:t>
      </w:r>
    </w:p>
    <w:p w14:paraId="6524CC2E" w14:textId="77777777" w:rsidR="008C4506" w:rsidRPr="008C4506" w:rsidRDefault="008C4506" w:rsidP="008C4506">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Features:</w:t>
      </w:r>
      <w:r w:rsidRPr="008C4506">
        <w:rPr>
          <w:rFonts w:eastAsia="Times New Roman" w:cs="Times New Roman"/>
          <w:kern w:val="0"/>
          <w:sz w:val="24"/>
          <w:szCs w:val="24"/>
          <w:lang w:eastAsia="en-IN"/>
          <w14:ligatures w14:val="none"/>
        </w:rPr>
        <w:t xml:space="preserve"> Provides virtual card numbers for online shopping to protect the actual card information.</w:t>
      </w:r>
    </w:p>
    <w:p w14:paraId="7D89A362" w14:textId="5D9EFB2B" w:rsidR="008C4506" w:rsidRPr="008C4506" w:rsidRDefault="008C4506" w:rsidP="008C4506">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Benefits:</w:t>
      </w:r>
      <w:r w:rsidRPr="008C4506">
        <w:rPr>
          <w:rFonts w:eastAsia="Times New Roman" w:cs="Times New Roman"/>
          <w:kern w:val="0"/>
          <w:sz w:val="24"/>
          <w:szCs w:val="24"/>
          <w:lang w:eastAsia="en-IN"/>
          <w14:ligatures w14:val="none"/>
        </w:rPr>
        <w:t xml:space="preserve"> Allows control over spending limits for each virtual card, easy management through the Capital One app, and added layer of security for online transactions.</w:t>
      </w:r>
    </w:p>
    <w:p w14:paraId="44D07C0B" w14:textId="77777777" w:rsidR="008C4506" w:rsidRPr="008C4506" w:rsidRDefault="008C4506" w:rsidP="008C4506">
      <w:pPr>
        <w:pStyle w:val="Heading2"/>
        <w:rPr>
          <w:rFonts w:eastAsia="Times New Roman"/>
          <w:lang w:eastAsia="en-IN"/>
        </w:rPr>
      </w:pPr>
      <w:r w:rsidRPr="008C4506">
        <w:rPr>
          <w:rFonts w:eastAsia="Times New Roman"/>
          <w:lang w:eastAsia="en-IN"/>
        </w:rPr>
        <w:t>Impact of Credit Cards</w:t>
      </w:r>
    </w:p>
    <w:p w14:paraId="0D338AA4"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kern w:val="0"/>
          <w:sz w:val="24"/>
          <w:szCs w:val="24"/>
          <w:lang w:eastAsia="en-IN"/>
          <w14:ligatures w14:val="none"/>
        </w:rPr>
        <w:t>Credit cards have a substantial impact on the US economy and individuals:</w:t>
      </w:r>
    </w:p>
    <w:p w14:paraId="0D5A647D" w14:textId="77777777" w:rsidR="008C4506" w:rsidRPr="008C4506" w:rsidRDefault="008C4506" w:rsidP="008C4506">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Consumer Spending:</w:t>
      </w:r>
      <w:r w:rsidRPr="008C4506">
        <w:rPr>
          <w:rFonts w:eastAsia="Times New Roman" w:cs="Times New Roman"/>
          <w:kern w:val="0"/>
          <w:sz w:val="24"/>
          <w:szCs w:val="24"/>
          <w:lang w:eastAsia="en-IN"/>
          <w14:ligatures w14:val="none"/>
        </w:rPr>
        <w:t xml:space="preserve"> Credit cards drive consumer spending, which is a major component of economic growth.</w:t>
      </w:r>
    </w:p>
    <w:p w14:paraId="5FCDB7A5" w14:textId="77777777" w:rsidR="008C4506" w:rsidRPr="008C4506" w:rsidRDefault="008C4506" w:rsidP="008C4506">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lastRenderedPageBreak/>
        <w:t>Bank Revenues:</w:t>
      </w:r>
      <w:r w:rsidRPr="008C4506">
        <w:rPr>
          <w:rFonts w:eastAsia="Times New Roman" w:cs="Times New Roman"/>
          <w:kern w:val="0"/>
          <w:sz w:val="24"/>
          <w:szCs w:val="24"/>
          <w:lang w:eastAsia="en-IN"/>
          <w14:ligatures w14:val="none"/>
        </w:rPr>
        <w:t xml:space="preserve"> Banks earn revenue through interest charges, fees, and merchant fees.</w:t>
      </w:r>
    </w:p>
    <w:p w14:paraId="720B2388" w14:textId="77777777" w:rsidR="008C4506" w:rsidRPr="008C4506" w:rsidRDefault="008C4506" w:rsidP="008C4506">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Credit Availability:</w:t>
      </w:r>
      <w:r w:rsidRPr="008C4506">
        <w:rPr>
          <w:rFonts w:eastAsia="Times New Roman" w:cs="Times New Roman"/>
          <w:kern w:val="0"/>
          <w:sz w:val="24"/>
          <w:szCs w:val="24"/>
          <w:lang w:eastAsia="en-IN"/>
          <w14:ligatures w14:val="none"/>
        </w:rPr>
        <w:t xml:space="preserve"> Credit cards make credit more accessible to a broader population.</w:t>
      </w:r>
    </w:p>
    <w:p w14:paraId="305F1C82" w14:textId="77777777" w:rsidR="008C4506" w:rsidRPr="008C4506" w:rsidRDefault="008C4506" w:rsidP="008C4506">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Financial Innovation:</w:t>
      </w:r>
      <w:r w:rsidRPr="008C4506">
        <w:rPr>
          <w:rFonts w:eastAsia="Times New Roman" w:cs="Times New Roman"/>
          <w:kern w:val="0"/>
          <w:sz w:val="24"/>
          <w:szCs w:val="24"/>
          <w:lang w:eastAsia="en-IN"/>
          <w14:ligatures w14:val="none"/>
        </w:rPr>
        <w:t xml:space="preserve"> Credit cards have spurred innovations in payment technology and financial products.</w:t>
      </w:r>
    </w:p>
    <w:p w14:paraId="4BD563B1" w14:textId="77777777" w:rsidR="008C4506" w:rsidRPr="008C4506" w:rsidRDefault="008C4506" w:rsidP="008C4506">
      <w:pPr>
        <w:pStyle w:val="Heading2"/>
        <w:rPr>
          <w:rFonts w:eastAsia="Times New Roman"/>
          <w:lang w:eastAsia="en-IN"/>
        </w:rPr>
      </w:pPr>
      <w:r w:rsidRPr="008C4506">
        <w:rPr>
          <w:rFonts w:eastAsia="Times New Roman"/>
          <w:lang w:eastAsia="en-IN"/>
        </w:rPr>
        <w:t>How Credit Cards Increase Spending</w:t>
      </w:r>
    </w:p>
    <w:p w14:paraId="545E6D8B"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kern w:val="0"/>
          <w:sz w:val="24"/>
          <w:szCs w:val="24"/>
          <w:lang w:eastAsia="en-IN"/>
          <w14:ligatures w14:val="none"/>
        </w:rPr>
        <w:t>Credit cards can encourage increased spending due to several factors:</w:t>
      </w:r>
    </w:p>
    <w:p w14:paraId="459D4B15" w14:textId="77777777" w:rsidR="008C4506" w:rsidRPr="008C4506" w:rsidRDefault="008C4506" w:rsidP="008C4506">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Deferred Payment:</w:t>
      </w:r>
      <w:r w:rsidRPr="008C4506">
        <w:rPr>
          <w:rFonts w:eastAsia="Times New Roman" w:cs="Times New Roman"/>
          <w:kern w:val="0"/>
          <w:sz w:val="24"/>
          <w:szCs w:val="24"/>
          <w:lang w:eastAsia="en-IN"/>
          <w14:ligatures w14:val="none"/>
        </w:rPr>
        <w:t xml:space="preserve"> The ability to buy now and pay later.</w:t>
      </w:r>
    </w:p>
    <w:p w14:paraId="3E563973" w14:textId="77777777" w:rsidR="008C4506" w:rsidRPr="008C4506" w:rsidRDefault="008C4506" w:rsidP="008C4506">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Rewards Programs:</w:t>
      </w:r>
      <w:r w:rsidRPr="008C4506">
        <w:rPr>
          <w:rFonts w:eastAsia="Times New Roman" w:cs="Times New Roman"/>
          <w:kern w:val="0"/>
          <w:sz w:val="24"/>
          <w:szCs w:val="24"/>
          <w:lang w:eastAsia="en-IN"/>
          <w14:ligatures w14:val="none"/>
        </w:rPr>
        <w:t xml:space="preserve"> Incentives that encourage more frequent use.</w:t>
      </w:r>
    </w:p>
    <w:p w14:paraId="0CE6BBEF" w14:textId="77777777" w:rsidR="008C4506" w:rsidRPr="008C4506" w:rsidRDefault="008C4506" w:rsidP="008C4506">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Higher Purchasing Power:</w:t>
      </w:r>
      <w:r w:rsidRPr="008C4506">
        <w:rPr>
          <w:rFonts w:eastAsia="Times New Roman" w:cs="Times New Roman"/>
          <w:kern w:val="0"/>
          <w:sz w:val="24"/>
          <w:szCs w:val="24"/>
          <w:lang w:eastAsia="en-IN"/>
          <w14:ligatures w14:val="none"/>
        </w:rPr>
        <w:t xml:space="preserve"> Increased credit limits boost purchasing capability.</w:t>
      </w:r>
    </w:p>
    <w:p w14:paraId="0AC47A6C" w14:textId="77777777" w:rsidR="008C4506" w:rsidRPr="008C4506" w:rsidRDefault="008C4506" w:rsidP="008C4506">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Psychological Effect:</w:t>
      </w:r>
      <w:r w:rsidRPr="008C4506">
        <w:rPr>
          <w:rFonts w:eastAsia="Times New Roman" w:cs="Times New Roman"/>
          <w:kern w:val="0"/>
          <w:sz w:val="24"/>
          <w:szCs w:val="24"/>
          <w:lang w:eastAsia="en-IN"/>
          <w14:ligatures w14:val="none"/>
        </w:rPr>
        <w:t xml:space="preserve"> The intangible nature of credit makes spending feel less immediate.</w:t>
      </w:r>
    </w:p>
    <w:p w14:paraId="2E99365C" w14:textId="77777777" w:rsidR="008C4506" w:rsidRPr="008C4506" w:rsidRDefault="008C4506" w:rsidP="008C4506">
      <w:pPr>
        <w:pStyle w:val="Heading2"/>
        <w:rPr>
          <w:rFonts w:eastAsia="Times New Roman"/>
          <w:lang w:eastAsia="en-IN"/>
        </w:rPr>
      </w:pPr>
      <w:r w:rsidRPr="008C4506">
        <w:rPr>
          <w:rFonts w:eastAsia="Times New Roman"/>
          <w:lang w:eastAsia="en-IN"/>
        </w:rPr>
        <w:t>Benefits of Credit Cards</w:t>
      </w:r>
    </w:p>
    <w:p w14:paraId="46C738F2" w14:textId="77777777" w:rsidR="008C4506" w:rsidRPr="008C4506" w:rsidRDefault="008C4506" w:rsidP="008C4506">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Convenience:</w:t>
      </w:r>
      <w:r w:rsidRPr="008C4506">
        <w:rPr>
          <w:rFonts w:eastAsia="Times New Roman" w:cs="Times New Roman"/>
          <w:kern w:val="0"/>
          <w:sz w:val="24"/>
          <w:szCs w:val="24"/>
          <w:lang w:eastAsia="en-IN"/>
          <w14:ligatures w14:val="none"/>
        </w:rPr>
        <w:t xml:space="preserve"> Easy and secure way to make purchases, both online and offline.</w:t>
      </w:r>
    </w:p>
    <w:p w14:paraId="63E0675D" w14:textId="77777777" w:rsidR="008C4506" w:rsidRPr="008C4506" w:rsidRDefault="008C4506" w:rsidP="008C4506">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Credit Building:</w:t>
      </w:r>
      <w:r w:rsidRPr="008C4506">
        <w:rPr>
          <w:rFonts w:eastAsia="Times New Roman" w:cs="Times New Roman"/>
          <w:kern w:val="0"/>
          <w:sz w:val="24"/>
          <w:szCs w:val="24"/>
          <w:lang w:eastAsia="en-IN"/>
          <w14:ligatures w14:val="none"/>
        </w:rPr>
        <w:t xml:space="preserve"> Responsible use can help build a positive credit history.</w:t>
      </w:r>
    </w:p>
    <w:p w14:paraId="32EA579E" w14:textId="77777777" w:rsidR="008C4506" w:rsidRPr="008C4506" w:rsidRDefault="008C4506" w:rsidP="008C4506">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Rewards and Benefits:</w:t>
      </w:r>
      <w:r w:rsidRPr="008C4506">
        <w:rPr>
          <w:rFonts w:eastAsia="Times New Roman" w:cs="Times New Roman"/>
          <w:kern w:val="0"/>
          <w:sz w:val="24"/>
          <w:szCs w:val="24"/>
          <w:lang w:eastAsia="en-IN"/>
          <w14:ligatures w14:val="none"/>
        </w:rPr>
        <w:t xml:space="preserve"> Cash back, travel rewards, and other perks.</w:t>
      </w:r>
    </w:p>
    <w:p w14:paraId="63301366" w14:textId="77777777" w:rsidR="008C4506" w:rsidRPr="008C4506" w:rsidRDefault="008C4506" w:rsidP="008C4506">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Consumer Protection:</w:t>
      </w:r>
      <w:r w:rsidRPr="008C4506">
        <w:rPr>
          <w:rFonts w:eastAsia="Times New Roman" w:cs="Times New Roman"/>
          <w:kern w:val="0"/>
          <w:sz w:val="24"/>
          <w:szCs w:val="24"/>
          <w:lang w:eastAsia="en-IN"/>
          <w14:ligatures w14:val="none"/>
        </w:rPr>
        <w:t xml:space="preserve"> Fraud protection, purchase protection, and dispute resolution.</w:t>
      </w:r>
    </w:p>
    <w:p w14:paraId="46652970" w14:textId="77777777" w:rsidR="008C4506" w:rsidRPr="008C4506" w:rsidRDefault="008C4506" w:rsidP="008C4506">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Emergency Fund:</w:t>
      </w:r>
      <w:r w:rsidRPr="008C4506">
        <w:rPr>
          <w:rFonts w:eastAsia="Times New Roman" w:cs="Times New Roman"/>
          <w:kern w:val="0"/>
          <w:sz w:val="24"/>
          <w:szCs w:val="24"/>
          <w:lang w:eastAsia="en-IN"/>
          <w14:ligatures w14:val="none"/>
        </w:rPr>
        <w:t xml:space="preserve"> Immediate access to funds in emergencies.</w:t>
      </w:r>
    </w:p>
    <w:p w14:paraId="31F3916B" w14:textId="77777777" w:rsidR="008C4506" w:rsidRPr="008C4506" w:rsidRDefault="008C4506" w:rsidP="008C4506">
      <w:pPr>
        <w:pStyle w:val="Heading2"/>
        <w:rPr>
          <w:rFonts w:eastAsia="Times New Roman"/>
          <w:lang w:eastAsia="en-IN"/>
        </w:rPr>
      </w:pPr>
      <w:r w:rsidRPr="008C4506">
        <w:rPr>
          <w:rFonts w:eastAsia="Times New Roman"/>
          <w:lang w:eastAsia="en-IN"/>
        </w:rPr>
        <w:t>Risks and Challenges</w:t>
      </w:r>
    </w:p>
    <w:p w14:paraId="681E86A4" w14:textId="77777777" w:rsidR="008C4506" w:rsidRPr="008C4506" w:rsidRDefault="008C4506" w:rsidP="008C4506">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High-Interest Rates:</w:t>
      </w:r>
      <w:r w:rsidRPr="008C4506">
        <w:rPr>
          <w:rFonts w:eastAsia="Times New Roman" w:cs="Times New Roman"/>
          <w:kern w:val="0"/>
          <w:sz w:val="24"/>
          <w:szCs w:val="24"/>
          <w:lang w:eastAsia="en-IN"/>
          <w14:ligatures w14:val="none"/>
        </w:rPr>
        <w:t xml:space="preserve"> Carrying a balance can result in significant interest charges.</w:t>
      </w:r>
    </w:p>
    <w:p w14:paraId="76203A6F" w14:textId="77777777" w:rsidR="008C4506" w:rsidRPr="008C4506" w:rsidRDefault="008C4506" w:rsidP="008C4506">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Debt Accumulation:</w:t>
      </w:r>
      <w:r w:rsidRPr="008C4506">
        <w:rPr>
          <w:rFonts w:eastAsia="Times New Roman" w:cs="Times New Roman"/>
          <w:kern w:val="0"/>
          <w:sz w:val="24"/>
          <w:szCs w:val="24"/>
          <w:lang w:eastAsia="en-IN"/>
          <w14:ligatures w14:val="none"/>
        </w:rPr>
        <w:t xml:space="preserve"> Easy access to credit can lead to excessive debt.</w:t>
      </w:r>
    </w:p>
    <w:p w14:paraId="4D6EB400" w14:textId="77777777" w:rsidR="008C4506" w:rsidRPr="008C4506" w:rsidRDefault="008C4506" w:rsidP="008C4506">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Impact on Credit Score:</w:t>
      </w:r>
      <w:r w:rsidRPr="008C4506">
        <w:rPr>
          <w:rFonts w:eastAsia="Times New Roman" w:cs="Times New Roman"/>
          <w:kern w:val="0"/>
          <w:sz w:val="24"/>
          <w:szCs w:val="24"/>
          <w:lang w:eastAsia="en-IN"/>
          <w14:ligatures w14:val="none"/>
        </w:rPr>
        <w:t xml:space="preserve"> Late payments and high balances can negatively affect credit scores.</w:t>
      </w:r>
    </w:p>
    <w:p w14:paraId="2AFC519F" w14:textId="77777777" w:rsidR="008C4506" w:rsidRPr="008C4506" w:rsidRDefault="008C4506" w:rsidP="008C4506">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Fees:</w:t>
      </w:r>
      <w:r w:rsidRPr="008C4506">
        <w:rPr>
          <w:rFonts w:eastAsia="Times New Roman" w:cs="Times New Roman"/>
          <w:kern w:val="0"/>
          <w:sz w:val="24"/>
          <w:szCs w:val="24"/>
          <w:lang w:eastAsia="en-IN"/>
          <w14:ligatures w14:val="none"/>
        </w:rPr>
        <w:t xml:space="preserve"> Late payment fees, annual fees, and foreign transaction fees.</w:t>
      </w:r>
    </w:p>
    <w:p w14:paraId="2CD410A3" w14:textId="77777777" w:rsidR="008C4506" w:rsidRPr="008C4506" w:rsidRDefault="008C4506" w:rsidP="008C4506">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Fraud Risk:</w:t>
      </w:r>
      <w:r w:rsidRPr="008C4506">
        <w:rPr>
          <w:rFonts w:eastAsia="Times New Roman" w:cs="Times New Roman"/>
          <w:kern w:val="0"/>
          <w:sz w:val="24"/>
          <w:szCs w:val="24"/>
          <w:lang w:eastAsia="en-IN"/>
          <w14:ligatures w14:val="none"/>
        </w:rPr>
        <w:t xml:space="preserve"> Potential for unauthorized use and identity theft.</w:t>
      </w:r>
    </w:p>
    <w:p w14:paraId="5E8F08D1" w14:textId="77777777" w:rsidR="008C4506" w:rsidRPr="008C4506" w:rsidRDefault="008C4506" w:rsidP="008C4506">
      <w:pPr>
        <w:pStyle w:val="Heading2"/>
        <w:rPr>
          <w:rFonts w:eastAsia="Times New Roman"/>
          <w:lang w:eastAsia="en-IN"/>
        </w:rPr>
      </w:pPr>
      <w:r w:rsidRPr="008C4506">
        <w:rPr>
          <w:rFonts w:eastAsia="Times New Roman"/>
          <w:lang w:eastAsia="en-IN"/>
        </w:rPr>
        <w:t>Regulatory Environment</w:t>
      </w:r>
    </w:p>
    <w:p w14:paraId="30521E55" w14:textId="77777777"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kern w:val="0"/>
          <w:sz w:val="24"/>
          <w:szCs w:val="24"/>
          <w:lang w:eastAsia="en-IN"/>
          <w14:ligatures w14:val="none"/>
        </w:rPr>
        <w:t>The credit card industry is regulated to protect consumers and ensure fair practices. Key regulations include:</w:t>
      </w:r>
    </w:p>
    <w:p w14:paraId="596265A4" w14:textId="77777777" w:rsidR="008C4506" w:rsidRPr="008C4506" w:rsidRDefault="008C4506" w:rsidP="008C4506">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Truth in Lending Act (TILA):</w:t>
      </w:r>
      <w:r w:rsidRPr="008C4506">
        <w:rPr>
          <w:rFonts w:eastAsia="Times New Roman" w:cs="Times New Roman"/>
          <w:kern w:val="0"/>
          <w:sz w:val="24"/>
          <w:szCs w:val="24"/>
          <w:lang w:eastAsia="en-IN"/>
          <w14:ligatures w14:val="none"/>
        </w:rPr>
        <w:t xml:space="preserve"> Requires clear disclosure of terms and costs.</w:t>
      </w:r>
    </w:p>
    <w:p w14:paraId="2EE21859" w14:textId="77777777" w:rsidR="008C4506" w:rsidRPr="008C4506" w:rsidRDefault="008C4506" w:rsidP="008C4506">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Credit CARD Act of 2009:</w:t>
      </w:r>
      <w:r w:rsidRPr="008C4506">
        <w:rPr>
          <w:rFonts w:eastAsia="Times New Roman" w:cs="Times New Roman"/>
          <w:kern w:val="0"/>
          <w:sz w:val="24"/>
          <w:szCs w:val="24"/>
          <w:lang w:eastAsia="en-IN"/>
          <w14:ligatures w14:val="none"/>
        </w:rPr>
        <w:t xml:space="preserve"> Enhances consumer protections, including restrictions on interest rate hikes and improved transparency.</w:t>
      </w:r>
    </w:p>
    <w:p w14:paraId="32CCEB05" w14:textId="77777777" w:rsidR="008C4506" w:rsidRPr="008C4506" w:rsidRDefault="008C4506" w:rsidP="008C4506">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t>Fair Credit Billing Act (FCBA):</w:t>
      </w:r>
      <w:r w:rsidRPr="008C4506">
        <w:rPr>
          <w:rFonts w:eastAsia="Times New Roman" w:cs="Times New Roman"/>
          <w:kern w:val="0"/>
          <w:sz w:val="24"/>
          <w:szCs w:val="24"/>
          <w:lang w:eastAsia="en-IN"/>
          <w14:ligatures w14:val="none"/>
        </w:rPr>
        <w:t xml:space="preserve"> Provides guidelines for resolving billing disputes.</w:t>
      </w:r>
    </w:p>
    <w:p w14:paraId="7A60ECBD" w14:textId="77777777" w:rsidR="008C4506" w:rsidRDefault="008C4506" w:rsidP="008C4506">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b/>
          <w:bCs/>
          <w:kern w:val="0"/>
          <w:sz w:val="24"/>
          <w:szCs w:val="24"/>
          <w:lang w:eastAsia="en-IN"/>
          <w14:ligatures w14:val="none"/>
        </w:rPr>
        <w:lastRenderedPageBreak/>
        <w:t>Fair Debt Collection Practices Act (FDCPA):</w:t>
      </w:r>
      <w:r w:rsidRPr="008C4506">
        <w:rPr>
          <w:rFonts w:eastAsia="Times New Roman" w:cs="Times New Roman"/>
          <w:kern w:val="0"/>
          <w:sz w:val="24"/>
          <w:szCs w:val="24"/>
          <w:lang w:eastAsia="en-IN"/>
          <w14:ligatures w14:val="none"/>
        </w:rPr>
        <w:t xml:space="preserve"> Regulates debt collection practices.</w:t>
      </w:r>
    </w:p>
    <w:p w14:paraId="7281D0B5" w14:textId="4293B05C" w:rsidR="008C4506" w:rsidRDefault="008C4506" w:rsidP="008C4506">
      <w:pPr>
        <w:pStyle w:val="Heading1"/>
        <w:rPr>
          <w:rFonts w:eastAsia="Times New Roman"/>
          <w:lang w:eastAsia="en-IN"/>
        </w:rPr>
      </w:pPr>
      <w:r>
        <w:rPr>
          <w:rFonts w:eastAsia="Times New Roman"/>
          <w:lang w:eastAsia="en-IN"/>
        </w:rPr>
        <w:t>Data tables related to Credit Cards</w:t>
      </w:r>
    </w:p>
    <w:p w14:paraId="75E0E53B" w14:textId="171CFC81" w:rsidR="008F76C9" w:rsidRDefault="008F76C9" w:rsidP="008F76C9">
      <w:pPr>
        <w:pStyle w:val="Heading2"/>
        <w:rPr>
          <w:rFonts w:eastAsia="Times New Roman"/>
          <w:lang w:eastAsia="en-IN"/>
        </w:rPr>
      </w:pPr>
      <w:r w:rsidRPr="008F76C9">
        <w:rPr>
          <w:rFonts w:eastAsia="Times New Roman"/>
          <w:lang w:eastAsia="en-IN"/>
        </w:rPr>
        <w:t>Credit Card Ownership by Age Group (2023)</w:t>
      </w:r>
      <w:r w:rsidRPr="008F76C9">
        <w:rPr>
          <w:rFonts w:eastAsia="Times New Roman"/>
          <w:lang w:eastAsia="en-IN"/>
        </w:rPr>
        <w:tab/>
      </w:r>
      <w:r w:rsidRPr="008F76C9">
        <w:rPr>
          <w:rFonts w:eastAsia="Times New Roman"/>
          <w:lang w:eastAsia="en-IN"/>
        </w:rPr>
        <w:tab/>
      </w:r>
      <w:r w:rsidRPr="008F76C9">
        <w:rPr>
          <w:rFonts w:eastAsia="Times New Roman"/>
          <w:lang w:eastAsia="en-IN"/>
        </w:rPr>
        <w:tab/>
      </w:r>
    </w:p>
    <w:tbl>
      <w:tblPr>
        <w:tblStyle w:val="TableGrid"/>
        <w:tblW w:w="4552" w:type="dxa"/>
        <w:tblLook w:val="04A0" w:firstRow="1" w:lastRow="0" w:firstColumn="1" w:lastColumn="0" w:noHBand="0" w:noVBand="1"/>
      </w:tblPr>
      <w:tblGrid>
        <w:gridCol w:w="1748"/>
        <w:gridCol w:w="2804"/>
      </w:tblGrid>
      <w:tr w:rsidR="008F76C9" w:rsidRPr="008F76C9" w14:paraId="2C971A06" w14:textId="77777777" w:rsidTr="008F76C9">
        <w:trPr>
          <w:trHeight w:val="1038"/>
        </w:trPr>
        <w:tc>
          <w:tcPr>
            <w:tcW w:w="1748" w:type="dxa"/>
            <w:hideMark/>
          </w:tcPr>
          <w:p w14:paraId="3AF01EC4" w14:textId="77777777" w:rsidR="008F76C9" w:rsidRPr="008F76C9" w:rsidRDefault="008F76C9">
            <w:pPr>
              <w:jc w:val="center"/>
              <w:rPr>
                <w:rFonts w:ascii="Aptos Narrow" w:hAnsi="Aptos Narrow"/>
                <w:b/>
                <w:bCs/>
                <w:color w:val="000000"/>
                <w:sz w:val="24"/>
                <w:szCs w:val="24"/>
              </w:rPr>
            </w:pPr>
            <w:r w:rsidRPr="008F76C9">
              <w:rPr>
                <w:rFonts w:ascii="Aptos Narrow" w:hAnsi="Aptos Narrow"/>
                <w:b/>
                <w:bCs/>
                <w:color w:val="000000"/>
                <w:sz w:val="24"/>
                <w:szCs w:val="24"/>
              </w:rPr>
              <w:t>Age Group</w:t>
            </w:r>
          </w:p>
        </w:tc>
        <w:tc>
          <w:tcPr>
            <w:tcW w:w="2804" w:type="dxa"/>
            <w:hideMark/>
          </w:tcPr>
          <w:p w14:paraId="28D91F6B" w14:textId="77777777" w:rsidR="008F76C9" w:rsidRPr="008F76C9" w:rsidRDefault="008F76C9">
            <w:pPr>
              <w:jc w:val="center"/>
              <w:rPr>
                <w:rFonts w:ascii="Aptos Narrow" w:hAnsi="Aptos Narrow"/>
                <w:b/>
                <w:bCs/>
                <w:color w:val="000000"/>
                <w:sz w:val="24"/>
                <w:szCs w:val="24"/>
              </w:rPr>
            </w:pPr>
            <w:r w:rsidRPr="008F76C9">
              <w:rPr>
                <w:rFonts w:ascii="Aptos Narrow" w:hAnsi="Aptos Narrow"/>
                <w:b/>
                <w:bCs/>
                <w:color w:val="000000"/>
                <w:sz w:val="24"/>
                <w:szCs w:val="24"/>
              </w:rPr>
              <w:t>Percentage of Population with Credit Cards</w:t>
            </w:r>
          </w:p>
        </w:tc>
      </w:tr>
      <w:tr w:rsidR="008F76C9" w:rsidRPr="008F76C9" w14:paraId="65184885" w14:textId="77777777" w:rsidTr="008F76C9">
        <w:trPr>
          <w:trHeight w:val="346"/>
        </w:trPr>
        <w:tc>
          <w:tcPr>
            <w:tcW w:w="1748" w:type="dxa"/>
            <w:hideMark/>
          </w:tcPr>
          <w:p w14:paraId="3BCE1CF7" w14:textId="77777777" w:rsidR="008F76C9" w:rsidRPr="008F76C9" w:rsidRDefault="008F76C9">
            <w:pPr>
              <w:rPr>
                <w:rFonts w:ascii="Aptos Narrow" w:hAnsi="Aptos Narrow"/>
                <w:color w:val="000000"/>
                <w:sz w:val="24"/>
                <w:szCs w:val="24"/>
              </w:rPr>
            </w:pPr>
            <w:r w:rsidRPr="008F76C9">
              <w:rPr>
                <w:rFonts w:ascii="Aptos Narrow" w:hAnsi="Aptos Narrow"/>
                <w:color w:val="000000"/>
                <w:sz w:val="24"/>
                <w:szCs w:val="24"/>
              </w:rPr>
              <w:t>18-24 years</w:t>
            </w:r>
          </w:p>
        </w:tc>
        <w:tc>
          <w:tcPr>
            <w:tcW w:w="2804" w:type="dxa"/>
            <w:hideMark/>
          </w:tcPr>
          <w:p w14:paraId="6D39FFD4" w14:textId="77777777" w:rsidR="008F76C9" w:rsidRPr="008F76C9" w:rsidRDefault="008F76C9">
            <w:pPr>
              <w:jc w:val="right"/>
              <w:rPr>
                <w:rFonts w:ascii="Aptos Narrow" w:hAnsi="Aptos Narrow"/>
                <w:color w:val="000000"/>
                <w:sz w:val="24"/>
                <w:szCs w:val="24"/>
              </w:rPr>
            </w:pPr>
            <w:r w:rsidRPr="008F76C9">
              <w:rPr>
                <w:rFonts w:ascii="Aptos Narrow" w:hAnsi="Aptos Narrow"/>
                <w:color w:val="000000"/>
                <w:sz w:val="24"/>
                <w:szCs w:val="24"/>
              </w:rPr>
              <w:t>59%</w:t>
            </w:r>
          </w:p>
        </w:tc>
      </w:tr>
      <w:tr w:rsidR="008F76C9" w:rsidRPr="008F76C9" w14:paraId="74227F12" w14:textId="77777777" w:rsidTr="008F76C9">
        <w:trPr>
          <w:trHeight w:val="346"/>
        </w:trPr>
        <w:tc>
          <w:tcPr>
            <w:tcW w:w="1748" w:type="dxa"/>
            <w:hideMark/>
          </w:tcPr>
          <w:p w14:paraId="6FA314B8" w14:textId="77777777" w:rsidR="008F76C9" w:rsidRPr="008F76C9" w:rsidRDefault="008F76C9">
            <w:pPr>
              <w:rPr>
                <w:rFonts w:ascii="Aptos Narrow" w:hAnsi="Aptos Narrow"/>
                <w:color w:val="000000"/>
                <w:sz w:val="24"/>
                <w:szCs w:val="24"/>
              </w:rPr>
            </w:pPr>
            <w:r w:rsidRPr="008F76C9">
              <w:rPr>
                <w:rFonts w:ascii="Aptos Narrow" w:hAnsi="Aptos Narrow"/>
                <w:color w:val="000000"/>
                <w:sz w:val="24"/>
                <w:szCs w:val="24"/>
              </w:rPr>
              <w:t>25-34 years</w:t>
            </w:r>
          </w:p>
        </w:tc>
        <w:tc>
          <w:tcPr>
            <w:tcW w:w="2804" w:type="dxa"/>
            <w:hideMark/>
          </w:tcPr>
          <w:p w14:paraId="5E5EC117" w14:textId="77777777" w:rsidR="008F76C9" w:rsidRPr="008F76C9" w:rsidRDefault="008F76C9">
            <w:pPr>
              <w:jc w:val="right"/>
              <w:rPr>
                <w:rFonts w:ascii="Aptos Narrow" w:hAnsi="Aptos Narrow"/>
                <w:color w:val="000000"/>
                <w:sz w:val="24"/>
                <w:szCs w:val="24"/>
              </w:rPr>
            </w:pPr>
            <w:r w:rsidRPr="008F76C9">
              <w:rPr>
                <w:rFonts w:ascii="Aptos Narrow" w:hAnsi="Aptos Narrow"/>
                <w:color w:val="000000"/>
                <w:sz w:val="24"/>
                <w:szCs w:val="24"/>
              </w:rPr>
              <w:t>77%</w:t>
            </w:r>
          </w:p>
        </w:tc>
      </w:tr>
      <w:tr w:rsidR="008F76C9" w:rsidRPr="008F76C9" w14:paraId="4C4F9487" w14:textId="77777777" w:rsidTr="008F76C9">
        <w:trPr>
          <w:trHeight w:val="346"/>
        </w:trPr>
        <w:tc>
          <w:tcPr>
            <w:tcW w:w="1748" w:type="dxa"/>
            <w:hideMark/>
          </w:tcPr>
          <w:p w14:paraId="6A71CF12" w14:textId="77777777" w:rsidR="008F76C9" w:rsidRPr="008F76C9" w:rsidRDefault="008F76C9">
            <w:pPr>
              <w:rPr>
                <w:rFonts w:ascii="Aptos Narrow" w:hAnsi="Aptos Narrow"/>
                <w:color w:val="000000"/>
                <w:sz w:val="24"/>
                <w:szCs w:val="24"/>
              </w:rPr>
            </w:pPr>
            <w:r w:rsidRPr="008F76C9">
              <w:rPr>
                <w:rFonts w:ascii="Aptos Narrow" w:hAnsi="Aptos Narrow"/>
                <w:color w:val="000000"/>
                <w:sz w:val="24"/>
                <w:szCs w:val="24"/>
              </w:rPr>
              <w:t>35-44 years</w:t>
            </w:r>
          </w:p>
        </w:tc>
        <w:tc>
          <w:tcPr>
            <w:tcW w:w="2804" w:type="dxa"/>
            <w:hideMark/>
          </w:tcPr>
          <w:p w14:paraId="2B21D75B" w14:textId="77777777" w:rsidR="008F76C9" w:rsidRPr="008F76C9" w:rsidRDefault="008F76C9">
            <w:pPr>
              <w:jc w:val="right"/>
              <w:rPr>
                <w:rFonts w:ascii="Aptos Narrow" w:hAnsi="Aptos Narrow"/>
                <w:color w:val="000000"/>
                <w:sz w:val="24"/>
                <w:szCs w:val="24"/>
              </w:rPr>
            </w:pPr>
            <w:r w:rsidRPr="008F76C9">
              <w:rPr>
                <w:rFonts w:ascii="Aptos Narrow" w:hAnsi="Aptos Narrow"/>
                <w:color w:val="000000"/>
                <w:sz w:val="24"/>
                <w:szCs w:val="24"/>
              </w:rPr>
              <w:t>83%</w:t>
            </w:r>
          </w:p>
        </w:tc>
      </w:tr>
      <w:tr w:rsidR="008F76C9" w:rsidRPr="008F76C9" w14:paraId="688EC9F7" w14:textId="77777777" w:rsidTr="008F76C9">
        <w:trPr>
          <w:trHeight w:val="346"/>
        </w:trPr>
        <w:tc>
          <w:tcPr>
            <w:tcW w:w="1748" w:type="dxa"/>
            <w:hideMark/>
          </w:tcPr>
          <w:p w14:paraId="2401CA0C" w14:textId="77777777" w:rsidR="008F76C9" w:rsidRPr="008F76C9" w:rsidRDefault="008F76C9">
            <w:pPr>
              <w:rPr>
                <w:rFonts w:ascii="Aptos Narrow" w:hAnsi="Aptos Narrow"/>
                <w:color w:val="000000"/>
                <w:sz w:val="24"/>
                <w:szCs w:val="24"/>
              </w:rPr>
            </w:pPr>
            <w:r w:rsidRPr="008F76C9">
              <w:rPr>
                <w:rFonts w:ascii="Aptos Narrow" w:hAnsi="Aptos Narrow"/>
                <w:color w:val="000000"/>
                <w:sz w:val="24"/>
                <w:szCs w:val="24"/>
              </w:rPr>
              <w:t>45-54 years</w:t>
            </w:r>
          </w:p>
        </w:tc>
        <w:tc>
          <w:tcPr>
            <w:tcW w:w="2804" w:type="dxa"/>
            <w:hideMark/>
          </w:tcPr>
          <w:p w14:paraId="73B10161" w14:textId="77777777" w:rsidR="008F76C9" w:rsidRPr="008F76C9" w:rsidRDefault="008F76C9">
            <w:pPr>
              <w:jc w:val="right"/>
              <w:rPr>
                <w:rFonts w:ascii="Aptos Narrow" w:hAnsi="Aptos Narrow"/>
                <w:color w:val="000000"/>
                <w:sz w:val="24"/>
                <w:szCs w:val="24"/>
              </w:rPr>
            </w:pPr>
            <w:r w:rsidRPr="008F76C9">
              <w:rPr>
                <w:rFonts w:ascii="Aptos Narrow" w:hAnsi="Aptos Narrow"/>
                <w:color w:val="000000"/>
                <w:sz w:val="24"/>
                <w:szCs w:val="24"/>
              </w:rPr>
              <w:t>86%</w:t>
            </w:r>
          </w:p>
        </w:tc>
      </w:tr>
      <w:tr w:rsidR="008F76C9" w:rsidRPr="008F76C9" w14:paraId="492260A5" w14:textId="77777777" w:rsidTr="008F76C9">
        <w:trPr>
          <w:trHeight w:val="346"/>
        </w:trPr>
        <w:tc>
          <w:tcPr>
            <w:tcW w:w="1748" w:type="dxa"/>
            <w:hideMark/>
          </w:tcPr>
          <w:p w14:paraId="48E6FFF1" w14:textId="77777777" w:rsidR="008F76C9" w:rsidRPr="008F76C9" w:rsidRDefault="008F76C9">
            <w:pPr>
              <w:rPr>
                <w:rFonts w:ascii="Aptos Narrow" w:hAnsi="Aptos Narrow"/>
                <w:color w:val="000000"/>
                <w:sz w:val="24"/>
                <w:szCs w:val="24"/>
              </w:rPr>
            </w:pPr>
            <w:r w:rsidRPr="008F76C9">
              <w:rPr>
                <w:rFonts w:ascii="Aptos Narrow" w:hAnsi="Aptos Narrow"/>
                <w:color w:val="000000"/>
                <w:sz w:val="24"/>
                <w:szCs w:val="24"/>
              </w:rPr>
              <w:t>55-64 years</w:t>
            </w:r>
          </w:p>
        </w:tc>
        <w:tc>
          <w:tcPr>
            <w:tcW w:w="2804" w:type="dxa"/>
            <w:hideMark/>
          </w:tcPr>
          <w:p w14:paraId="60F59A03" w14:textId="77777777" w:rsidR="008F76C9" w:rsidRPr="008F76C9" w:rsidRDefault="008F76C9">
            <w:pPr>
              <w:jc w:val="right"/>
              <w:rPr>
                <w:rFonts w:ascii="Aptos Narrow" w:hAnsi="Aptos Narrow"/>
                <w:color w:val="000000"/>
                <w:sz w:val="24"/>
                <w:szCs w:val="24"/>
              </w:rPr>
            </w:pPr>
            <w:r w:rsidRPr="008F76C9">
              <w:rPr>
                <w:rFonts w:ascii="Aptos Narrow" w:hAnsi="Aptos Narrow"/>
                <w:color w:val="000000"/>
                <w:sz w:val="24"/>
                <w:szCs w:val="24"/>
              </w:rPr>
              <w:t>89%</w:t>
            </w:r>
          </w:p>
        </w:tc>
      </w:tr>
      <w:tr w:rsidR="008F76C9" w:rsidRPr="008F76C9" w14:paraId="5751617E" w14:textId="77777777" w:rsidTr="008F76C9">
        <w:trPr>
          <w:trHeight w:val="172"/>
        </w:trPr>
        <w:tc>
          <w:tcPr>
            <w:tcW w:w="1748" w:type="dxa"/>
            <w:hideMark/>
          </w:tcPr>
          <w:p w14:paraId="46E287F0" w14:textId="77777777" w:rsidR="008F76C9" w:rsidRPr="008F76C9" w:rsidRDefault="008F76C9">
            <w:pPr>
              <w:rPr>
                <w:rFonts w:ascii="Aptos Narrow" w:hAnsi="Aptos Narrow"/>
                <w:color w:val="000000"/>
                <w:sz w:val="24"/>
                <w:szCs w:val="24"/>
              </w:rPr>
            </w:pPr>
            <w:r w:rsidRPr="008F76C9">
              <w:rPr>
                <w:rFonts w:ascii="Aptos Narrow" w:hAnsi="Aptos Narrow"/>
                <w:color w:val="000000"/>
                <w:sz w:val="24"/>
                <w:szCs w:val="24"/>
              </w:rPr>
              <w:t>65+ years</w:t>
            </w:r>
          </w:p>
        </w:tc>
        <w:tc>
          <w:tcPr>
            <w:tcW w:w="2804" w:type="dxa"/>
            <w:hideMark/>
          </w:tcPr>
          <w:p w14:paraId="7B85CE89" w14:textId="77777777" w:rsidR="008F76C9" w:rsidRPr="008F76C9" w:rsidRDefault="008F76C9">
            <w:pPr>
              <w:jc w:val="right"/>
              <w:rPr>
                <w:rFonts w:ascii="Aptos Narrow" w:hAnsi="Aptos Narrow"/>
                <w:color w:val="000000"/>
                <w:sz w:val="24"/>
                <w:szCs w:val="24"/>
              </w:rPr>
            </w:pPr>
            <w:r w:rsidRPr="008F76C9">
              <w:rPr>
                <w:rFonts w:ascii="Aptos Narrow" w:hAnsi="Aptos Narrow"/>
                <w:color w:val="000000"/>
                <w:sz w:val="24"/>
                <w:szCs w:val="24"/>
              </w:rPr>
              <w:t>91%</w:t>
            </w:r>
          </w:p>
        </w:tc>
      </w:tr>
    </w:tbl>
    <w:p w14:paraId="4B3C0243" w14:textId="497C61C2" w:rsidR="008F76C9" w:rsidRPr="008F76C9" w:rsidRDefault="008F76C9" w:rsidP="008F76C9">
      <w:pPr>
        <w:rPr>
          <w:lang w:eastAsia="en-IN"/>
        </w:rPr>
      </w:pPr>
      <w:r>
        <w:rPr>
          <w:noProof/>
        </w:rPr>
        <w:drawing>
          <wp:inline distT="0" distB="0" distL="0" distR="0" wp14:anchorId="43BF27E4" wp14:editId="176A3C8F">
            <wp:extent cx="4572000" cy="2743200"/>
            <wp:effectExtent l="0" t="0" r="0" b="0"/>
            <wp:docPr id="1492787042" name="Chart 1">
              <a:extLst xmlns:a="http://schemas.openxmlformats.org/drawingml/2006/main">
                <a:ext uri="{FF2B5EF4-FFF2-40B4-BE49-F238E27FC236}">
                  <a16:creationId xmlns:a16="http://schemas.microsoft.com/office/drawing/2014/main" id="{77F0ADDC-A8A2-C66E-973C-796831C52C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D8E5AD" w14:textId="0D0E6393" w:rsidR="008C4506" w:rsidRDefault="008F76C9" w:rsidP="008C4506">
      <w:pPr>
        <w:spacing w:before="100" w:beforeAutospacing="1" w:after="100" w:afterAutospacing="1" w:line="240" w:lineRule="auto"/>
        <w:rPr>
          <w:rFonts w:eastAsia="Times New Roman" w:cs="Times New Roman"/>
          <w:b/>
          <w:bCs/>
          <w:kern w:val="0"/>
          <w:sz w:val="24"/>
          <w:szCs w:val="24"/>
          <w:lang w:eastAsia="en-IN"/>
          <w14:ligatures w14:val="none"/>
        </w:rPr>
      </w:pPr>
      <w:r w:rsidRPr="008F76C9">
        <w:rPr>
          <w:rFonts w:eastAsia="Times New Roman" w:cs="Times New Roman"/>
          <w:b/>
          <w:bCs/>
          <w:kern w:val="0"/>
          <w:sz w:val="24"/>
          <w:szCs w:val="24"/>
          <w:lang w:eastAsia="en-IN"/>
          <w14:ligatures w14:val="none"/>
        </w:rPr>
        <w:t>Interpretation</w:t>
      </w:r>
    </w:p>
    <w:p w14:paraId="5B7D0E64" w14:textId="56172264" w:rsidR="008F76C9" w:rsidRPr="008F76C9" w:rsidRDefault="008F76C9" w:rsidP="008C4506">
      <w:pPr>
        <w:spacing w:before="100" w:beforeAutospacing="1" w:after="100" w:afterAutospacing="1" w:line="240" w:lineRule="auto"/>
        <w:rPr>
          <w:sz w:val="24"/>
          <w:szCs w:val="24"/>
        </w:rPr>
      </w:pPr>
      <w:r w:rsidRPr="008F76C9">
        <w:rPr>
          <w:sz w:val="24"/>
          <w:szCs w:val="24"/>
        </w:rPr>
        <w:t>As people get older, the likelihood of having a credit card increases significantly. While 59% of young adults aged 18-24 have credit cards, this figure rises steadily with age, reaching 91% among those aged 65 and older. This trend reflects growing financial independence and credit needs as people progress through different life stages.</w:t>
      </w:r>
    </w:p>
    <w:p w14:paraId="0591E82D" w14:textId="77777777" w:rsidR="008F76C9" w:rsidRDefault="008F76C9" w:rsidP="008C4506">
      <w:pPr>
        <w:spacing w:before="100" w:beforeAutospacing="1" w:after="100" w:afterAutospacing="1" w:line="240" w:lineRule="auto"/>
        <w:rPr>
          <w:rFonts w:eastAsia="Times New Roman" w:cs="Times New Roman"/>
          <w:b/>
          <w:bCs/>
          <w:kern w:val="0"/>
          <w:sz w:val="24"/>
          <w:szCs w:val="24"/>
          <w:lang w:eastAsia="en-IN"/>
          <w14:ligatures w14:val="none"/>
        </w:rPr>
      </w:pPr>
    </w:p>
    <w:p w14:paraId="6614F946" w14:textId="77777777" w:rsidR="008F76C9" w:rsidRPr="008C4506" w:rsidRDefault="008F76C9" w:rsidP="008C4506">
      <w:pPr>
        <w:spacing w:before="100" w:beforeAutospacing="1" w:after="100" w:afterAutospacing="1" w:line="240" w:lineRule="auto"/>
        <w:rPr>
          <w:rFonts w:eastAsia="Times New Roman" w:cs="Times New Roman"/>
          <w:b/>
          <w:bCs/>
          <w:kern w:val="0"/>
          <w:sz w:val="24"/>
          <w:szCs w:val="24"/>
          <w:lang w:eastAsia="en-IN"/>
          <w14:ligatures w14:val="none"/>
        </w:rPr>
      </w:pPr>
    </w:p>
    <w:p w14:paraId="13EAD5ED" w14:textId="4DABDACE" w:rsidR="008F76C9" w:rsidRDefault="008F76C9" w:rsidP="008F76C9">
      <w:pPr>
        <w:pStyle w:val="Heading2"/>
        <w:rPr>
          <w:rFonts w:eastAsia="Times New Roman"/>
          <w:lang w:eastAsia="en-IN"/>
        </w:rPr>
      </w:pPr>
      <w:r w:rsidRPr="008F76C9">
        <w:rPr>
          <w:rFonts w:eastAsia="Times New Roman"/>
          <w:lang w:eastAsia="en-IN"/>
        </w:rPr>
        <w:lastRenderedPageBreak/>
        <w:t>Average Credit Card Interest Rates (2023)</w:t>
      </w:r>
    </w:p>
    <w:tbl>
      <w:tblPr>
        <w:tblStyle w:val="TableGrid"/>
        <w:tblW w:w="3103" w:type="dxa"/>
        <w:tblLook w:val="04A0" w:firstRow="1" w:lastRow="0" w:firstColumn="1" w:lastColumn="0" w:noHBand="0" w:noVBand="1"/>
      </w:tblPr>
      <w:tblGrid>
        <w:gridCol w:w="1391"/>
        <w:gridCol w:w="1712"/>
      </w:tblGrid>
      <w:tr w:rsidR="008F76C9" w:rsidRPr="008F76C9" w14:paraId="4273690D" w14:textId="77777777" w:rsidTr="008F76C9">
        <w:trPr>
          <w:trHeight w:val="875"/>
        </w:trPr>
        <w:tc>
          <w:tcPr>
            <w:tcW w:w="1391" w:type="dxa"/>
            <w:hideMark/>
          </w:tcPr>
          <w:p w14:paraId="7DCD3189" w14:textId="77777777" w:rsidR="008F76C9" w:rsidRPr="008F76C9" w:rsidRDefault="008F76C9" w:rsidP="008F76C9">
            <w:pPr>
              <w:jc w:val="center"/>
              <w:rPr>
                <w:rFonts w:ascii="Aptos Narrow" w:eastAsia="Times New Roman" w:hAnsi="Aptos Narrow" w:cs="Times New Roman"/>
                <w:b/>
                <w:bCs/>
                <w:color w:val="000000"/>
                <w:kern w:val="0"/>
                <w:lang w:eastAsia="en-IN"/>
                <w14:ligatures w14:val="none"/>
              </w:rPr>
            </w:pPr>
            <w:r w:rsidRPr="008F76C9">
              <w:rPr>
                <w:rFonts w:ascii="Aptos Narrow" w:eastAsia="Times New Roman" w:hAnsi="Aptos Narrow" w:cs="Times New Roman"/>
                <w:b/>
                <w:bCs/>
                <w:color w:val="000000"/>
                <w:kern w:val="0"/>
                <w:lang w:eastAsia="en-IN"/>
                <w14:ligatures w14:val="none"/>
              </w:rPr>
              <w:t>Credit Card Type</w:t>
            </w:r>
          </w:p>
        </w:tc>
        <w:tc>
          <w:tcPr>
            <w:tcW w:w="1712" w:type="dxa"/>
            <w:hideMark/>
          </w:tcPr>
          <w:p w14:paraId="43F25353" w14:textId="77777777" w:rsidR="008F76C9" w:rsidRPr="008F76C9" w:rsidRDefault="008F76C9" w:rsidP="008F76C9">
            <w:pPr>
              <w:jc w:val="center"/>
              <w:rPr>
                <w:rFonts w:ascii="Aptos Narrow" w:eastAsia="Times New Roman" w:hAnsi="Aptos Narrow" w:cs="Times New Roman"/>
                <w:b/>
                <w:bCs/>
                <w:color w:val="000000"/>
                <w:kern w:val="0"/>
                <w:lang w:eastAsia="en-IN"/>
                <w14:ligatures w14:val="none"/>
              </w:rPr>
            </w:pPr>
            <w:r w:rsidRPr="008F76C9">
              <w:rPr>
                <w:rFonts w:ascii="Aptos Narrow" w:eastAsia="Times New Roman" w:hAnsi="Aptos Narrow" w:cs="Times New Roman"/>
                <w:b/>
                <w:bCs/>
                <w:color w:val="000000"/>
                <w:kern w:val="0"/>
                <w:lang w:eastAsia="en-IN"/>
                <w14:ligatures w14:val="none"/>
              </w:rPr>
              <w:t>Average Annual Percentage Rate (APR)</w:t>
            </w:r>
          </w:p>
        </w:tc>
      </w:tr>
      <w:tr w:rsidR="008F76C9" w:rsidRPr="008F76C9" w14:paraId="7E75AB10" w14:textId="77777777" w:rsidTr="008F76C9">
        <w:trPr>
          <w:trHeight w:val="525"/>
        </w:trPr>
        <w:tc>
          <w:tcPr>
            <w:tcW w:w="1391" w:type="dxa"/>
            <w:hideMark/>
          </w:tcPr>
          <w:p w14:paraId="6091DFA7" w14:textId="77777777" w:rsidR="008F76C9" w:rsidRPr="008F76C9" w:rsidRDefault="008F76C9" w:rsidP="008F76C9">
            <w:pPr>
              <w:rPr>
                <w:rFonts w:ascii="Aptos Narrow" w:eastAsia="Times New Roman" w:hAnsi="Aptos Narrow" w:cs="Times New Roman"/>
                <w:color w:val="000000"/>
                <w:kern w:val="0"/>
                <w:lang w:eastAsia="en-IN"/>
                <w14:ligatures w14:val="none"/>
              </w:rPr>
            </w:pPr>
            <w:r w:rsidRPr="008F76C9">
              <w:rPr>
                <w:rFonts w:ascii="Aptos Narrow" w:eastAsia="Times New Roman" w:hAnsi="Aptos Narrow" w:cs="Times New Roman"/>
                <w:color w:val="000000"/>
                <w:kern w:val="0"/>
                <w:lang w:eastAsia="en-IN"/>
                <w14:ligatures w14:val="none"/>
              </w:rPr>
              <w:t>Standard Credit Cards</w:t>
            </w:r>
          </w:p>
        </w:tc>
        <w:tc>
          <w:tcPr>
            <w:tcW w:w="1712" w:type="dxa"/>
            <w:hideMark/>
          </w:tcPr>
          <w:p w14:paraId="573DF1E4" w14:textId="77777777" w:rsidR="008F76C9" w:rsidRPr="008F76C9" w:rsidRDefault="008F76C9" w:rsidP="008F76C9">
            <w:pPr>
              <w:jc w:val="right"/>
              <w:rPr>
                <w:rFonts w:ascii="Aptos Narrow" w:eastAsia="Times New Roman" w:hAnsi="Aptos Narrow" w:cs="Times New Roman"/>
                <w:color w:val="000000"/>
                <w:kern w:val="0"/>
                <w:lang w:eastAsia="en-IN"/>
                <w14:ligatures w14:val="none"/>
              </w:rPr>
            </w:pPr>
            <w:r w:rsidRPr="008F76C9">
              <w:rPr>
                <w:rFonts w:ascii="Aptos Narrow" w:eastAsia="Times New Roman" w:hAnsi="Aptos Narrow" w:cs="Times New Roman"/>
                <w:color w:val="000000"/>
                <w:kern w:val="0"/>
                <w:lang w:eastAsia="en-IN"/>
                <w14:ligatures w14:val="none"/>
              </w:rPr>
              <w:t>16.88%</w:t>
            </w:r>
          </w:p>
        </w:tc>
      </w:tr>
      <w:tr w:rsidR="008F76C9" w:rsidRPr="008F76C9" w14:paraId="1A48C08E" w14:textId="77777777" w:rsidTr="008F76C9">
        <w:trPr>
          <w:trHeight w:val="525"/>
        </w:trPr>
        <w:tc>
          <w:tcPr>
            <w:tcW w:w="1391" w:type="dxa"/>
            <w:hideMark/>
          </w:tcPr>
          <w:p w14:paraId="033092F5" w14:textId="77777777" w:rsidR="008F76C9" w:rsidRPr="008F76C9" w:rsidRDefault="008F76C9" w:rsidP="008F76C9">
            <w:pPr>
              <w:rPr>
                <w:rFonts w:ascii="Aptos Narrow" w:eastAsia="Times New Roman" w:hAnsi="Aptos Narrow" w:cs="Times New Roman"/>
                <w:color w:val="000000"/>
                <w:kern w:val="0"/>
                <w:lang w:eastAsia="en-IN"/>
                <w14:ligatures w14:val="none"/>
              </w:rPr>
            </w:pPr>
            <w:r w:rsidRPr="008F76C9">
              <w:rPr>
                <w:rFonts w:ascii="Aptos Narrow" w:eastAsia="Times New Roman" w:hAnsi="Aptos Narrow" w:cs="Times New Roman"/>
                <w:color w:val="000000"/>
                <w:kern w:val="0"/>
                <w:lang w:eastAsia="en-IN"/>
                <w14:ligatures w14:val="none"/>
              </w:rPr>
              <w:t>Rewards Credit Cards</w:t>
            </w:r>
          </w:p>
        </w:tc>
        <w:tc>
          <w:tcPr>
            <w:tcW w:w="1712" w:type="dxa"/>
            <w:hideMark/>
          </w:tcPr>
          <w:p w14:paraId="79826424" w14:textId="77777777" w:rsidR="008F76C9" w:rsidRPr="008F76C9" w:rsidRDefault="008F76C9" w:rsidP="008F76C9">
            <w:pPr>
              <w:jc w:val="right"/>
              <w:rPr>
                <w:rFonts w:ascii="Aptos Narrow" w:eastAsia="Times New Roman" w:hAnsi="Aptos Narrow" w:cs="Times New Roman"/>
                <w:color w:val="000000"/>
                <w:kern w:val="0"/>
                <w:lang w:eastAsia="en-IN"/>
                <w14:ligatures w14:val="none"/>
              </w:rPr>
            </w:pPr>
            <w:r w:rsidRPr="008F76C9">
              <w:rPr>
                <w:rFonts w:ascii="Aptos Narrow" w:eastAsia="Times New Roman" w:hAnsi="Aptos Narrow" w:cs="Times New Roman"/>
                <w:color w:val="000000"/>
                <w:kern w:val="0"/>
                <w:lang w:eastAsia="en-IN"/>
                <w14:ligatures w14:val="none"/>
              </w:rPr>
              <w:t>17.73%</w:t>
            </w:r>
          </w:p>
        </w:tc>
      </w:tr>
      <w:tr w:rsidR="008F76C9" w:rsidRPr="008F76C9" w14:paraId="2D52E426" w14:textId="77777777" w:rsidTr="008F76C9">
        <w:trPr>
          <w:trHeight w:val="525"/>
        </w:trPr>
        <w:tc>
          <w:tcPr>
            <w:tcW w:w="1391" w:type="dxa"/>
            <w:hideMark/>
          </w:tcPr>
          <w:p w14:paraId="740FBB5C" w14:textId="77777777" w:rsidR="008F76C9" w:rsidRPr="008F76C9" w:rsidRDefault="008F76C9" w:rsidP="008F76C9">
            <w:pPr>
              <w:rPr>
                <w:rFonts w:ascii="Aptos Narrow" w:eastAsia="Times New Roman" w:hAnsi="Aptos Narrow" w:cs="Times New Roman"/>
                <w:color w:val="000000"/>
                <w:kern w:val="0"/>
                <w:lang w:eastAsia="en-IN"/>
                <w14:ligatures w14:val="none"/>
              </w:rPr>
            </w:pPr>
            <w:r w:rsidRPr="008F76C9">
              <w:rPr>
                <w:rFonts w:ascii="Aptos Narrow" w:eastAsia="Times New Roman" w:hAnsi="Aptos Narrow" w:cs="Times New Roman"/>
                <w:color w:val="000000"/>
                <w:kern w:val="0"/>
                <w:lang w:eastAsia="en-IN"/>
                <w14:ligatures w14:val="none"/>
              </w:rPr>
              <w:t>Secured Credit Cards</w:t>
            </w:r>
          </w:p>
        </w:tc>
        <w:tc>
          <w:tcPr>
            <w:tcW w:w="1712" w:type="dxa"/>
            <w:hideMark/>
          </w:tcPr>
          <w:p w14:paraId="1A93A5F8" w14:textId="77777777" w:rsidR="008F76C9" w:rsidRPr="008F76C9" w:rsidRDefault="008F76C9" w:rsidP="008F76C9">
            <w:pPr>
              <w:jc w:val="right"/>
              <w:rPr>
                <w:rFonts w:ascii="Aptos Narrow" w:eastAsia="Times New Roman" w:hAnsi="Aptos Narrow" w:cs="Times New Roman"/>
                <w:color w:val="000000"/>
                <w:kern w:val="0"/>
                <w:lang w:eastAsia="en-IN"/>
                <w14:ligatures w14:val="none"/>
              </w:rPr>
            </w:pPr>
            <w:r w:rsidRPr="008F76C9">
              <w:rPr>
                <w:rFonts w:ascii="Aptos Narrow" w:eastAsia="Times New Roman" w:hAnsi="Aptos Narrow" w:cs="Times New Roman"/>
                <w:color w:val="000000"/>
                <w:kern w:val="0"/>
                <w:lang w:eastAsia="en-IN"/>
                <w14:ligatures w14:val="none"/>
              </w:rPr>
              <w:t>19.99%</w:t>
            </w:r>
          </w:p>
        </w:tc>
      </w:tr>
      <w:tr w:rsidR="008F76C9" w:rsidRPr="008F76C9" w14:paraId="3A5D8ED9" w14:textId="77777777" w:rsidTr="008F76C9">
        <w:trPr>
          <w:trHeight w:val="525"/>
        </w:trPr>
        <w:tc>
          <w:tcPr>
            <w:tcW w:w="1391" w:type="dxa"/>
            <w:hideMark/>
          </w:tcPr>
          <w:p w14:paraId="60076377" w14:textId="77777777" w:rsidR="008F76C9" w:rsidRPr="008F76C9" w:rsidRDefault="008F76C9" w:rsidP="008F76C9">
            <w:pPr>
              <w:rPr>
                <w:rFonts w:ascii="Aptos Narrow" w:eastAsia="Times New Roman" w:hAnsi="Aptos Narrow" w:cs="Times New Roman"/>
                <w:color w:val="000000"/>
                <w:kern w:val="0"/>
                <w:lang w:eastAsia="en-IN"/>
                <w14:ligatures w14:val="none"/>
              </w:rPr>
            </w:pPr>
            <w:r w:rsidRPr="008F76C9">
              <w:rPr>
                <w:rFonts w:ascii="Aptos Narrow" w:eastAsia="Times New Roman" w:hAnsi="Aptos Narrow" w:cs="Times New Roman"/>
                <w:color w:val="000000"/>
                <w:kern w:val="0"/>
                <w:lang w:eastAsia="en-IN"/>
                <w14:ligatures w14:val="none"/>
              </w:rPr>
              <w:t>Balance Transfer Cards</w:t>
            </w:r>
          </w:p>
        </w:tc>
        <w:tc>
          <w:tcPr>
            <w:tcW w:w="1712" w:type="dxa"/>
            <w:hideMark/>
          </w:tcPr>
          <w:p w14:paraId="167FA805" w14:textId="77777777" w:rsidR="008F76C9" w:rsidRPr="008F76C9" w:rsidRDefault="008F76C9" w:rsidP="008F76C9">
            <w:pPr>
              <w:jc w:val="right"/>
              <w:rPr>
                <w:rFonts w:ascii="Aptos Narrow" w:eastAsia="Times New Roman" w:hAnsi="Aptos Narrow" w:cs="Times New Roman"/>
                <w:color w:val="000000"/>
                <w:kern w:val="0"/>
                <w:lang w:eastAsia="en-IN"/>
                <w14:ligatures w14:val="none"/>
              </w:rPr>
            </w:pPr>
            <w:r w:rsidRPr="008F76C9">
              <w:rPr>
                <w:rFonts w:ascii="Aptos Narrow" w:eastAsia="Times New Roman" w:hAnsi="Aptos Narrow" w:cs="Times New Roman"/>
                <w:color w:val="000000"/>
                <w:kern w:val="0"/>
                <w:lang w:eastAsia="en-IN"/>
                <w14:ligatures w14:val="none"/>
              </w:rPr>
              <w:t>15.12%</w:t>
            </w:r>
          </w:p>
        </w:tc>
      </w:tr>
      <w:tr w:rsidR="008F76C9" w:rsidRPr="008F76C9" w14:paraId="01F200FE" w14:textId="77777777" w:rsidTr="008F76C9">
        <w:trPr>
          <w:trHeight w:val="525"/>
        </w:trPr>
        <w:tc>
          <w:tcPr>
            <w:tcW w:w="1391" w:type="dxa"/>
            <w:hideMark/>
          </w:tcPr>
          <w:p w14:paraId="323DFC2A" w14:textId="77777777" w:rsidR="008F76C9" w:rsidRPr="008F76C9" w:rsidRDefault="008F76C9" w:rsidP="008F76C9">
            <w:pPr>
              <w:rPr>
                <w:rFonts w:ascii="Aptos Narrow" w:eastAsia="Times New Roman" w:hAnsi="Aptos Narrow" w:cs="Times New Roman"/>
                <w:color w:val="000000"/>
                <w:kern w:val="0"/>
                <w:lang w:eastAsia="en-IN"/>
                <w14:ligatures w14:val="none"/>
              </w:rPr>
            </w:pPr>
            <w:r w:rsidRPr="008F76C9">
              <w:rPr>
                <w:rFonts w:ascii="Aptos Narrow" w:eastAsia="Times New Roman" w:hAnsi="Aptos Narrow" w:cs="Times New Roman"/>
                <w:color w:val="000000"/>
                <w:kern w:val="0"/>
                <w:lang w:eastAsia="en-IN"/>
                <w14:ligatures w14:val="none"/>
              </w:rPr>
              <w:t>Student Credit Cards</w:t>
            </w:r>
          </w:p>
        </w:tc>
        <w:tc>
          <w:tcPr>
            <w:tcW w:w="1712" w:type="dxa"/>
            <w:hideMark/>
          </w:tcPr>
          <w:p w14:paraId="0EFFAF3A" w14:textId="77777777" w:rsidR="008F76C9" w:rsidRPr="008F76C9" w:rsidRDefault="008F76C9" w:rsidP="008F76C9">
            <w:pPr>
              <w:jc w:val="right"/>
              <w:rPr>
                <w:rFonts w:ascii="Aptos Narrow" w:eastAsia="Times New Roman" w:hAnsi="Aptos Narrow" w:cs="Times New Roman"/>
                <w:color w:val="000000"/>
                <w:kern w:val="0"/>
                <w:lang w:eastAsia="en-IN"/>
                <w14:ligatures w14:val="none"/>
              </w:rPr>
            </w:pPr>
            <w:r w:rsidRPr="008F76C9">
              <w:rPr>
                <w:rFonts w:ascii="Aptos Narrow" w:eastAsia="Times New Roman" w:hAnsi="Aptos Narrow" w:cs="Times New Roman"/>
                <w:color w:val="000000"/>
                <w:kern w:val="0"/>
                <w:lang w:eastAsia="en-IN"/>
                <w14:ligatures w14:val="none"/>
              </w:rPr>
              <w:t>17.07%</w:t>
            </w:r>
          </w:p>
        </w:tc>
      </w:tr>
    </w:tbl>
    <w:p w14:paraId="600EE6DC" w14:textId="1FB5695C" w:rsidR="008F76C9" w:rsidRPr="008F76C9" w:rsidRDefault="008F76C9" w:rsidP="008F76C9">
      <w:pPr>
        <w:rPr>
          <w:lang w:eastAsia="en-IN"/>
        </w:rPr>
      </w:pPr>
      <w:r>
        <w:rPr>
          <w:noProof/>
        </w:rPr>
        <w:drawing>
          <wp:inline distT="0" distB="0" distL="0" distR="0" wp14:anchorId="0D97A233" wp14:editId="2E258644">
            <wp:extent cx="5735782" cy="3408218"/>
            <wp:effectExtent l="0" t="0" r="17780" b="1905"/>
            <wp:docPr id="150090382" name="Chart 1">
              <a:extLst xmlns:a="http://schemas.openxmlformats.org/drawingml/2006/main">
                <a:ext uri="{FF2B5EF4-FFF2-40B4-BE49-F238E27FC236}">
                  <a16:creationId xmlns:a16="http://schemas.microsoft.com/office/drawing/2014/main" id="{C462782D-B770-11CA-93FE-90C7CED278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3C7E33" w14:textId="509DDE46" w:rsidR="008F76C9" w:rsidRPr="008F76C9" w:rsidRDefault="008F76C9" w:rsidP="008F76C9">
      <w:pPr>
        <w:rPr>
          <w:b/>
          <w:bCs/>
          <w:sz w:val="24"/>
          <w:szCs w:val="24"/>
        </w:rPr>
      </w:pPr>
      <w:r w:rsidRPr="008F76C9">
        <w:rPr>
          <w:b/>
          <w:bCs/>
          <w:sz w:val="24"/>
          <w:szCs w:val="24"/>
        </w:rPr>
        <w:t>Interpretation</w:t>
      </w:r>
    </w:p>
    <w:p w14:paraId="76670470" w14:textId="3C095CDE" w:rsidR="008F76C9" w:rsidRPr="008F76C9" w:rsidRDefault="008F76C9" w:rsidP="008F76C9">
      <w:pPr>
        <w:rPr>
          <w:sz w:val="24"/>
          <w:szCs w:val="24"/>
        </w:rPr>
      </w:pPr>
      <w:r w:rsidRPr="008F76C9">
        <w:rPr>
          <w:sz w:val="24"/>
          <w:szCs w:val="24"/>
        </w:rPr>
        <w:t>Different types of credit cards have varying average interest rates (APRs). Standard credit cards have an APR of 16.88%, while rewards credit cards are slightly higher at 17.73%. Secured credit cards, often used to build or repair credit, have the highest APR at 19.99%. Balance transfer cards offer the lowest APR at 15.12%, designed to help manage existing debt. Student credit cards have an APR of 17.07%, catering to young adults and students.</w:t>
      </w:r>
    </w:p>
    <w:p w14:paraId="496C5477" w14:textId="77777777" w:rsidR="008F76C9" w:rsidRDefault="008F76C9">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262573D3" w14:textId="1783E653" w:rsidR="008F76C9" w:rsidRPr="008F76C9" w:rsidRDefault="008F76C9" w:rsidP="008F76C9">
      <w:pPr>
        <w:pStyle w:val="Heading2"/>
        <w:rPr>
          <w:rFonts w:eastAsia="Times New Roman"/>
          <w:lang w:eastAsia="en-IN"/>
        </w:rPr>
      </w:pPr>
      <w:r w:rsidRPr="008F76C9">
        <w:rPr>
          <w:rFonts w:eastAsia="Times New Roman"/>
          <w:lang w:eastAsia="en-IN"/>
        </w:rPr>
        <w:lastRenderedPageBreak/>
        <w:t>Average Monthly Credit Card Spending by Category (2023)</w:t>
      </w:r>
    </w:p>
    <w:tbl>
      <w:tblPr>
        <w:tblStyle w:val="TableGrid"/>
        <w:tblW w:w="3937" w:type="dxa"/>
        <w:tblLook w:val="04A0" w:firstRow="1" w:lastRow="0" w:firstColumn="1" w:lastColumn="0" w:noHBand="0" w:noVBand="1"/>
      </w:tblPr>
      <w:tblGrid>
        <w:gridCol w:w="2528"/>
        <w:gridCol w:w="1409"/>
      </w:tblGrid>
      <w:tr w:rsidR="008F76C9" w:rsidRPr="008F76C9" w14:paraId="54EC644A" w14:textId="77777777" w:rsidTr="008F76C9">
        <w:trPr>
          <w:trHeight w:val="899"/>
        </w:trPr>
        <w:tc>
          <w:tcPr>
            <w:tcW w:w="2528" w:type="dxa"/>
            <w:hideMark/>
          </w:tcPr>
          <w:p w14:paraId="3F0EE1B8" w14:textId="77777777" w:rsidR="008F76C9" w:rsidRPr="008F76C9" w:rsidRDefault="008F76C9" w:rsidP="008F76C9">
            <w:pPr>
              <w:jc w:val="center"/>
              <w:rPr>
                <w:rFonts w:ascii="Aptos Narrow" w:eastAsia="Times New Roman" w:hAnsi="Aptos Narrow" w:cs="Times New Roman"/>
                <w:b/>
                <w:bCs/>
                <w:color w:val="000000"/>
                <w:kern w:val="0"/>
                <w:sz w:val="24"/>
                <w:szCs w:val="24"/>
                <w:lang w:eastAsia="en-IN"/>
                <w14:ligatures w14:val="none"/>
              </w:rPr>
            </w:pPr>
            <w:r w:rsidRPr="008F76C9">
              <w:rPr>
                <w:rFonts w:ascii="Aptos Narrow" w:eastAsia="Times New Roman" w:hAnsi="Aptos Narrow" w:cs="Times New Roman"/>
                <w:b/>
                <w:bCs/>
                <w:color w:val="000000"/>
                <w:kern w:val="0"/>
                <w:sz w:val="24"/>
                <w:szCs w:val="24"/>
                <w:lang w:eastAsia="en-IN"/>
                <w14:ligatures w14:val="none"/>
              </w:rPr>
              <w:t>Category</w:t>
            </w:r>
          </w:p>
        </w:tc>
        <w:tc>
          <w:tcPr>
            <w:tcW w:w="1409" w:type="dxa"/>
            <w:hideMark/>
          </w:tcPr>
          <w:p w14:paraId="38F61E12" w14:textId="77777777" w:rsidR="008F76C9" w:rsidRPr="008F76C9" w:rsidRDefault="008F76C9" w:rsidP="008F76C9">
            <w:pPr>
              <w:jc w:val="center"/>
              <w:rPr>
                <w:rFonts w:ascii="Aptos Narrow" w:eastAsia="Times New Roman" w:hAnsi="Aptos Narrow" w:cs="Times New Roman"/>
                <w:b/>
                <w:bCs/>
                <w:color w:val="000000"/>
                <w:kern w:val="0"/>
                <w:sz w:val="24"/>
                <w:szCs w:val="24"/>
                <w:lang w:eastAsia="en-IN"/>
                <w14:ligatures w14:val="none"/>
              </w:rPr>
            </w:pPr>
            <w:r w:rsidRPr="008F76C9">
              <w:rPr>
                <w:rFonts w:ascii="Aptos Narrow" w:eastAsia="Times New Roman" w:hAnsi="Aptos Narrow" w:cs="Times New Roman"/>
                <w:b/>
                <w:bCs/>
                <w:color w:val="000000"/>
                <w:kern w:val="0"/>
                <w:sz w:val="24"/>
                <w:szCs w:val="24"/>
                <w:lang w:eastAsia="en-IN"/>
                <w14:ligatures w14:val="none"/>
              </w:rPr>
              <w:t>Average Monthly Spending ($)</w:t>
            </w:r>
          </w:p>
        </w:tc>
      </w:tr>
      <w:tr w:rsidR="008F76C9" w:rsidRPr="008F76C9" w14:paraId="1E0F5961" w14:textId="77777777" w:rsidTr="008F76C9">
        <w:trPr>
          <w:trHeight w:val="449"/>
        </w:trPr>
        <w:tc>
          <w:tcPr>
            <w:tcW w:w="2528" w:type="dxa"/>
            <w:hideMark/>
          </w:tcPr>
          <w:p w14:paraId="0BD05D3A"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Groceries</w:t>
            </w:r>
          </w:p>
        </w:tc>
        <w:tc>
          <w:tcPr>
            <w:tcW w:w="1409" w:type="dxa"/>
            <w:hideMark/>
          </w:tcPr>
          <w:p w14:paraId="53953497" w14:textId="77777777"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550</w:t>
            </w:r>
          </w:p>
        </w:tc>
      </w:tr>
      <w:tr w:rsidR="008F76C9" w:rsidRPr="008F76C9" w14:paraId="6900E6AE" w14:textId="77777777" w:rsidTr="008F76C9">
        <w:trPr>
          <w:trHeight w:val="449"/>
        </w:trPr>
        <w:tc>
          <w:tcPr>
            <w:tcW w:w="2528" w:type="dxa"/>
            <w:hideMark/>
          </w:tcPr>
          <w:p w14:paraId="4DE48D84"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Dining Out</w:t>
            </w:r>
          </w:p>
        </w:tc>
        <w:tc>
          <w:tcPr>
            <w:tcW w:w="1409" w:type="dxa"/>
            <w:hideMark/>
          </w:tcPr>
          <w:p w14:paraId="5415F265" w14:textId="77777777"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250</w:t>
            </w:r>
          </w:p>
        </w:tc>
      </w:tr>
      <w:tr w:rsidR="008F76C9" w:rsidRPr="008F76C9" w14:paraId="7FFC9CA9" w14:textId="77777777" w:rsidTr="008F76C9">
        <w:trPr>
          <w:trHeight w:val="224"/>
        </w:trPr>
        <w:tc>
          <w:tcPr>
            <w:tcW w:w="2528" w:type="dxa"/>
            <w:hideMark/>
          </w:tcPr>
          <w:p w14:paraId="629E80D1"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Travel</w:t>
            </w:r>
          </w:p>
        </w:tc>
        <w:tc>
          <w:tcPr>
            <w:tcW w:w="1409" w:type="dxa"/>
            <w:hideMark/>
          </w:tcPr>
          <w:p w14:paraId="75C0C96F" w14:textId="77777777"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300</w:t>
            </w:r>
          </w:p>
        </w:tc>
      </w:tr>
      <w:tr w:rsidR="008F76C9" w:rsidRPr="008F76C9" w14:paraId="1F993F7D" w14:textId="77777777" w:rsidTr="008F76C9">
        <w:trPr>
          <w:trHeight w:val="449"/>
        </w:trPr>
        <w:tc>
          <w:tcPr>
            <w:tcW w:w="2528" w:type="dxa"/>
            <w:hideMark/>
          </w:tcPr>
          <w:p w14:paraId="1912EA9F"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Entertainment</w:t>
            </w:r>
          </w:p>
        </w:tc>
        <w:tc>
          <w:tcPr>
            <w:tcW w:w="1409" w:type="dxa"/>
            <w:hideMark/>
          </w:tcPr>
          <w:p w14:paraId="05BF868B" w14:textId="77777777"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150</w:t>
            </w:r>
          </w:p>
        </w:tc>
      </w:tr>
      <w:tr w:rsidR="008F76C9" w:rsidRPr="008F76C9" w14:paraId="716C9B36" w14:textId="77777777" w:rsidTr="008F76C9">
        <w:trPr>
          <w:trHeight w:val="674"/>
        </w:trPr>
        <w:tc>
          <w:tcPr>
            <w:tcW w:w="2528" w:type="dxa"/>
            <w:hideMark/>
          </w:tcPr>
          <w:p w14:paraId="552572B4"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Gas/Transportation</w:t>
            </w:r>
          </w:p>
        </w:tc>
        <w:tc>
          <w:tcPr>
            <w:tcW w:w="1409" w:type="dxa"/>
            <w:hideMark/>
          </w:tcPr>
          <w:p w14:paraId="18AE4A7F" w14:textId="77777777"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200</w:t>
            </w:r>
          </w:p>
        </w:tc>
      </w:tr>
      <w:tr w:rsidR="008F76C9" w:rsidRPr="008F76C9" w14:paraId="4351B0FF" w14:textId="77777777" w:rsidTr="008F76C9">
        <w:trPr>
          <w:trHeight w:val="449"/>
        </w:trPr>
        <w:tc>
          <w:tcPr>
            <w:tcW w:w="2528" w:type="dxa"/>
            <w:hideMark/>
          </w:tcPr>
          <w:p w14:paraId="6E8B65D8"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Online Shopping</w:t>
            </w:r>
          </w:p>
        </w:tc>
        <w:tc>
          <w:tcPr>
            <w:tcW w:w="1409" w:type="dxa"/>
            <w:hideMark/>
          </w:tcPr>
          <w:p w14:paraId="74CEF9CA" w14:textId="27D3DD6E"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400</w:t>
            </w:r>
          </w:p>
        </w:tc>
      </w:tr>
      <w:tr w:rsidR="008F76C9" w:rsidRPr="008F76C9" w14:paraId="1A4B6078" w14:textId="77777777" w:rsidTr="008F76C9">
        <w:trPr>
          <w:trHeight w:val="224"/>
        </w:trPr>
        <w:tc>
          <w:tcPr>
            <w:tcW w:w="2528" w:type="dxa"/>
            <w:hideMark/>
          </w:tcPr>
          <w:p w14:paraId="2FFFEECB"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Other</w:t>
            </w:r>
          </w:p>
        </w:tc>
        <w:tc>
          <w:tcPr>
            <w:tcW w:w="1409" w:type="dxa"/>
            <w:hideMark/>
          </w:tcPr>
          <w:p w14:paraId="0878B884" w14:textId="24DB0B4B"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350</w:t>
            </w:r>
          </w:p>
        </w:tc>
      </w:tr>
    </w:tbl>
    <w:p w14:paraId="6343FE06" w14:textId="24886917" w:rsidR="008F76C9" w:rsidRDefault="008F76C9" w:rsidP="008F76C9"/>
    <w:p w14:paraId="6EEAAD5B" w14:textId="20346B0D" w:rsidR="008F76C9" w:rsidRDefault="008F76C9" w:rsidP="008F76C9">
      <w:pPr>
        <w:rPr>
          <w:lang w:eastAsia="en-IN"/>
        </w:rPr>
      </w:pPr>
      <w:r>
        <w:rPr>
          <w:noProof/>
        </w:rPr>
        <w:drawing>
          <wp:anchor distT="0" distB="0" distL="114300" distR="114300" simplePos="0" relativeHeight="251658240" behindDoc="0" locked="0" layoutInCell="1" allowOverlap="1" wp14:anchorId="4E7B088B" wp14:editId="109A5069">
            <wp:simplePos x="0" y="0"/>
            <wp:positionH relativeFrom="margin">
              <wp:align>left</wp:align>
            </wp:positionH>
            <wp:positionV relativeFrom="paragraph">
              <wp:posOffset>5080</wp:posOffset>
            </wp:positionV>
            <wp:extent cx="5607050" cy="3111500"/>
            <wp:effectExtent l="0" t="0" r="12700" b="12700"/>
            <wp:wrapNone/>
            <wp:docPr id="1801725712" name="Chart 1">
              <a:extLst xmlns:a="http://schemas.openxmlformats.org/drawingml/2006/main">
                <a:ext uri="{FF2B5EF4-FFF2-40B4-BE49-F238E27FC236}">
                  <a16:creationId xmlns:a16="http://schemas.microsoft.com/office/drawing/2014/main" id="{AC9B8B5C-224A-B824-2C79-6392FDEDDA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741DBE5B" w14:textId="77777777" w:rsidR="008F76C9" w:rsidRDefault="008F76C9" w:rsidP="008F76C9">
      <w:pPr>
        <w:rPr>
          <w:lang w:eastAsia="en-IN"/>
        </w:rPr>
      </w:pPr>
    </w:p>
    <w:p w14:paraId="18A7BF7F" w14:textId="77777777" w:rsidR="008F76C9" w:rsidRDefault="008F76C9" w:rsidP="008F76C9">
      <w:pPr>
        <w:rPr>
          <w:lang w:eastAsia="en-IN"/>
        </w:rPr>
      </w:pPr>
    </w:p>
    <w:p w14:paraId="61924E48" w14:textId="77777777" w:rsidR="008F76C9" w:rsidRDefault="008F76C9" w:rsidP="008F76C9">
      <w:pPr>
        <w:rPr>
          <w:lang w:eastAsia="en-IN"/>
        </w:rPr>
      </w:pPr>
    </w:p>
    <w:p w14:paraId="4870264A" w14:textId="77777777" w:rsidR="008F76C9" w:rsidRDefault="008F76C9" w:rsidP="008F76C9">
      <w:pPr>
        <w:rPr>
          <w:lang w:eastAsia="en-IN"/>
        </w:rPr>
      </w:pPr>
    </w:p>
    <w:p w14:paraId="05D319AD" w14:textId="77777777" w:rsidR="008F76C9" w:rsidRDefault="008F76C9" w:rsidP="008F76C9">
      <w:pPr>
        <w:rPr>
          <w:lang w:eastAsia="en-IN"/>
        </w:rPr>
      </w:pPr>
    </w:p>
    <w:p w14:paraId="48C42F6D" w14:textId="77777777" w:rsidR="008F76C9" w:rsidRDefault="008F76C9" w:rsidP="008F76C9">
      <w:pPr>
        <w:rPr>
          <w:lang w:eastAsia="en-IN"/>
        </w:rPr>
      </w:pPr>
    </w:p>
    <w:p w14:paraId="52B59CA3" w14:textId="77777777" w:rsidR="008F76C9" w:rsidRDefault="008F76C9" w:rsidP="008F76C9">
      <w:pPr>
        <w:rPr>
          <w:lang w:eastAsia="en-IN"/>
        </w:rPr>
      </w:pPr>
    </w:p>
    <w:p w14:paraId="681DFACF" w14:textId="77777777" w:rsidR="008F76C9" w:rsidRDefault="008F76C9" w:rsidP="008F76C9">
      <w:pPr>
        <w:rPr>
          <w:lang w:eastAsia="en-IN"/>
        </w:rPr>
      </w:pPr>
    </w:p>
    <w:p w14:paraId="671EFCAE" w14:textId="77777777" w:rsidR="008F76C9" w:rsidRDefault="008F76C9" w:rsidP="008F76C9">
      <w:pPr>
        <w:rPr>
          <w:lang w:eastAsia="en-IN"/>
        </w:rPr>
      </w:pPr>
    </w:p>
    <w:p w14:paraId="02F9A025" w14:textId="77777777" w:rsidR="008F76C9" w:rsidRDefault="008F76C9">
      <w:pPr>
        <w:rPr>
          <w:b/>
          <w:bCs/>
          <w:sz w:val="24"/>
          <w:szCs w:val="24"/>
          <w:lang w:eastAsia="en-IN"/>
        </w:rPr>
      </w:pPr>
    </w:p>
    <w:p w14:paraId="2590C127" w14:textId="77777777" w:rsidR="008F76C9" w:rsidRDefault="008F76C9">
      <w:pPr>
        <w:rPr>
          <w:b/>
          <w:bCs/>
          <w:sz w:val="24"/>
          <w:szCs w:val="24"/>
          <w:lang w:eastAsia="en-IN"/>
        </w:rPr>
      </w:pPr>
    </w:p>
    <w:p w14:paraId="0304A9EA" w14:textId="3D81546D" w:rsidR="008F76C9" w:rsidRDefault="008F76C9">
      <w:pPr>
        <w:rPr>
          <w:b/>
          <w:bCs/>
          <w:sz w:val="24"/>
          <w:szCs w:val="24"/>
          <w:lang w:eastAsia="en-IN"/>
        </w:rPr>
      </w:pPr>
      <w:r w:rsidRPr="008F76C9">
        <w:rPr>
          <w:b/>
          <w:bCs/>
          <w:sz w:val="24"/>
          <w:szCs w:val="24"/>
          <w:lang w:eastAsia="en-IN"/>
        </w:rPr>
        <w:t>Interpretation</w:t>
      </w:r>
    </w:p>
    <w:p w14:paraId="7607E6C8" w14:textId="311D8387" w:rsidR="008F76C9" w:rsidRPr="008F76C9" w:rsidRDefault="008F76C9">
      <w:pPr>
        <w:rPr>
          <w:b/>
          <w:bCs/>
          <w:sz w:val="24"/>
          <w:szCs w:val="24"/>
          <w:lang w:eastAsia="en-IN"/>
        </w:rPr>
      </w:pPr>
      <w:r w:rsidRPr="008F76C9">
        <w:rPr>
          <w:sz w:val="24"/>
          <w:szCs w:val="24"/>
        </w:rPr>
        <w:t>On average, individuals spend $550 per month on groceries, making it the highest monthly expenditure category. Online shopping follows with $400, and travel expenses average $300 monthly. Dining out costs $250 per month, while gas and transportation account for $200. Entertainment expenses are $150, and other miscellaneous categories sum up to $350 monthly. These figures highlight the diverse spending habits of consumers across various categories.</w:t>
      </w:r>
      <w:r>
        <w:rPr>
          <w:rFonts w:eastAsia="Times New Roman"/>
          <w:lang w:eastAsia="en-IN"/>
        </w:rPr>
        <w:br w:type="page"/>
      </w:r>
    </w:p>
    <w:p w14:paraId="614F92F9" w14:textId="77777777" w:rsidR="008F76C9" w:rsidRPr="008F76C9" w:rsidRDefault="008F76C9" w:rsidP="008F76C9">
      <w:pPr>
        <w:pStyle w:val="Heading2"/>
        <w:rPr>
          <w:rFonts w:eastAsia="Times New Roman"/>
          <w:lang w:eastAsia="en-IN"/>
        </w:rPr>
      </w:pPr>
      <w:r w:rsidRPr="008F76C9">
        <w:rPr>
          <w:rFonts w:eastAsia="Times New Roman"/>
          <w:lang w:eastAsia="en-IN"/>
        </w:rPr>
        <w:lastRenderedPageBreak/>
        <w:t>Credit Card Penetration by Income Level (2023)</w:t>
      </w:r>
    </w:p>
    <w:tbl>
      <w:tblPr>
        <w:tblStyle w:val="TableGrid"/>
        <w:tblW w:w="3945" w:type="dxa"/>
        <w:tblLook w:val="04A0" w:firstRow="1" w:lastRow="0" w:firstColumn="1" w:lastColumn="0" w:noHBand="0" w:noVBand="1"/>
      </w:tblPr>
      <w:tblGrid>
        <w:gridCol w:w="1805"/>
        <w:gridCol w:w="2140"/>
      </w:tblGrid>
      <w:tr w:rsidR="008F76C9" w:rsidRPr="008F76C9" w14:paraId="58C45363" w14:textId="77777777" w:rsidTr="008F76C9">
        <w:trPr>
          <w:trHeight w:val="1230"/>
        </w:trPr>
        <w:tc>
          <w:tcPr>
            <w:tcW w:w="1805" w:type="dxa"/>
            <w:hideMark/>
          </w:tcPr>
          <w:p w14:paraId="51B07E72" w14:textId="77777777" w:rsidR="008F76C9" w:rsidRPr="008F76C9" w:rsidRDefault="008F76C9" w:rsidP="008F76C9">
            <w:pPr>
              <w:jc w:val="center"/>
              <w:rPr>
                <w:rFonts w:ascii="Aptos Narrow" w:eastAsia="Times New Roman" w:hAnsi="Aptos Narrow" w:cs="Times New Roman"/>
                <w:b/>
                <w:bCs/>
                <w:color w:val="000000"/>
                <w:kern w:val="0"/>
                <w:sz w:val="24"/>
                <w:szCs w:val="24"/>
                <w:lang w:eastAsia="en-IN"/>
                <w14:ligatures w14:val="none"/>
              </w:rPr>
            </w:pPr>
            <w:r w:rsidRPr="008F76C9">
              <w:rPr>
                <w:rFonts w:ascii="Aptos Narrow" w:eastAsia="Times New Roman" w:hAnsi="Aptos Narrow" w:cs="Times New Roman"/>
                <w:b/>
                <w:bCs/>
                <w:color w:val="000000"/>
                <w:kern w:val="0"/>
                <w:sz w:val="24"/>
                <w:szCs w:val="24"/>
                <w:lang w:eastAsia="en-IN"/>
                <w14:ligatures w14:val="none"/>
              </w:rPr>
              <w:t>Income Level</w:t>
            </w:r>
          </w:p>
        </w:tc>
        <w:tc>
          <w:tcPr>
            <w:tcW w:w="2140" w:type="dxa"/>
            <w:hideMark/>
          </w:tcPr>
          <w:p w14:paraId="7AEFB374" w14:textId="77777777" w:rsidR="008F76C9" w:rsidRPr="008F76C9" w:rsidRDefault="008F76C9" w:rsidP="008F76C9">
            <w:pPr>
              <w:jc w:val="center"/>
              <w:rPr>
                <w:rFonts w:ascii="Aptos Narrow" w:eastAsia="Times New Roman" w:hAnsi="Aptos Narrow" w:cs="Times New Roman"/>
                <w:b/>
                <w:bCs/>
                <w:color w:val="000000"/>
                <w:kern w:val="0"/>
                <w:sz w:val="24"/>
                <w:szCs w:val="24"/>
                <w:lang w:eastAsia="en-IN"/>
                <w14:ligatures w14:val="none"/>
              </w:rPr>
            </w:pPr>
            <w:r w:rsidRPr="008F76C9">
              <w:rPr>
                <w:rFonts w:ascii="Aptos Narrow" w:eastAsia="Times New Roman" w:hAnsi="Aptos Narrow" w:cs="Times New Roman"/>
                <w:b/>
                <w:bCs/>
                <w:color w:val="000000"/>
                <w:kern w:val="0"/>
                <w:sz w:val="24"/>
                <w:szCs w:val="24"/>
                <w:lang w:eastAsia="en-IN"/>
                <w14:ligatures w14:val="none"/>
              </w:rPr>
              <w:t>Percentage of Population with Credit Cards</w:t>
            </w:r>
          </w:p>
        </w:tc>
      </w:tr>
      <w:tr w:rsidR="008F76C9" w:rsidRPr="008F76C9" w14:paraId="0E0D12D8" w14:textId="77777777" w:rsidTr="008F76C9">
        <w:trPr>
          <w:trHeight w:val="410"/>
        </w:trPr>
        <w:tc>
          <w:tcPr>
            <w:tcW w:w="1805" w:type="dxa"/>
            <w:hideMark/>
          </w:tcPr>
          <w:p w14:paraId="7EBFECAE"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Less than $25,000</w:t>
            </w:r>
          </w:p>
        </w:tc>
        <w:tc>
          <w:tcPr>
            <w:tcW w:w="2140" w:type="dxa"/>
            <w:hideMark/>
          </w:tcPr>
          <w:p w14:paraId="23E7C8BF" w14:textId="77777777"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45%</w:t>
            </w:r>
          </w:p>
        </w:tc>
      </w:tr>
      <w:tr w:rsidR="008F76C9" w:rsidRPr="008F76C9" w14:paraId="7FF60ACC" w14:textId="77777777" w:rsidTr="008F76C9">
        <w:trPr>
          <w:trHeight w:val="410"/>
        </w:trPr>
        <w:tc>
          <w:tcPr>
            <w:tcW w:w="1805" w:type="dxa"/>
            <w:hideMark/>
          </w:tcPr>
          <w:p w14:paraId="26989893"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$25,000 - $49,999</w:t>
            </w:r>
          </w:p>
        </w:tc>
        <w:tc>
          <w:tcPr>
            <w:tcW w:w="2140" w:type="dxa"/>
            <w:hideMark/>
          </w:tcPr>
          <w:p w14:paraId="47220A68" w14:textId="77777777"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65%</w:t>
            </w:r>
          </w:p>
        </w:tc>
      </w:tr>
      <w:tr w:rsidR="008F76C9" w:rsidRPr="008F76C9" w14:paraId="61AF291F" w14:textId="77777777" w:rsidTr="008F76C9">
        <w:trPr>
          <w:trHeight w:val="410"/>
        </w:trPr>
        <w:tc>
          <w:tcPr>
            <w:tcW w:w="1805" w:type="dxa"/>
            <w:hideMark/>
          </w:tcPr>
          <w:p w14:paraId="1D093E34"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$50,000 - $74,999</w:t>
            </w:r>
          </w:p>
        </w:tc>
        <w:tc>
          <w:tcPr>
            <w:tcW w:w="2140" w:type="dxa"/>
            <w:hideMark/>
          </w:tcPr>
          <w:p w14:paraId="06A421BE" w14:textId="77777777"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80%</w:t>
            </w:r>
          </w:p>
        </w:tc>
      </w:tr>
      <w:tr w:rsidR="008F76C9" w:rsidRPr="008F76C9" w14:paraId="3B077A16" w14:textId="77777777" w:rsidTr="008F76C9">
        <w:trPr>
          <w:trHeight w:val="410"/>
        </w:trPr>
        <w:tc>
          <w:tcPr>
            <w:tcW w:w="1805" w:type="dxa"/>
            <w:hideMark/>
          </w:tcPr>
          <w:p w14:paraId="17C985D2"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$75,000 - $99,999</w:t>
            </w:r>
          </w:p>
        </w:tc>
        <w:tc>
          <w:tcPr>
            <w:tcW w:w="2140" w:type="dxa"/>
            <w:hideMark/>
          </w:tcPr>
          <w:p w14:paraId="291F90EC" w14:textId="77777777"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87%</w:t>
            </w:r>
          </w:p>
        </w:tc>
      </w:tr>
      <w:tr w:rsidR="008F76C9" w:rsidRPr="008F76C9" w14:paraId="2FBE54F9" w14:textId="77777777" w:rsidTr="008F76C9">
        <w:trPr>
          <w:trHeight w:val="410"/>
        </w:trPr>
        <w:tc>
          <w:tcPr>
            <w:tcW w:w="1805" w:type="dxa"/>
            <w:hideMark/>
          </w:tcPr>
          <w:p w14:paraId="28E37B5B" w14:textId="77777777" w:rsidR="008F76C9" w:rsidRPr="008F76C9" w:rsidRDefault="008F76C9" w:rsidP="008F76C9">
            <w:pPr>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$100,000 or more</w:t>
            </w:r>
          </w:p>
        </w:tc>
        <w:tc>
          <w:tcPr>
            <w:tcW w:w="2140" w:type="dxa"/>
            <w:hideMark/>
          </w:tcPr>
          <w:p w14:paraId="3A0011F9" w14:textId="77777777" w:rsidR="008F76C9" w:rsidRPr="008F76C9" w:rsidRDefault="008F76C9" w:rsidP="008F76C9">
            <w:pPr>
              <w:jc w:val="right"/>
              <w:rPr>
                <w:rFonts w:ascii="Aptos Narrow" w:eastAsia="Times New Roman" w:hAnsi="Aptos Narrow" w:cs="Times New Roman"/>
                <w:color w:val="000000"/>
                <w:kern w:val="0"/>
                <w:sz w:val="24"/>
                <w:szCs w:val="24"/>
                <w:lang w:eastAsia="en-IN"/>
                <w14:ligatures w14:val="none"/>
              </w:rPr>
            </w:pPr>
            <w:r w:rsidRPr="008F76C9">
              <w:rPr>
                <w:rFonts w:ascii="Aptos Narrow" w:eastAsia="Times New Roman" w:hAnsi="Aptos Narrow" w:cs="Times New Roman"/>
                <w:color w:val="000000"/>
                <w:kern w:val="0"/>
                <w:sz w:val="24"/>
                <w:szCs w:val="24"/>
                <w:lang w:eastAsia="en-IN"/>
                <w14:ligatures w14:val="none"/>
              </w:rPr>
              <w:t>93%</w:t>
            </w:r>
          </w:p>
        </w:tc>
      </w:tr>
    </w:tbl>
    <w:p w14:paraId="5598AC80" w14:textId="069AB090" w:rsidR="008F76C9" w:rsidRDefault="008F76C9" w:rsidP="008F76C9">
      <w:pPr>
        <w:rPr>
          <w:lang w:eastAsia="en-IN"/>
        </w:rPr>
      </w:pPr>
      <w:r>
        <w:rPr>
          <w:noProof/>
        </w:rPr>
        <w:drawing>
          <wp:inline distT="0" distB="0" distL="0" distR="0" wp14:anchorId="77744293" wp14:editId="6EA6D23B">
            <wp:extent cx="5562600" cy="3536950"/>
            <wp:effectExtent l="0" t="0" r="0" b="6350"/>
            <wp:docPr id="637161691" name="Chart 1">
              <a:extLst xmlns:a="http://schemas.openxmlformats.org/drawingml/2006/main">
                <a:ext uri="{FF2B5EF4-FFF2-40B4-BE49-F238E27FC236}">
                  <a16:creationId xmlns:a16="http://schemas.microsoft.com/office/drawing/2014/main" id="{096B0B9B-D408-6066-F7AA-DF850DB1C6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4687D8" w14:textId="2013964E" w:rsidR="008F76C9" w:rsidRPr="008F76C9" w:rsidRDefault="008F76C9">
      <w:pPr>
        <w:rPr>
          <w:b/>
          <w:bCs/>
          <w:sz w:val="24"/>
          <w:szCs w:val="24"/>
        </w:rPr>
      </w:pPr>
      <w:r w:rsidRPr="008F76C9">
        <w:rPr>
          <w:b/>
          <w:bCs/>
          <w:sz w:val="24"/>
          <w:szCs w:val="24"/>
        </w:rPr>
        <w:t>Interpretation</w:t>
      </w:r>
    </w:p>
    <w:p w14:paraId="6548BB50" w14:textId="289A80A8" w:rsidR="008F76C9" w:rsidRDefault="008F76C9">
      <w:pPr>
        <w:rPr>
          <w:rFonts w:asciiTheme="majorHAnsi" w:eastAsia="Times New Roman" w:hAnsiTheme="majorHAnsi" w:cstheme="majorBidi"/>
          <w:color w:val="0F4761" w:themeColor="accent1" w:themeShade="BF"/>
          <w:sz w:val="40"/>
          <w:szCs w:val="40"/>
          <w:lang w:eastAsia="en-IN"/>
        </w:rPr>
      </w:pPr>
      <w:r w:rsidRPr="008F76C9">
        <w:rPr>
          <w:sz w:val="24"/>
          <w:szCs w:val="24"/>
        </w:rPr>
        <w:t>Credit card ownership increases with income. Only 45% of those earning less than $25,000 annually have credit cards. This percentage rises to 65% for incomes between $25,000 and $49,999, and to 80% for those making $50,000 to $74,999. At higher income levels, $75,000 to $99,999, 87% of people have credit cards, and for those earning $100,000 or more, credit card ownership peaks at 93%. This trend suggests that higher income levels correlate with greater access to and usage of credit cards.</w:t>
      </w:r>
      <w:r>
        <w:rPr>
          <w:rFonts w:eastAsia="Times New Roman"/>
          <w:lang w:eastAsia="en-IN"/>
        </w:rPr>
        <w:br w:type="page"/>
      </w:r>
    </w:p>
    <w:p w14:paraId="73670B43" w14:textId="10DC0F6E" w:rsidR="008C4506" w:rsidRPr="008C4506" w:rsidRDefault="008C4506" w:rsidP="008C4506">
      <w:pPr>
        <w:pStyle w:val="Heading1"/>
        <w:rPr>
          <w:rFonts w:eastAsia="Times New Roman"/>
          <w:lang w:eastAsia="en-IN"/>
        </w:rPr>
      </w:pPr>
      <w:r w:rsidRPr="008C4506">
        <w:rPr>
          <w:rFonts w:eastAsia="Times New Roman"/>
          <w:lang w:eastAsia="en-IN"/>
        </w:rPr>
        <w:lastRenderedPageBreak/>
        <w:t>Conclusion</w:t>
      </w:r>
    </w:p>
    <w:p w14:paraId="53280C3D" w14:textId="38875ECE" w:rsidR="008C4506" w:rsidRPr="008C4506" w:rsidRDefault="008C4506" w:rsidP="008C4506">
      <w:pPr>
        <w:spacing w:before="100" w:beforeAutospacing="1" w:after="100" w:afterAutospacing="1" w:line="240" w:lineRule="auto"/>
        <w:rPr>
          <w:rFonts w:eastAsia="Times New Roman" w:cs="Times New Roman"/>
          <w:kern w:val="0"/>
          <w:sz w:val="24"/>
          <w:szCs w:val="24"/>
          <w:lang w:eastAsia="en-IN"/>
          <w14:ligatures w14:val="none"/>
        </w:rPr>
      </w:pPr>
      <w:r w:rsidRPr="008C4506">
        <w:rPr>
          <w:rFonts w:eastAsia="Times New Roman" w:cs="Times New Roman"/>
          <w:kern w:val="0"/>
          <w:sz w:val="24"/>
          <w:szCs w:val="24"/>
          <w:lang w:eastAsia="en-IN"/>
          <w14:ligatures w14:val="none"/>
        </w:rPr>
        <w:t>Credit cards are a fundamental component of the US banking system, offering numerous benefits to consumers and significant revenues for banks. However, they also pose risks and challenges that require careful management. Understanding the role of credit cards and the regulatory environment helps consumers make informed decisions and promotes a stable financial system.</w:t>
      </w:r>
    </w:p>
    <w:p w14:paraId="6DEF0B89" w14:textId="77777777" w:rsidR="008A21E4" w:rsidRPr="008C4506" w:rsidRDefault="008A21E4">
      <w:pPr>
        <w:rPr>
          <w:sz w:val="24"/>
          <w:szCs w:val="24"/>
        </w:rPr>
      </w:pPr>
    </w:p>
    <w:sectPr w:rsidR="008A21E4" w:rsidRPr="008C4506" w:rsidSect="008F76C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2A0"/>
    <w:multiLevelType w:val="multilevel"/>
    <w:tmpl w:val="E622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CEC"/>
    <w:multiLevelType w:val="multilevel"/>
    <w:tmpl w:val="754C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F195A"/>
    <w:multiLevelType w:val="multilevel"/>
    <w:tmpl w:val="739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7FE5"/>
    <w:multiLevelType w:val="multilevel"/>
    <w:tmpl w:val="A86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84AF8"/>
    <w:multiLevelType w:val="multilevel"/>
    <w:tmpl w:val="7F1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730C7"/>
    <w:multiLevelType w:val="multilevel"/>
    <w:tmpl w:val="0E34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37F66"/>
    <w:multiLevelType w:val="multilevel"/>
    <w:tmpl w:val="70C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20FBA"/>
    <w:multiLevelType w:val="multilevel"/>
    <w:tmpl w:val="E53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05AC2"/>
    <w:multiLevelType w:val="multilevel"/>
    <w:tmpl w:val="3A90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12F8D"/>
    <w:multiLevelType w:val="multilevel"/>
    <w:tmpl w:val="EF0C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7534B1"/>
    <w:multiLevelType w:val="multilevel"/>
    <w:tmpl w:val="4AAE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85CBF"/>
    <w:multiLevelType w:val="multilevel"/>
    <w:tmpl w:val="864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03792"/>
    <w:multiLevelType w:val="multilevel"/>
    <w:tmpl w:val="4BA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F666A"/>
    <w:multiLevelType w:val="multilevel"/>
    <w:tmpl w:val="8C1EF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95290"/>
    <w:multiLevelType w:val="multilevel"/>
    <w:tmpl w:val="6AE0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90DEF"/>
    <w:multiLevelType w:val="multilevel"/>
    <w:tmpl w:val="6634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E3F81"/>
    <w:multiLevelType w:val="multilevel"/>
    <w:tmpl w:val="109C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190442">
    <w:abstractNumId w:val="6"/>
  </w:num>
  <w:num w:numId="2" w16cid:durableId="1207983034">
    <w:abstractNumId w:val="13"/>
  </w:num>
  <w:num w:numId="3" w16cid:durableId="1754663150">
    <w:abstractNumId w:val="5"/>
  </w:num>
  <w:num w:numId="4" w16cid:durableId="1421832238">
    <w:abstractNumId w:val="9"/>
  </w:num>
  <w:num w:numId="5" w16cid:durableId="1143693448">
    <w:abstractNumId w:val="11"/>
  </w:num>
  <w:num w:numId="6" w16cid:durableId="659576760">
    <w:abstractNumId w:val="3"/>
  </w:num>
  <w:num w:numId="7" w16cid:durableId="604270104">
    <w:abstractNumId w:val="16"/>
  </w:num>
  <w:num w:numId="8" w16cid:durableId="200170421">
    <w:abstractNumId w:val="10"/>
  </w:num>
  <w:num w:numId="9" w16cid:durableId="500698142">
    <w:abstractNumId w:val="1"/>
  </w:num>
  <w:num w:numId="10" w16cid:durableId="1086263536">
    <w:abstractNumId w:val="0"/>
  </w:num>
  <w:num w:numId="11" w16cid:durableId="842545271">
    <w:abstractNumId w:val="2"/>
  </w:num>
  <w:num w:numId="12" w16cid:durableId="27150972">
    <w:abstractNumId w:val="15"/>
  </w:num>
  <w:num w:numId="13" w16cid:durableId="1154613262">
    <w:abstractNumId w:val="7"/>
  </w:num>
  <w:num w:numId="14" w16cid:durableId="980620267">
    <w:abstractNumId w:val="8"/>
  </w:num>
  <w:num w:numId="15" w16cid:durableId="184950321">
    <w:abstractNumId w:val="14"/>
  </w:num>
  <w:num w:numId="16" w16cid:durableId="1539047701">
    <w:abstractNumId w:val="12"/>
  </w:num>
  <w:num w:numId="17" w16cid:durableId="205799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06"/>
    <w:rsid w:val="0088182B"/>
    <w:rsid w:val="008A21E4"/>
    <w:rsid w:val="008C4506"/>
    <w:rsid w:val="008F76C9"/>
    <w:rsid w:val="00956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9615"/>
  <w15:chartTrackingRefBased/>
  <w15:docId w15:val="{A60335F2-61BF-4AB8-A15D-AE1BE6F0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4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4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4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4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4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4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506"/>
    <w:rPr>
      <w:rFonts w:eastAsiaTheme="majorEastAsia" w:cstheme="majorBidi"/>
      <w:color w:val="272727" w:themeColor="text1" w:themeTint="D8"/>
    </w:rPr>
  </w:style>
  <w:style w:type="paragraph" w:styleId="Title">
    <w:name w:val="Title"/>
    <w:basedOn w:val="Normal"/>
    <w:next w:val="Normal"/>
    <w:link w:val="TitleChar"/>
    <w:uiPriority w:val="10"/>
    <w:qFormat/>
    <w:rsid w:val="008C4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506"/>
    <w:pPr>
      <w:spacing w:before="160"/>
      <w:jc w:val="center"/>
    </w:pPr>
    <w:rPr>
      <w:i/>
      <w:iCs/>
      <w:color w:val="404040" w:themeColor="text1" w:themeTint="BF"/>
    </w:rPr>
  </w:style>
  <w:style w:type="character" w:customStyle="1" w:styleId="QuoteChar">
    <w:name w:val="Quote Char"/>
    <w:basedOn w:val="DefaultParagraphFont"/>
    <w:link w:val="Quote"/>
    <w:uiPriority w:val="29"/>
    <w:rsid w:val="008C4506"/>
    <w:rPr>
      <w:i/>
      <w:iCs/>
      <w:color w:val="404040" w:themeColor="text1" w:themeTint="BF"/>
    </w:rPr>
  </w:style>
  <w:style w:type="paragraph" w:styleId="ListParagraph">
    <w:name w:val="List Paragraph"/>
    <w:basedOn w:val="Normal"/>
    <w:uiPriority w:val="34"/>
    <w:qFormat/>
    <w:rsid w:val="008C4506"/>
    <w:pPr>
      <w:ind w:left="720"/>
      <w:contextualSpacing/>
    </w:pPr>
  </w:style>
  <w:style w:type="character" w:styleId="IntenseEmphasis">
    <w:name w:val="Intense Emphasis"/>
    <w:basedOn w:val="DefaultParagraphFont"/>
    <w:uiPriority w:val="21"/>
    <w:qFormat/>
    <w:rsid w:val="008C4506"/>
    <w:rPr>
      <w:i/>
      <w:iCs/>
      <w:color w:val="0F4761" w:themeColor="accent1" w:themeShade="BF"/>
    </w:rPr>
  </w:style>
  <w:style w:type="paragraph" w:styleId="IntenseQuote">
    <w:name w:val="Intense Quote"/>
    <w:basedOn w:val="Normal"/>
    <w:next w:val="Normal"/>
    <w:link w:val="IntenseQuoteChar"/>
    <w:uiPriority w:val="30"/>
    <w:qFormat/>
    <w:rsid w:val="008C4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506"/>
    <w:rPr>
      <w:i/>
      <w:iCs/>
      <w:color w:val="0F4761" w:themeColor="accent1" w:themeShade="BF"/>
    </w:rPr>
  </w:style>
  <w:style w:type="character" w:styleId="IntenseReference">
    <w:name w:val="Intense Reference"/>
    <w:basedOn w:val="DefaultParagraphFont"/>
    <w:uiPriority w:val="32"/>
    <w:qFormat/>
    <w:rsid w:val="008C4506"/>
    <w:rPr>
      <w:b/>
      <w:bCs/>
      <w:smallCaps/>
      <w:color w:val="0F4761" w:themeColor="accent1" w:themeShade="BF"/>
      <w:spacing w:val="5"/>
    </w:rPr>
  </w:style>
  <w:style w:type="paragraph" w:styleId="NormalWeb">
    <w:name w:val="Normal (Web)"/>
    <w:basedOn w:val="Normal"/>
    <w:uiPriority w:val="99"/>
    <w:semiHidden/>
    <w:unhideWhenUsed/>
    <w:rsid w:val="008C4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4506"/>
    <w:rPr>
      <w:b/>
      <w:bCs/>
    </w:rPr>
  </w:style>
  <w:style w:type="table" w:styleId="TableGrid">
    <w:name w:val="Table Grid"/>
    <w:basedOn w:val="TableNormal"/>
    <w:uiPriority w:val="39"/>
    <w:rsid w:val="008F7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9525">
      <w:bodyDiv w:val="1"/>
      <w:marLeft w:val="0"/>
      <w:marRight w:val="0"/>
      <w:marTop w:val="0"/>
      <w:marBottom w:val="0"/>
      <w:divBdr>
        <w:top w:val="none" w:sz="0" w:space="0" w:color="auto"/>
        <w:left w:val="none" w:sz="0" w:space="0" w:color="auto"/>
        <w:bottom w:val="none" w:sz="0" w:space="0" w:color="auto"/>
        <w:right w:val="none" w:sz="0" w:space="0" w:color="auto"/>
      </w:divBdr>
    </w:div>
    <w:div w:id="188953622">
      <w:bodyDiv w:val="1"/>
      <w:marLeft w:val="0"/>
      <w:marRight w:val="0"/>
      <w:marTop w:val="0"/>
      <w:marBottom w:val="0"/>
      <w:divBdr>
        <w:top w:val="none" w:sz="0" w:space="0" w:color="auto"/>
        <w:left w:val="none" w:sz="0" w:space="0" w:color="auto"/>
        <w:bottom w:val="none" w:sz="0" w:space="0" w:color="auto"/>
        <w:right w:val="none" w:sz="0" w:space="0" w:color="auto"/>
      </w:divBdr>
    </w:div>
    <w:div w:id="271547333">
      <w:bodyDiv w:val="1"/>
      <w:marLeft w:val="0"/>
      <w:marRight w:val="0"/>
      <w:marTop w:val="0"/>
      <w:marBottom w:val="0"/>
      <w:divBdr>
        <w:top w:val="none" w:sz="0" w:space="0" w:color="auto"/>
        <w:left w:val="none" w:sz="0" w:space="0" w:color="auto"/>
        <w:bottom w:val="none" w:sz="0" w:space="0" w:color="auto"/>
        <w:right w:val="none" w:sz="0" w:space="0" w:color="auto"/>
      </w:divBdr>
    </w:div>
    <w:div w:id="276525609">
      <w:bodyDiv w:val="1"/>
      <w:marLeft w:val="0"/>
      <w:marRight w:val="0"/>
      <w:marTop w:val="0"/>
      <w:marBottom w:val="0"/>
      <w:divBdr>
        <w:top w:val="none" w:sz="0" w:space="0" w:color="auto"/>
        <w:left w:val="none" w:sz="0" w:space="0" w:color="auto"/>
        <w:bottom w:val="none" w:sz="0" w:space="0" w:color="auto"/>
        <w:right w:val="none" w:sz="0" w:space="0" w:color="auto"/>
      </w:divBdr>
    </w:div>
    <w:div w:id="512377953">
      <w:bodyDiv w:val="1"/>
      <w:marLeft w:val="0"/>
      <w:marRight w:val="0"/>
      <w:marTop w:val="0"/>
      <w:marBottom w:val="0"/>
      <w:divBdr>
        <w:top w:val="none" w:sz="0" w:space="0" w:color="auto"/>
        <w:left w:val="none" w:sz="0" w:space="0" w:color="auto"/>
        <w:bottom w:val="none" w:sz="0" w:space="0" w:color="auto"/>
        <w:right w:val="none" w:sz="0" w:space="0" w:color="auto"/>
      </w:divBdr>
    </w:div>
    <w:div w:id="677733709">
      <w:bodyDiv w:val="1"/>
      <w:marLeft w:val="0"/>
      <w:marRight w:val="0"/>
      <w:marTop w:val="0"/>
      <w:marBottom w:val="0"/>
      <w:divBdr>
        <w:top w:val="none" w:sz="0" w:space="0" w:color="auto"/>
        <w:left w:val="none" w:sz="0" w:space="0" w:color="auto"/>
        <w:bottom w:val="none" w:sz="0" w:space="0" w:color="auto"/>
        <w:right w:val="none" w:sz="0" w:space="0" w:color="auto"/>
      </w:divBdr>
    </w:div>
    <w:div w:id="683362998">
      <w:bodyDiv w:val="1"/>
      <w:marLeft w:val="0"/>
      <w:marRight w:val="0"/>
      <w:marTop w:val="0"/>
      <w:marBottom w:val="0"/>
      <w:divBdr>
        <w:top w:val="none" w:sz="0" w:space="0" w:color="auto"/>
        <w:left w:val="none" w:sz="0" w:space="0" w:color="auto"/>
        <w:bottom w:val="none" w:sz="0" w:space="0" w:color="auto"/>
        <w:right w:val="none" w:sz="0" w:space="0" w:color="auto"/>
      </w:divBdr>
    </w:div>
    <w:div w:id="787355588">
      <w:bodyDiv w:val="1"/>
      <w:marLeft w:val="0"/>
      <w:marRight w:val="0"/>
      <w:marTop w:val="0"/>
      <w:marBottom w:val="0"/>
      <w:divBdr>
        <w:top w:val="none" w:sz="0" w:space="0" w:color="auto"/>
        <w:left w:val="none" w:sz="0" w:space="0" w:color="auto"/>
        <w:bottom w:val="none" w:sz="0" w:space="0" w:color="auto"/>
        <w:right w:val="none" w:sz="0" w:space="0" w:color="auto"/>
      </w:divBdr>
    </w:div>
    <w:div w:id="837576774">
      <w:bodyDiv w:val="1"/>
      <w:marLeft w:val="0"/>
      <w:marRight w:val="0"/>
      <w:marTop w:val="0"/>
      <w:marBottom w:val="0"/>
      <w:divBdr>
        <w:top w:val="none" w:sz="0" w:space="0" w:color="auto"/>
        <w:left w:val="none" w:sz="0" w:space="0" w:color="auto"/>
        <w:bottom w:val="none" w:sz="0" w:space="0" w:color="auto"/>
        <w:right w:val="none" w:sz="0" w:space="0" w:color="auto"/>
      </w:divBdr>
    </w:div>
    <w:div w:id="1090007636">
      <w:bodyDiv w:val="1"/>
      <w:marLeft w:val="0"/>
      <w:marRight w:val="0"/>
      <w:marTop w:val="0"/>
      <w:marBottom w:val="0"/>
      <w:divBdr>
        <w:top w:val="none" w:sz="0" w:space="0" w:color="auto"/>
        <w:left w:val="none" w:sz="0" w:space="0" w:color="auto"/>
        <w:bottom w:val="none" w:sz="0" w:space="0" w:color="auto"/>
        <w:right w:val="none" w:sz="0" w:space="0" w:color="auto"/>
      </w:divBdr>
    </w:div>
    <w:div w:id="1117597712">
      <w:bodyDiv w:val="1"/>
      <w:marLeft w:val="0"/>
      <w:marRight w:val="0"/>
      <w:marTop w:val="0"/>
      <w:marBottom w:val="0"/>
      <w:divBdr>
        <w:top w:val="none" w:sz="0" w:space="0" w:color="auto"/>
        <w:left w:val="none" w:sz="0" w:space="0" w:color="auto"/>
        <w:bottom w:val="none" w:sz="0" w:space="0" w:color="auto"/>
        <w:right w:val="none" w:sz="0" w:space="0" w:color="auto"/>
      </w:divBdr>
    </w:div>
    <w:div w:id="1137991541">
      <w:bodyDiv w:val="1"/>
      <w:marLeft w:val="0"/>
      <w:marRight w:val="0"/>
      <w:marTop w:val="0"/>
      <w:marBottom w:val="0"/>
      <w:divBdr>
        <w:top w:val="none" w:sz="0" w:space="0" w:color="auto"/>
        <w:left w:val="none" w:sz="0" w:space="0" w:color="auto"/>
        <w:bottom w:val="none" w:sz="0" w:space="0" w:color="auto"/>
        <w:right w:val="none" w:sz="0" w:space="0" w:color="auto"/>
      </w:divBdr>
    </w:div>
    <w:div w:id="1163666260">
      <w:bodyDiv w:val="1"/>
      <w:marLeft w:val="0"/>
      <w:marRight w:val="0"/>
      <w:marTop w:val="0"/>
      <w:marBottom w:val="0"/>
      <w:divBdr>
        <w:top w:val="none" w:sz="0" w:space="0" w:color="auto"/>
        <w:left w:val="none" w:sz="0" w:space="0" w:color="auto"/>
        <w:bottom w:val="none" w:sz="0" w:space="0" w:color="auto"/>
        <w:right w:val="none" w:sz="0" w:space="0" w:color="auto"/>
      </w:divBdr>
    </w:div>
    <w:div w:id="1661078595">
      <w:bodyDiv w:val="1"/>
      <w:marLeft w:val="0"/>
      <w:marRight w:val="0"/>
      <w:marTop w:val="0"/>
      <w:marBottom w:val="0"/>
      <w:divBdr>
        <w:top w:val="none" w:sz="0" w:space="0" w:color="auto"/>
        <w:left w:val="none" w:sz="0" w:space="0" w:color="auto"/>
        <w:bottom w:val="none" w:sz="0" w:space="0" w:color="auto"/>
        <w:right w:val="none" w:sz="0" w:space="0" w:color="auto"/>
      </w:divBdr>
    </w:div>
    <w:div w:id="17336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800" b="0" i="0" u="none" strike="noStrike" baseline="0">
                <a:effectLst/>
              </a:rPr>
              <a:t>Credit Card Ownership by Age Group (2023)</a:t>
            </a:r>
            <a:r>
              <a:rPr lang="en-IN" sz="1800" b="1" i="0" u="none" strike="noStrike" baseline="0"/>
              <a:t>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Sheet1!$B$3</c:f>
              <c:strCache>
                <c:ptCount val="1"/>
                <c:pt idx="0">
                  <c:v>Percentage of Population with Credit Cards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E98-4C8C-AAD1-68BB4EAF0D6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E98-4C8C-AAD1-68BB4EAF0D6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E98-4C8C-AAD1-68BB4EAF0D6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E98-4C8C-AAD1-68BB4EAF0D6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1E98-4C8C-AAD1-68BB4EAF0D62}"/>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1E98-4C8C-AAD1-68BB4EAF0D62}"/>
              </c:ext>
            </c:extLst>
          </c:dPt>
          <c:dLbls>
            <c:dLbl>
              <c:idx val="0"/>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E98-4C8C-AAD1-68BB4EAF0D62}"/>
                </c:ext>
              </c:extLst>
            </c:dLbl>
            <c:dLbl>
              <c:idx val="1"/>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E98-4C8C-AAD1-68BB4EAF0D62}"/>
                </c:ext>
              </c:extLst>
            </c:dLbl>
            <c:dLbl>
              <c:idx val="2"/>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E98-4C8C-AAD1-68BB4EAF0D62}"/>
                </c:ext>
              </c:extLst>
            </c:dLbl>
            <c:dLbl>
              <c:idx val="3"/>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E98-4C8C-AAD1-68BB4EAF0D62}"/>
                </c:ext>
              </c:extLst>
            </c:dLbl>
            <c:dLbl>
              <c:idx val="4"/>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E98-4C8C-AAD1-68BB4EAF0D62}"/>
                </c:ext>
              </c:extLst>
            </c:dLbl>
            <c:dLbl>
              <c:idx val="5"/>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E98-4C8C-AAD1-68BB4EAF0D6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Sheet1!$A$4:$A$9</c:f>
              <c:strCache>
                <c:ptCount val="6"/>
                <c:pt idx="0">
                  <c:v>18-24 years</c:v>
                </c:pt>
                <c:pt idx="1">
                  <c:v>25-34 years</c:v>
                </c:pt>
                <c:pt idx="2">
                  <c:v>35-44 years</c:v>
                </c:pt>
                <c:pt idx="3">
                  <c:v>45-54 years</c:v>
                </c:pt>
                <c:pt idx="4">
                  <c:v>55-64 years</c:v>
                </c:pt>
                <c:pt idx="5">
                  <c:v>65+ years</c:v>
                </c:pt>
              </c:strCache>
            </c:strRef>
          </c:cat>
          <c:val>
            <c:numRef>
              <c:f>Sheet1!$B$4:$B$9</c:f>
              <c:numCache>
                <c:formatCode>0%</c:formatCode>
                <c:ptCount val="6"/>
                <c:pt idx="0">
                  <c:v>0.59</c:v>
                </c:pt>
                <c:pt idx="1">
                  <c:v>0.77</c:v>
                </c:pt>
                <c:pt idx="2">
                  <c:v>0.83</c:v>
                </c:pt>
                <c:pt idx="3">
                  <c:v>0.86</c:v>
                </c:pt>
                <c:pt idx="4">
                  <c:v>0.89</c:v>
                </c:pt>
                <c:pt idx="5">
                  <c:v>0.91</c:v>
                </c:pt>
              </c:numCache>
            </c:numRef>
          </c:val>
          <c:extLst>
            <c:ext xmlns:c16="http://schemas.microsoft.com/office/drawing/2014/chart" uri="{C3380CC4-5D6E-409C-BE32-E72D297353CC}">
              <c16:uniqueId val="{0000000C-1E98-4C8C-AAD1-68BB4EAF0D62}"/>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Average Credit Card Interest Rates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Sheet2!$B$3</c:f>
              <c:strCache>
                <c:ptCount val="1"/>
                <c:pt idx="0">
                  <c:v>Average Annual Percentage Rate (APR)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Sheet2!$A$4:$A$8</c:f>
              <c:strCache>
                <c:ptCount val="5"/>
                <c:pt idx="0">
                  <c:v>Standard Credit Cards</c:v>
                </c:pt>
                <c:pt idx="1">
                  <c:v>Rewards Credit Cards</c:v>
                </c:pt>
                <c:pt idx="2">
                  <c:v>Secured Credit Cards</c:v>
                </c:pt>
                <c:pt idx="3">
                  <c:v>Balance Transfer Cards</c:v>
                </c:pt>
                <c:pt idx="4">
                  <c:v>Student Credit Cards</c:v>
                </c:pt>
              </c:strCache>
            </c:strRef>
          </c:cat>
          <c:val>
            <c:numRef>
              <c:f>Sheet2!$B$4:$B$8</c:f>
              <c:numCache>
                <c:formatCode>0.00%</c:formatCode>
                <c:ptCount val="5"/>
                <c:pt idx="0">
                  <c:v>0.16880000000000001</c:v>
                </c:pt>
                <c:pt idx="1">
                  <c:v>0.17730000000000001</c:v>
                </c:pt>
                <c:pt idx="2">
                  <c:v>0.19989999999999999</c:v>
                </c:pt>
                <c:pt idx="3">
                  <c:v>0.1512</c:v>
                </c:pt>
                <c:pt idx="4">
                  <c:v>0.17069999999999999</c:v>
                </c:pt>
              </c:numCache>
            </c:numRef>
          </c:val>
          <c:extLst>
            <c:ext xmlns:c16="http://schemas.microsoft.com/office/drawing/2014/chart" uri="{C3380CC4-5D6E-409C-BE32-E72D297353CC}">
              <c16:uniqueId val="{00000000-10DE-4B28-A72F-EB939E27919E}"/>
            </c:ext>
          </c:extLst>
        </c:ser>
        <c:dLbls>
          <c:dLblPos val="outEnd"/>
          <c:showLegendKey val="0"/>
          <c:showVal val="1"/>
          <c:showCatName val="0"/>
          <c:showSerName val="0"/>
          <c:showPercent val="0"/>
          <c:showBubbleSize val="0"/>
        </c:dLbls>
        <c:gapWidth val="182"/>
        <c:axId val="754646975"/>
        <c:axId val="754649375"/>
      </c:barChart>
      <c:catAx>
        <c:axId val="7546469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649375"/>
        <c:crosses val="autoZero"/>
        <c:auto val="1"/>
        <c:lblAlgn val="ctr"/>
        <c:lblOffset val="100"/>
        <c:noMultiLvlLbl val="0"/>
      </c:catAx>
      <c:valAx>
        <c:axId val="754649375"/>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646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Sheet3!$B$3</c:f>
              <c:strCache>
                <c:ptCount val="1"/>
                <c:pt idx="0">
                  <c:v>Average Monthly Spending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068-4BD6-9739-33D4E3AB18B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068-4BD6-9739-33D4E3AB18B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068-4BD6-9739-33D4E3AB18B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068-4BD6-9739-33D4E3AB18B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5068-4BD6-9739-33D4E3AB18B2}"/>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5068-4BD6-9739-33D4E3AB18B2}"/>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5068-4BD6-9739-33D4E3AB18B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Sheet3!$A$4:$A$10</c:f>
              <c:strCache>
                <c:ptCount val="7"/>
                <c:pt idx="0">
                  <c:v>Groceries</c:v>
                </c:pt>
                <c:pt idx="1">
                  <c:v>Dining Out</c:v>
                </c:pt>
                <c:pt idx="2">
                  <c:v>Travel</c:v>
                </c:pt>
                <c:pt idx="3">
                  <c:v>Entertainment</c:v>
                </c:pt>
                <c:pt idx="4">
                  <c:v>Gas/Transportation</c:v>
                </c:pt>
                <c:pt idx="5">
                  <c:v>Online Shopping</c:v>
                </c:pt>
                <c:pt idx="6">
                  <c:v>Other</c:v>
                </c:pt>
              </c:strCache>
            </c:strRef>
          </c:cat>
          <c:val>
            <c:numRef>
              <c:f>Sheet3!$B$4:$B$10</c:f>
              <c:numCache>
                <c:formatCode>General</c:formatCode>
                <c:ptCount val="7"/>
                <c:pt idx="0">
                  <c:v>550</c:v>
                </c:pt>
                <c:pt idx="1">
                  <c:v>250</c:v>
                </c:pt>
                <c:pt idx="2">
                  <c:v>300</c:v>
                </c:pt>
                <c:pt idx="3">
                  <c:v>150</c:v>
                </c:pt>
                <c:pt idx="4">
                  <c:v>200</c:v>
                </c:pt>
                <c:pt idx="5">
                  <c:v>400</c:v>
                </c:pt>
                <c:pt idx="6">
                  <c:v>350</c:v>
                </c:pt>
              </c:numCache>
            </c:numRef>
          </c:val>
          <c:extLst>
            <c:ext xmlns:c16="http://schemas.microsoft.com/office/drawing/2014/chart" uri="{C3380CC4-5D6E-409C-BE32-E72D297353CC}">
              <c16:uniqueId val="{0000000E-5068-4BD6-9739-33D4E3AB18B2}"/>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Credit Card Penetration by Income Level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Sheet4!$B$3</c:f>
              <c:strCache>
                <c:ptCount val="1"/>
                <c:pt idx="0">
                  <c:v>Percentage of Population with Credit Cards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Sheet4!$A$4:$A$8</c:f>
              <c:strCache>
                <c:ptCount val="5"/>
                <c:pt idx="0">
                  <c:v>Less than $25,000</c:v>
                </c:pt>
                <c:pt idx="1">
                  <c:v>$25,000 - $49,999</c:v>
                </c:pt>
                <c:pt idx="2">
                  <c:v>$50,000 - $74,999</c:v>
                </c:pt>
                <c:pt idx="3">
                  <c:v>$75,000 - $99,999</c:v>
                </c:pt>
                <c:pt idx="4">
                  <c:v>$100,000 or more</c:v>
                </c:pt>
              </c:strCache>
            </c:strRef>
          </c:cat>
          <c:val>
            <c:numRef>
              <c:f>Sheet4!$B$4:$B$8</c:f>
              <c:numCache>
                <c:formatCode>0%</c:formatCode>
                <c:ptCount val="5"/>
                <c:pt idx="0">
                  <c:v>0.45</c:v>
                </c:pt>
                <c:pt idx="1">
                  <c:v>0.65</c:v>
                </c:pt>
                <c:pt idx="2">
                  <c:v>0.8</c:v>
                </c:pt>
                <c:pt idx="3">
                  <c:v>0.87</c:v>
                </c:pt>
                <c:pt idx="4">
                  <c:v>0.93</c:v>
                </c:pt>
              </c:numCache>
            </c:numRef>
          </c:val>
          <c:extLst>
            <c:ext xmlns:c16="http://schemas.microsoft.com/office/drawing/2014/chart" uri="{C3380CC4-5D6E-409C-BE32-E72D297353CC}">
              <c16:uniqueId val="{00000000-7635-4B64-AE67-2DC3618A98DA}"/>
            </c:ext>
          </c:extLst>
        </c:ser>
        <c:dLbls>
          <c:dLblPos val="outEnd"/>
          <c:showLegendKey val="0"/>
          <c:showVal val="1"/>
          <c:showCatName val="0"/>
          <c:showSerName val="0"/>
          <c:showPercent val="0"/>
          <c:showBubbleSize val="0"/>
        </c:dLbls>
        <c:gapWidth val="219"/>
        <c:overlap val="-27"/>
        <c:axId val="1072577232"/>
        <c:axId val="1072576752"/>
      </c:barChart>
      <c:catAx>
        <c:axId val="107257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576752"/>
        <c:crosses val="autoZero"/>
        <c:auto val="1"/>
        <c:lblAlgn val="ctr"/>
        <c:lblOffset val="100"/>
        <c:noMultiLvlLbl val="0"/>
      </c:catAx>
      <c:valAx>
        <c:axId val="10725767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57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2024-06-28T09:14:00Z</dcterms:created>
  <dcterms:modified xsi:type="dcterms:W3CDTF">2024-06-28T09:36:00Z</dcterms:modified>
</cp:coreProperties>
</file>