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F5BE8" w14:textId="2A46CF68" w:rsidR="00554835" w:rsidRPr="00554835" w:rsidRDefault="00554835" w:rsidP="00554835">
      <w:pPr>
        <w:pStyle w:val="Heading1"/>
        <w:jc w:val="center"/>
        <w:rPr>
          <w:rFonts w:eastAsia="Times New Roman"/>
          <w:lang w:eastAsia="en-IN"/>
        </w:rPr>
      </w:pPr>
      <w:r w:rsidRPr="00554835">
        <w:rPr>
          <w:rFonts w:eastAsia="Times New Roman"/>
          <w:lang w:eastAsia="en-IN"/>
        </w:rPr>
        <w:t>DODD-FRANK WALL STREET REFORM AND CONSUMER PROTECTION ACT AND SARBANES-OXLEY ACT (SOX)</w:t>
      </w:r>
    </w:p>
    <w:p w14:paraId="01F57407" w14:textId="77777777" w:rsidR="00554835" w:rsidRPr="00554835" w:rsidRDefault="00554835" w:rsidP="00554835">
      <w:pPr>
        <w:pStyle w:val="Heading1"/>
        <w:rPr>
          <w:rFonts w:eastAsia="Times New Roman"/>
          <w:lang w:eastAsia="en-IN"/>
        </w:rPr>
      </w:pPr>
      <w:r w:rsidRPr="00554835">
        <w:rPr>
          <w:rFonts w:eastAsia="Times New Roman"/>
          <w:lang w:eastAsia="en-IN"/>
        </w:rPr>
        <w:t>Introduction</w:t>
      </w:r>
    </w:p>
    <w:p w14:paraId="4070F27B" w14:textId="77777777" w:rsidR="00554835" w:rsidRPr="00554835" w:rsidRDefault="00554835" w:rsidP="00554835">
      <w:pPr>
        <w:spacing w:before="100" w:beforeAutospacing="1" w:after="100" w:afterAutospacing="1" w:line="240" w:lineRule="auto"/>
        <w:rPr>
          <w:rFonts w:eastAsia="Times New Roman" w:cs="Times New Roman"/>
          <w:kern w:val="0"/>
          <w:sz w:val="24"/>
          <w:szCs w:val="24"/>
          <w:lang w:eastAsia="en-IN"/>
          <w14:ligatures w14:val="none"/>
        </w:rPr>
      </w:pPr>
      <w:r w:rsidRPr="00554835">
        <w:rPr>
          <w:rFonts w:eastAsia="Times New Roman" w:cs="Times New Roman"/>
          <w:kern w:val="0"/>
          <w:sz w:val="24"/>
          <w:szCs w:val="24"/>
          <w:lang w:eastAsia="en-IN"/>
          <w14:ligatures w14:val="none"/>
        </w:rPr>
        <w:t>The Dodd-Frank Wall Street Reform and Consumer Protection Act (Dodd-Frank Act) and the Sarbanes-Oxley Act (SOX) are two landmark legislations in the United States that significantly impacted the financial and corporate governance landscapes. This assignment delves into the origins, main provisions, impacts, and criticisms of these acts, which were enacted in response to significant financial crises and corporate scandals.</w:t>
      </w:r>
    </w:p>
    <w:p w14:paraId="48132C88" w14:textId="77777777" w:rsidR="00554835" w:rsidRPr="00554835" w:rsidRDefault="00554835" w:rsidP="00554835">
      <w:pPr>
        <w:pStyle w:val="Heading1"/>
        <w:rPr>
          <w:rFonts w:eastAsia="Times New Roman"/>
          <w:lang w:eastAsia="en-IN"/>
        </w:rPr>
      </w:pPr>
      <w:r w:rsidRPr="00554835">
        <w:rPr>
          <w:rFonts w:eastAsia="Times New Roman"/>
          <w:lang w:eastAsia="en-IN"/>
        </w:rPr>
        <w:t>Dodd-Frank Wall Street Reform and Consumer Protection Act</w:t>
      </w:r>
    </w:p>
    <w:p w14:paraId="22A031B4" w14:textId="77777777" w:rsidR="00554835" w:rsidRPr="00554835" w:rsidRDefault="00554835" w:rsidP="00554835">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554835">
        <w:rPr>
          <w:rFonts w:eastAsia="Times New Roman" w:cs="Times New Roman"/>
          <w:b/>
          <w:bCs/>
          <w:kern w:val="0"/>
          <w:sz w:val="24"/>
          <w:szCs w:val="24"/>
          <w:lang w:eastAsia="en-IN"/>
          <w14:ligatures w14:val="none"/>
        </w:rPr>
        <w:t>Origins and Background</w:t>
      </w:r>
    </w:p>
    <w:p w14:paraId="769F8720" w14:textId="77777777" w:rsidR="00554835" w:rsidRPr="00554835" w:rsidRDefault="00554835" w:rsidP="00554835">
      <w:pPr>
        <w:spacing w:before="100" w:beforeAutospacing="1" w:after="100" w:afterAutospacing="1" w:line="240" w:lineRule="auto"/>
        <w:rPr>
          <w:rFonts w:eastAsia="Times New Roman" w:cs="Times New Roman"/>
          <w:kern w:val="0"/>
          <w:sz w:val="24"/>
          <w:szCs w:val="24"/>
          <w:lang w:eastAsia="en-IN"/>
          <w14:ligatures w14:val="none"/>
        </w:rPr>
      </w:pPr>
      <w:r w:rsidRPr="00554835">
        <w:rPr>
          <w:rFonts w:eastAsia="Times New Roman" w:cs="Times New Roman"/>
          <w:kern w:val="0"/>
          <w:sz w:val="24"/>
          <w:szCs w:val="24"/>
          <w:lang w:eastAsia="en-IN"/>
          <w14:ligatures w14:val="none"/>
        </w:rPr>
        <w:t>The Dodd-Frank Act was signed into law on July 21, 2010, by President Barack Obama, in the wake of the financial crisis of 2007-2008. The crisis highlighted severe deficiencies in the financial regulatory framework, leading to the collapse of major financial institutions and necessitating massive government bailouts. The Act is named after its sponsors, Senator Chris Dodd and Representative Barney Frank, and aims to prevent future financial crises by enhancing regulation and oversight of financial institutions.</w:t>
      </w:r>
    </w:p>
    <w:p w14:paraId="610FD46E" w14:textId="77777777" w:rsidR="00554835" w:rsidRPr="00554835" w:rsidRDefault="00554835" w:rsidP="00554835">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554835">
        <w:rPr>
          <w:rFonts w:eastAsia="Times New Roman" w:cs="Times New Roman"/>
          <w:b/>
          <w:bCs/>
          <w:kern w:val="0"/>
          <w:sz w:val="24"/>
          <w:szCs w:val="24"/>
          <w:lang w:eastAsia="en-IN"/>
          <w14:ligatures w14:val="none"/>
        </w:rPr>
        <w:t>Main Provisions</w:t>
      </w:r>
    </w:p>
    <w:p w14:paraId="375558E7" w14:textId="77777777" w:rsidR="00554835" w:rsidRPr="00554835" w:rsidRDefault="00554835" w:rsidP="00554835">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554835">
        <w:rPr>
          <w:rFonts w:eastAsia="Times New Roman" w:cs="Times New Roman"/>
          <w:b/>
          <w:bCs/>
          <w:kern w:val="0"/>
          <w:sz w:val="24"/>
          <w:szCs w:val="24"/>
          <w:lang w:eastAsia="en-IN"/>
          <w14:ligatures w14:val="none"/>
        </w:rPr>
        <w:t>Consumer Financial Protection Bureau (CFPB)</w:t>
      </w:r>
      <w:r w:rsidRPr="00554835">
        <w:rPr>
          <w:rFonts w:eastAsia="Times New Roman" w:cs="Times New Roman"/>
          <w:kern w:val="0"/>
          <w:sz w:val="24"/>
          <w:szCs w:val="24"/>
          <w:lang w:eastAsia="en-IN"/>
          <w14:ligatures w14:val="none"/>
        </w:rPr>
        <w:t>: Established to regulate consumer financial products and services, ensuring that consumers are treated fairly.</w:t>
      </w:r>
    </w:p>
    <w:p w14:paraId="604060B2" w14:textId="77777777" w:rsidR="00554835" w:rsidRPr="00554835" w:rsidRDefault="00554835" w:rsidP="00554835">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554835">
        <w:rPr>
          <w:rFonts w:eastAsia="Times New Roman" w:cs="Times New Roman"/>
          <w:b/>
          <w:bCs/>
          <w:kern w:val="0"/>
          <w:sz w:val="24"/>
          <w:szCs w:val="24"/>
          <w:lang w:eastAsia="en-IN"/>
          <w14:ligatures w14:val="none"/>
        </w:rPr>
        <w:t>Financial Stability Oversight Council (FSOC)</w:t>
      </w:r>
      <w:r w:rsidRPr="00554835">
        <w:rPr>
          <w:rFonts w:eastAsia="Times New Roman" w:cs="Times New Roman"/>
          <w:kern w:val="0"/>
          <w:sz w:val="24"/>
          <w:szCs w:val="24"/>
          <w:lang w:eastAsia="en-IN"/>
          <w14:ligatures w14:val="none"/>
        </w:rPr>
        <w:t>: Created to monitor and mitigate systemic risks to the financial system. It consists of heads of various financial regulatory agencies.</w:t>
      </w:r>
    </w:p>
    <w:p w14:paraId="20CA7125" w14:textId="77777777" w:rsidR="00554835" w:rsidRPr="00554835" w:rsidRDefault="00554835" w:rsidP="00554835">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554835">
        <w:rPr>
          <w:rFonts w:eastAsia="Times New Roman" w:cs="Times New Roman"/>
          <w:b/>
          <w:bCs/>
          <w:kern w:val="0"/>
          <w:sz w:val="24"/>
          <w:szCs w:val="24"/>
          <w:lang w:eastAsia="en-IN"/>
          <w14:ligatures w14:val="none"/>
        </w:rPr>
        <w:t>Volcker Rule</w:t>
      </w:r>
      <w:r w:rsidRPr="00554835">
        <w:rPr>
          <w:rFonts w:eastAsia="Times New Roman" w:cs="Times New Roman"/>
          <w:kern w:val="0"/>
          <w:sz w:val="24"/>
          <w:szCs w:val="24"/>
          <w:lang w:eastAsia="en-IN"/>
          <w14:ligatures w14:val="none"/>
        </w:rPr>
        <w:t>: Limits the ability of banks to engage in proprietary trading and restricts their investments in hedge funds and private equity.</w:t>
      </w:r>
    </w:p>
    <w:p w14:paraId="1163622D" w14:textId="77777777" w:rsidR="00554835" w:rsidRPr="00554835" w:rsidRDefault="00554835" w:rsidP="00554835">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554835">
        <w:rPr>
          <w:rFonts w:eastAsia="Times New Roman" w:cs="Times New Roman"/>
          <w:b/>
          <w:bCs/>
          <w:kern w:val="0"/>
          <w:sz w:val="24"/>
          <w:szCs w:val="24"/>
          <w:lang w:eastAsia="en-IN"/>
          <w14:ligatures w14:val="none"/>
        </w:rPr>
        <w:t>Orderly Liquidation Authority</w:t>
      </w:r>
      <w:r w:rsidRPr="00554835">
        <w:rPr>
          <w:rFonts w:eastAsia="Times New Roman" w:cs="Times New Roman"/>
          <w:kern w:val="0"/>
          <w:sz w:val="24"/>
          <w:szCs w:val="24"/>
          <w:lang w:eastAsia="en-IN"/>
          <w14:ligatures w14:val="none"/>
        </w:rPr>
        <w:t>: Provides a framework for the federal government to liquidate failing financial institutions that pose significant risks, avoiding taxpayer-funded bailouts.</w:t>
      </w:r>
    </w:p>
    <w:p w14:paraId="2CBA01A2" w14:textId="77777777" w:rsidR="00554835" w:rsidRPr="00554835" w:rsidRDefault="00554835" w:rsidP="00554835">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554835">
        <w:rPr>
          <w:rFonts w:eastAsia="Times New Roman" w:cs="Times New Roman"/>
          <w:b/>
          <w:bCs/>
          <w:kern w:val="0"/>
          <w:sz w:val="24"/>
          <w:szCs w:val="24"/>
          <w:lang w:eastAsia="en-IN"/>
          <w14:ligatures w14:val="none"/>
        </w:rPr>
        <w:lastRenderedPageBreak/>
        <w:t>Derivatives Regulation</w:t>
      </w:r>
      <w:r w:rsidRPr="00554835">
        <w:rPr>
          <w:rFonts w:eastAsia="Times New Roman" w:cs="Times New Roman"/>
          <w:kern w:val="0"/>
          <w:sz w:val="24"/>
          <w:szCs w:val="24"/>
          <w:lang w:eastAsia="en-IN"/>
          <w14:ligatures w14:val="none"/>
        </w:rPr>
        <w:t>: Mandates that most derivatives be traded on exchanges and cleared through central clearinghouses to increase transparency.</w:t>
      </w:r>
    </w:p>
    <w:p w14:paraId="76DD80E9" w14:textId="77777777" w:rsidR="00554835" w:rsidRPr="00554835" w:rsidRDefault="00554835" w:rsidP="00554835">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554835">
        <w:rPr>
          <w:rFonts w:eastAsia="Times New Roman" w:cs="Times New Roman"/>
          <w:b/>
          <w:bCs/>
          <w:kern w:val="0"/>
          <w:sz w:val="24"/>
          <w:szCs w:val="24"/>
          <w:lang w:eastAsia="en-IN"/>
          <w14:ligatures w14:val="none"/>
        </w:rPr>
        <w:t>Increased Capital Requirements</w:t>
      </w:r>
      <w:r w:rsidRPr="00554835">
        <w:rPr>
          <w:rFonts w:eastAsia="Times New Roman" w:cs="Times New Roman"/>
          <w:kern w:val="0"/>
          <w:sz w:val="24"/>
          <w:szCs w:val="24"/>
          <w:lang w:eastAsia="en-IN"/>
          <w14:ligatures w14:val="none"/>
        </w:rPr>
        <w:t>: Requires financial institutions to hold more capital to absorb potential losses and reduce the risk of insolvency.</w:t>
      </w:r>
    </w:p>
    <w:p w14:paraId="2AA75B6A" w14:textId="77777777" w:rsidR="00554835" w:rsidRPr="00554835" w:rsidRDefault="00554835" w:rsidP="00554835">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554835">
        <w:rPr>
          <w:rFonts w:eastAsia="Times New Roman" w:cs="Times New Roman"/>
          <w:b/>
          <w:bCs/>
          <w:kern w:val="0"/>
          <w:sz w:val="24"/>
          <w:szCs w:val="24"/>
          <w:lang w:eastAsia="en-IN"/>
          <w14:ligatures w14:val="none"/>
        </w:rPr>
        <w:t>Office of Financial Research (OFR)</w:t>
      </w:r>
      <w:r w:rsidRPr="00554835">
        <w:rPr>
          <w:rFonts w:eastAsia="Times New Roman" w:cs="Times New Roman"/>
          <w:kern w:val="0"/>
          <w:sz w:val="24"/>
          <w:szCs w:val="24"/>
          <w:lang w:eastAsia="en-IN"/>
          <w14:ligatures w14:val="none"/>
        </w:rPr>
        <w:t xml:space="preserve">: Established to support the FSOC by collecting and </w:t>
      </w:r>
      <w:proofErr w:type="spellStart"/>
      <w:r w:rsidRPr="00554835">
        <w:rPr>
          <w:rFonts w:eastAsia="Times New Roman" w:cs="Times New Roman"/>
          <w:kern w:val="0"/>
          <w:sz w:val="24"/>
          <w:szCs w:val="24"/>
          <w:lang w:eastAsia="en-IN"/>
          <w14:ligatures w14:val="none"/>
        </w:rPr>
        <w:t>analyzing</w:t>
      </w:r>
      <w:proofErr w:type="spellEnd"/>
      <w:r w:rsidRPr="00554835">
        <w:rPr>
          <w:rFonts w:eastAsia="Times New Roman" w:cs="Times New Roman"/>
          <w:kern w:val="0"/>
          <w:sz w:val="24"/>
          <w:szCs w:val="24"/>
          <w:lang w:eastAsia="en-IN"/>
          <w14:ligatures w14:val="none"/>
        </w:rPr>
        <w:t xml:space="preserve"> financial data.</w:t>
      </w:r>
    </w:p>
    <w:p w14:paraId="716AB338" w14:textId="77777777" w:rsidR="00554835" w:rsidRPr="00554835" w:rsidRDefault="00554835" w:rsidP="00554835">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554835">
        <w:rPr>
          <w:rFonts w:eastAsia="Times New Roman" w:cs="Times New Roman"/>
          <w:b/>
          <w:bCs/>
          <w:kern w:val="0"/>
          <w:sz w:val="24"/>
          <w:szCs w:val="24"/>
          <w:lang w:eastAsia="en-IN"/>
          <w14:ligatures w14:val="none"/>
        </w:rPr>
        <w:t>Impact and Criticisms</w:t>
      </w:r>
    </w:p>
    <w:p w14:paraId="256A50A6" w14:textId="77777777" w:rsidR="00554835" w:rsidRPr="00554835" w:rsidRDefault="00554835" w:rsidP="00554835">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554835">
        <w:rPr>
          <w:rFonts w:eastAsia="Times New Roman" w:cs="Times New Roman"/>
          <w:b/>
          <w:bCs/>
          <w:kern w:val="0"/>
          <w:sz w:val="24"/>
          <w:szCs w:val="24"/>
          <w:lang w:eastAsia="en-IN"/>
          <w14:ligatures w14:val="none"/>
        </w:rPr>
        <w:t>Impact</w:t>
      </w:r>
      <w:r w:rsidRPr="00554835">
        <w:rPr>
          <w:rFonts w:eastAsia="Times New Roman" w:cs="Times New Roman"/>
          <w:kern w:val="0"/>
          <w:sz w:val="24"/>
          <w:szCs w:val="24"/>
          <w:lang w:eastAsia="en-IN"/>
          <w14:ligatures w14:val="none"/>
        </w:rPr>
        <w:t>: The Dodd-Frank Act has led to stricter regulatory oversight, improved consumer protections, and enhanced financial system stability. It has increased transparency in the derivatives market and imposed higher capital requirements on banks.</w:t>
      </w:r>
    </w:p>
    <w:p w14:paraId="7AA4B9F5" w14:textId="77777777" w:rsidR="00554835" w:rsidRPr="00554835" w:rsidRDefault="00554835" w:rsidP="00554835">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554835">
        <w:rPr>
          <w:rFonts w:eastAsia="Times New Roman" w:cs="Times New Roman"/>
          <w:b/>
          <w:bCs/>
          <w:kern w:val="0"/>
          <w:sz w:val="24"/>
          <w:szCs w:val="24"/>
          <w:lang w:eastAsia="en-IN"/>
          <w14:ligatures w14:val="none"/>
        </w:rPr>
        <w:t>Criticisms</w:t>
      </w:r>
      <w:r w:rsidRPr="00554835">
        <w:rPr>
          <w:rFonts w:eastAsia="Times New Roman" w:cs="Times New Roman"/>
          <w:kern w:val="0"/>
          <w:sz w:val="24"/>
          <w:szCs w:val="24"/>
          <w:lang w:eastAsia="en-IN"/>
          <w14:ligatures w14:val="none"/>
        </w:rPr>
        <w:t>: The Act has been criticized for its complexity and the high compliance costs it imposes on financial institutions, particularly smaller banks. Some argue that it has reduced market liquidity and stifled economic growth. Others believe certain provisions are overly burdensome and hinder the competitiveness of U.S. financial institutions.</w:t>
      </w:r>
    </w:p>
    <w:p w14:paraId="1C7EDB0D" w14:textId="77777777" w:rsidR="00554835" w:rsidRPr="00554835" w:rsidRDefault="00554835" w:rsidP="00554835">
      <w:pPr>
        <w:pStyle w:val="Heading1"/>
        <w:rPr>
          <w:rFonts w:eastAsia="Times New Roman"/>
          <w:lang w:eastAsia="en-IN"/>
        </w:rPr>
      </w:pPr>
      <w:r w:rsidRPr="00554835">
        <w:rPr>
          <w:rFonts w:eastAsia="Times New Roman"/>
          <w:lang w:eastAsia="en-IN"/>
        </w:rPr>
        <w:t>Sarbanes-Oxley Act (SOX)</w:t>
      </w:r>
    </w:p>
    <w:p w14:paraId="49A63CB1" w14:textId="77777777" w:rsidR="00554835" w:rsidRPr="00554835" w:rsidRDefault="00554835" w:rsidP="00554835">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554835">
        <w:rPr>
          <w:rFonts w:eastAsia="Times New Roman" w:cs="Times New Roman"/>
          <w:b/>
          <w:bCs/>
          <w:kern w:val="0"/>
          <w:sz w:val="24"/>
          <w:szCs w:val="24"/>
          <w:lang w:eastAsia="en-IN"/>
          <w14:ligatures w14:val="none"/>
        </w:rPr>
        <w:t>Origins and Background</w:t>
      </w:r>
    </w:p>
    <w:p w14:paraId="09732A45" w14:textId="77777777" w:rsidR="00554835" w:rsidRPr="00554835" w:rsidRDefault="00554835" w:rsidP="00554835">
      <w:pPr>
        <w:spacing w:before="100" w:beforeAutospacing="1" w:after="100" w:afterAutospacing="1" w:line="240" w:lineRule="auto"/>
        <w:rPr>
          <w:rFonts w:eastAsia="Times New Roman" w:cs="Times New Roman"/>
          <w:kern w:val="0"/>
          <w:sz w:val="24"/>
          <w:szCs w:val="24"/>
          <w:lang w:eastAsia="en-IN"/>
          <w14:ligatures w14:val="none"/>
        </w:rPr>
      </w:pPr>
      <w:r w:rsidRPr="00554835">
        <w:rPr>
          <w:rFonts w:eastAsia="Times New Roman" w:cs="Times New Roman"/>
          <w:kern w:val="0"/>
          <w:sz w:val="24"/>
          <w:szCs w:val="24"/>
          <w:lang w:eastAsia="en-IN"/>
          <w14:ligatures w14:val="none"/>
        </w:rPr>
        <w:t>The Sarbanes-Oxley Act was enacted on July 30, 2002, in response to a series of high-profile corporate scandals, including Enron and WorldCom. These scandals exposed significant weaknesses in corporate governance, accounting practices, and auditor independence, leading to substantial financial losses for investors and a loss of confidence in the capital markets. SOX was named after its sponsors, Senator Paul Sarbanes and Representative Michael Oxley, and aims to enhance corporate accountability and financial transparency.</w:t>
      </w:r>
    </w:p>
    <w:p w14:paraId="222955FC" w14:textId="77777777" w:rsidR="00554835" w:rsidRPr="00554835" w:rsidRDefault="00554835" w:rsidP="00554835">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554835">
        <w:rPr>
          <w:rFonts w:eastAsia="Times New Roman" w:cs="Times New Roman"/>
          <w:b/>
          <w:bCs/>
          <w:kern w:val="0"/>
          <w:sz w:val="24"/>
          <w:szCs w:val="24"/>
          <w:lang w:eastAsia="en-IN"/>
          <w14:ligatures w14:val="none"/>
        </w:rPr>
        <w:t>Main Provisions</w:t>
      </w:r>
    </w:p>
    <w:p w14:paraId="26D471E0" w14:textId="77777777" w:rsidR="00554835" w:rsidRPr="00554835" w:rsidRDefault="00554835" w:rsidP="00554835">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554835">
        <w:rPr>
          <w:rFonts w:eastAsia="Times New Roman" w:cs="Times New Roman"/>
          <w:b/>
          <w:bCs/>
          <w:kern w:val="0"/>
          <w:sz w:val="24"/>
          <w:szCs w:val="24"/>
          <w:lang w:eastAsia="en-IN"/>
          <w14:ligatures w14:val="none"/>
        </w:rPr>
        <w:t>Public Company Accounting Oversight Board (PCAOB)</w:t>
      </w:r>
      <w:r w:rsidRPr="00554835">
        <w:rPr>
          <w:rFonts w:eastAsia="Times New Roman" w:cs="Times New Roman"/>
          <w:kern w:val="0"/>
          <w:sz w:val="24"/>
          <w:szCs w:val="24"/>
          <w:lang w:eastAsia="en-IN"/>
          <w14:ligatures w14:val="none"/>
        </w:rPr>
        <w:t>: Created to oversee the audits of public companies, ensuring adherence to strict auditing standards.</w:t>
      </w:r>
    </w:p>
    <w:p w14:paraId="3F21633C" w14:textId="77777777" w:rsidR="00554835" w:rsidRPr="00554835" w:rsidRDefault="00554835" w:rsidP="00554835">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554835">
        <w:rPr>
          <w:rFonts w:eastAsia="Times New Roman" w:cs="Times New Roman"/>
          <w:b/>
          <w:bCs/>
          <w:kern w:val="0"/>
          <w:sz w:val="24"/>
          <w:szCs w:val="24"/>
          <w:lang w:eastAsia="en-IN"/>
          <w14:ligatures w14:val="none"/>
        </w:rPr>
        <w:t>Corporate Responsibility</w:t>
      </w:r>
      <w:r w:rsidRPr="00554835">
        <w:rPr>
          <w:rFonts w:eastAsia="Times New Roman" w:cs="Times New Roman"/>
          <w:kern w:val="0"/>
          <w:sz w:val="24"/>
          <w:szCs w:val="24"/>
          <w:lang w:eastAsia="en-IN"/>
          <w14:ligatures w14:val="none"/>
        </w:rPr>
        <w:t>: Requires senior executives to certify the accuracy and completeness of financial reports, holding them personally accountable for any misrepresentations.</w:t>
      </w:r>
    </w:p>
    <w:p w14:paraId="7EE8CBDC" w14:textId="77777777" w:rsidR="00554835" w:rsidRPr="00554835" w:rsidRDefault="00554835" w:rsidP="00554835">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554835">
        <w:rPr>
          <w:rFonts w:eastAsia="Times New Roman" w:cs="Times New Roman"/>
          <w:b/>
          <w:bCs/>
          <w:kern w:val="0"/>
          <w:sz w:val="24"/>
          <w:szCs w:val="24"/>
          <w:lang w:eastAsia="en-IN"/>
          <w14:ligatures w14:val="none"/>
        </w:rPr>
        <w:t>Enhanced Financial Disclosures</w:t>
      </w:r>
      <w:r w:rsidRPr="00554835">
        <w:rPr>
          <w:rFonts w:eastAsia="Times New Roman" w:cs="Times New Roman"/>
          <w:kern w:val="0"/>
          <w:sz w:val="24"/>
          <w:szCs w:val="24"/>
          <w:lang w:eastAsia="en-IN"/>
          <w14:ligatures w14:val="none"/>
        </w:rPr>
        <w:t>: Mandates more detailed and frequent disclosures of financial information, including off-balance-sheet transactions and the use of special purpose entities.</w:t>
      </w:r>
    </w:p>
    <w:p w14:paraId="43E1B9AC" w14:textId="77777777" w:rsidR="00554835" w:rsidRPr="00554835" w:rsidRDefault="00554835" w:rsidP="00554835">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554835">
        <w:rPr>
          <w:rFonts w:eastAsia="Times New Roman" w:cs="Times New Roman"/>
          <w:b/>
          <w:bCs/>
          <w:kern w:val="0"/>
          <w:sz w:val="24"/>
          <w:szCs w:val="24"/>
          <w:lang w:eastAsia="en-IN"/>
          <w14:ligatures w14:val="none"/>
        </w:rPr>
        <w:t>Internal Controls</w:t>
      </w:r>
      <w:r w:rsidRPr="00554835">
        <w:rPr>
          <w:rFonts w:eastAsia="Times New Roman" w:cs="Times New Roman"/>
          <w:kern w:val="0"/>
          <w:sz w:val="24"/>
          <w:szCs w:val="24"/>
          <w:lang w:eastAsia="en-IN"/>
          <w14:ligatures w14:val="none"/>
        </w:rPr>
        <w:t>: Section 404 requires companies to establish, maintain, and assess the effectiveness of internal controls over financial reporting, with independent auditors reviewing these controls.</w:t>
      </w:r>
    </w:p>
    <w:p w14:paraId="459CD3FA" w14:textId="77777777" w:rsidR="00554835" w:rsidRPr="00554835" w:rsidRDefault="00554835" w:rsidP="00554835">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554835">
        <w:rPr>
          <w:rFonts w:eastAsia="Times New Roman" w:cs="Times New Roman"/>
          <w:b/>
          <w:bCs/>
          <w:kern w:val="0"/>
          <w:sz w:val="24"/>
          <w:szCs w:val="24"/>
          <w:lang w:eastAsia="en-IN"/>
          <w14:ligatures w14:val="none"/>
        </w:rPr>
        <w:lastRenderedPageBreak/>
        <w:t>Auditor Independence</w:t>
      </w:r>
      <w:r w:rsidRPr="00554835">
        <w:rPr>
          <w:rFonts w:eastAsia="Times New Roman" w:cs="Times New Roman"/>
          <w:kern w:val="0"/>
          <w:sz w:val="24"/>
          <w:szCs w:val="24"/>
          <w:lang w:eastAsia="en-IN"/>
          <w14:ligatures w14:val="none"/>
        </w:rPr>
        <w:t>: Imposes restrictions on the types of non-audit services that auditors can provide to their clients to prevent conflicts of interest.</w:t>
      </w:r>
    </w:p>
    <w:p w14:paraId="2C7CE527" w14:textId="77777777" w:rsidR="00554835" w:rsidRPr="00554835" w:rsidRDefault="00554835" w:rsidP="00554835">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554835">
        <w:rPr>
          <w:rFonts w:eastAsia="Times New Roman" w:cs="Times New Roman"/>
          <w:b/>
          <w:bCs/>
          <w:kern w:val="0"/>
          <w:sz w:val="24"/>
          <w:szCs w:val="24"/>
          <w:lang w:eastAsia="en-IN"/>
          <w14:ligatures w14:val="none"/>
        </w:rPr>
        <w:t>Whistleblower Protections</w:t>
      </w:r>
      <w:r w:rsidRPr="00554835">
        <w:rPr>
          <w:rFonts w:eastAsia="Times New Roman" w:cs="Times New Roman"/>
          <w:kern w:val="0"/>
          <w:sz w:val="24"/>
          <w:szCs w:val="24"/>
          <w:lang w:eastAsia="en-IN"/>
          <w14:ligatures w14:val="none"/>
        </w:rPr>
        <w:t>: Offers protections to employees who report fraudulent activities, encouraging the exposure of corporate misconduct without fear of retaliation.</w:t>
      </w:r>
    </w:p>
    <w:p w14:paraId="4E6FE002" w14:textId="77777777" w:rsidR="00554835" w:rsidRPr="00554835" w:rsidRDefault="00554835" w:rsidP="00554835">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554835">
        <w:rPr>
          <w:rFonts w:eastAsia="Times New Roman" w:cs="Times New Roman"/>
          <w:b/>
          <w:bCs/>
          <w:kern w:val="0"/>
          <w:sz w:val="24"/>
          <w:szCs w:val="24"/>
          <w:lang w:eastAsia="en-IN"/>
          <w14:ligatures w14:val="none"/>
        </w:rPr>
        <w:t>Impact and Criticisms</w:t>
      </w:r>
    </w:p>
    <w:p w14:paraId="34F19A93" w14:textId="77777777" w:rsidR="00554835" w:rsidRPr="00554835" w:rsidRDefault="00554835" w:rsidP="00554835">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554835">
        <w:rPr>
          <w:rFonts w:eastAsia="Times New Roman" w:cs="Times New Roman"/>
          <w:b/>
          <w:bCs/>
          <w:kern w:val="0"/>
          <w:sz w:val="24"/>
          <w:szCs w:val="24"/>
          <w:lang w:eastAsia="en-IN"/>
          <w14:ligatures w14:val="none"/>
        </w:rPr>
        <w:t>Impact</w:t>
      </w:r>
      <w:r w:rsidRPr="00554835">
        <w:rPr>
          <w:rFonts w:eastAsia="Times New Roman" w:cs="Times New Roman"/>
          <w:kern w:val="0"/>
          <w:sz w:val="24"/>
          <w:szCs w:val="24"/>
          <w:lang w:eastAsia="en-IN"/>
          <w14:ligatures w14:val="none"/>
        </w:rPr>
        <w:t>: SOX has significantly improved corporate governance, enhanced the accuracy of financial reporting, and restored investor confidence in the capital markets. It has led to more rigorous internal controls and greater accountability for corporate executives.</w:t>
      </w:r>
    </w:p>
    <w:p w14:paraId="33C3B7D2" w14:textId="77777777" w:rsidR="00554835" w:rsidRPr="00554835" w:rsidRDefault="00554835" w:rsidP="00554835">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554835">
        <w:rPr>
          <w:rFonts w:eastAsia="Times New Roman" w:cs="Times New Roman"/>
          <w:b/>
          <w:bCs/>
          <w:kern w:val="0"/>
          <w:sz w:val="24"/>
          <w:szCs w:val="24"/>
          <w:lang w:eastAsia="en-IN"/>
          <w14:ligatures w14:val="none"/>
        </w:rPr>
        <w:t>Criticisms</w:t>
      </w:r>
      <w:r w:rsidRPr="00554835">
        <w:rPr>
          <w:rFonts w:eastAsia="Times New Roman" w:cs="Times New Roman"/>
          <w:kern w:val="0"/>
          <w:sz w:val="24"/>
          <w:szCs w:val="24"/>
          <w:lang w:eastAsia="en-IN"/>
          <w14:ligatures w14:val="none"/>
        </w:rPr>
        <w:t>: The compliance costs associated with SOX, particularly for Section 404, have been substantial, especially for smaller companies. Critics argue that the stringent requirements for internal control assessments and auditor reviews are overly burdensome and costly. Additionally, some believe that the Act has created a compliance-heavy environment that discourages risk-taking and innovation.</w:t>
      </w:r>
    </w:p>
    <w:p w14:paraId="766FB287" w14:textId="77777777" w:rsidR="00554835" w:rsidRPr="00554835" w:rsidRDefault="00554835" w:rsidP="00554835">
      <w:pPr>
        <w:pStyle w:val="Heading1"/>
        <w:rPr>
          <w:rFonts w:eastAsia="Times New Roman"/>
          <w:lang w:eastAsia="en-IN"/>
        </w:rPr>
      </w:pPr>
      <w:r w:rsidRPr="00554835">
        <w:rPr>
          <w:rFonts w:eastAsia="Times New Roman"/>
          <w:lang w:eastAsia="en-IN"/>
        </w:rPr>
        <w:t>Comparison and Conclusion</w:t>
      </w:r>
    </w:p>
    <w:p w14:paraId="3620CA92" w14:textId="77777777" w:rsidR="00554835" w:rsidRPr="00554835" w:rsidRDefault="00554835" w:rsidP="00554835">
      <w:pPr>
        <w:spacing w:before="100" w:beforeAutospacing="1" w:after="100" w:afterAutospacing="1" w:line="240" w:lineRule="auto"/>
        <w:rPr>
          <w:rFonts w:eastAsia="Times New Roman" w:cs="Times New Roman"/>
          <w:kern w:val="0"/>
          <w:sz w:val="24"/>
          <w:szCs w:val="24"/>
          <w:lang w:eastAsia="en-IN"/>
          <w14:ligatures w14:val="none"/>
        </w:rPr>
      </w:pPr>
      <w:r w:rsidRPr="00554835">
        <w:rPr>
          <w:rFonts w:eastAsia="Times New Roman" w:cs="Times New Roman"/>
          <w:kern w:val="0"/>
          <w:sz w:val="24"/>
          <w:szCs w:val="24"/>
          <w:lang w:eastAsia="en-IN"/>
          <w14:ligatures w14:val="none"/>
        </w:rPr>
        <w:t>Both the Dodd-Frank Act and SOX were enacted in response to crises that exposed significant weaknesses in the financial and corporate sectors. While they share a common goal of enhancing transparency, accountability, and regulatory oversight, they differ in their scope and focus.</w:t>
      </w:r>
    </w:p>
    <w:p w14:paraId="230821AD" w14:textId="77777777" w:rsidR="00554835" w:rsidRPr="00554835" w:rsidRDefault="00554835" w:rsidP="00554835">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554835">
        <w:rPr>
          <w:rFonts w:eastAsia="Times New Roman" w:cs="Times New Roman"/>
          <w:b/>
          <w:bCs/>
          <w:kern w:val="0"/>
          <w:sz w:val="24"/>
          <w:szCs w:val="24"/>
          <w:lang w:eastAsia="en-IN"/>
          <w14:ligatures w14:val="none"/>
        </w:rPr>
        <w:t>Key Differences</w:t>
      </w:r>
    </w:p>
    <w:p w14:paraId="0A00AD23" w14:textId="77777777" w:rsidR="00554835" w:rsidRPr="00554835" w:rsidRDefault="00554835" w:rsidP="00554835">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554835">
        <w:rPr>
          <w:rFonts w:eastAsia="Times New Roman" w:cs="Times New Roman"/>
          <w:b/>
          <w:bCs/>
          <w:kern w:val="0"/>
          <w:sz w:val="24"/>
          <w:szCs w:val="24"/>
          <w:lang w:eastAsia="en-IN"/>
          <w14:ligatures w14:val="none"/>
        </w:rPr>
        <w:t>Scope</w:t>
      </w:r>
      <w:r w:rsidRPr="00554835">
        <w:rPr>
          <w:rFonts w:eastAsia="Times New Roman" w:cs="Times New Roman"/>
          <w:kern w:val="0"/>
          <w:sz w:val="24"/>
          <w:szCs w:val="24"/>
          <w:lang w:eastAsia="en-IN"/>
          <w14:ligatures w14:val="none"/>
        </w:rPr>
        <w:t>: Dodd-Frank addresses systemic risks in the financial system and aims to protect consumers, whereas SOX focuses on corporate governance and the accuracy of financial disclosures.</w:t>
      </w:r>
    </w:p>
    <w:p w14:paraId="56FECF89" w14:textId="77777777" w:rsidR="00554835" w:rsidRPr="00554835" w:rsidRDefault="00554835" w:rsidP="00554835">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554835">
        <w:rPr>
          <w:rFonts w:eastAsia="Times New Roman" w:cs="Times New Roman"/>
          <w:b/>
          <w:bCs/>
          <w:kern w:val="0"/>
          <w:sz w:val="24"/>
          <w:szCs w:val="24"/>
          <w:lang w:eastAsia="en-IN"/>
          <w14:ligatures w14:val="none"/>
        </w:rPr>
        <w:t>Implementation</w:t>
      </w:r>
      <w:r w:rsidRPr="00554835">
        <w:rPr>
          <w:rFonts w:eastAsia="Times New Roman" w:cs="Times New Roman"/>
          <w:kern w:val="0"/>
          <w:sz w:val="24"/>
          <w:szCs w:val="24"/>
          <w:lang w:eastAsia="en-IN"/>
          <w14:ligatures w14:val="none"/>
        </w:rPr>
        <w:t>: Dodd-Frank involves multiple regulatory agencies and covers a wide range of financial institutions and products, while SOX primarily impacts public companies and their auditors.</w:t>
      </w:r>
    </w:p>
    <w:p w14:paraId="14B08BEA" w14:textId="77777777" w:rsidR="00554835" w:rsidRDefault="00554835">
      <w:pPr>
        <w:rPr>
          <w:rFonts w:eastAsiaTheme="majorEastAsia" w:cstheme="majorBidi"/>
          <w:color w:val="0F4761" w:themeColor="accent1" w:themeShade="BF"/>
          <w:sz w:val="28"/>
          <w:szCs w:val="28"/>
        </w:rPr>
      </w:pPr>
      <w:r>
        <w:br w:type="page"/>
      </w:r>
    </w:p>
    <w:p w14:paraId="6CC93A0A" w14:textId="084330B7" w:rsidR="00554835" w:rsidRPr="00A20F2E" w:rsidRDefault="00554835" w:rsidP="00554835">
      <w:pPr>
        <w:pStyle w:val="Heading3"/>
        <w:rPr>
          <w:sz w:val="32"/>
          <w:szCs w:val="32"/>
        </w:rPr>
      </w:pPr>
      <w:r w:rsidRPr="00A20F2E">
        <w:rPr>
          <w:sz w:val="32"/>
          <w:szCs w:val="32"/>
        </w:rPr>
        <w:lastRenderedPageBreak/>
        <w:t>Comparison Between Dodd-Frank Wall Street Reform and Consumer Protection Act and Sarbanes-Oxley Act (SOX)</w:t>
      </w:r>
    </w:p>
    <w:tbl>
      <w:tblPr>
        <w:tblStyle w:val="TableGrid"/>
        <w:tblW w:w="9207" w:type="dxa"/>
        <w:tblLook w:val="04A0" w:firstRow="1" w:lastRow="0" w:firstColumn="1" w:lastColumn="0" w:noHBand="0" w:noVBand="1"/>
      </w:tblPr>
      <w:tblGrid>
        <w:gridCol w:w="1959"/>
        <w:gridCol w:w="3437"/>
        <w:gridCol w:w="3811"/>
      </w:tblGrid>
      <w:tr w:rsidR="00554835" w:rsidRPr="00554835" w14:paraId="3388C24D" w14:textId="77777777" w:rsidTr="00554835">
        <w:trPr>
          <w:trHeight w:val="275"/>
        </w:trPr>
        <w:tc>
          <w:tcPr>
            <w:tcW w:w="0" w:type="auto"/>
            <w:hideMark/>
          </w:tcPr>
          <w:p w14:paraId="7EC475A9" w14:textId="77777777" w:rsidR="00554835" w:rsidRPr="00554835" w:rsidRDefault="00554835">
            <w:pPr>
              <w:jc w:val="center"/>
              <w:rPr>
                <w:b/>
                <w:bCs/>
              </w:rPr>
            </w:pPr>
            <w:r w:rsidRPr="00554835">
              <w:rPr>
                <w:rStyle w:val="Strong"/>
              </w:rPr>
              <w:t>Aspect</w:t>
            </w:r>
          </w:p>
        </w:tc>
        <w:tc>
          <w:tcPr>
            <w:tcW w:w="0" w:type="auto"/>
            <w:hideMark/>
          </w:tcPr>
          <w:p w14:paraId="51E2C11D" w14:textId="77777777" w:rsidR="00554835" w:rsidRPr="00554835" w:rsidRDefault="00554835">
            <w:pPr>
              <w:jc w:val="center"/>
              <w:rPr>
                <w:b/>
                <w:bCs/>
              </w:rPr>
            </w:pPr>
            <w:r w:rsidRPr="00554835">
              <w:rPr>
                <w:rStyle w:val="Strong"/>
              </w:rPr>
              <w:t>Dodd-Frank Act</w:t>
            </w:r>
          </w:p>
        </w:tc>
        <w:tc>
          <w:tcPr>
            <w:tcW w:w="0" w:type="auto"/>
            <w:hideMark/>
          </w:tcPr>
          <w:p w14:paraId="031764F5" w14:textId="77777777" w:rsidR="00554835" w:rsidRPr="00554835" w:rsidRDefault="00554835">
            <w:pPr>
              <w:jc w:val="center"/>
              <w:rPr>
                <w:b/>
                <w:bCs/>
              </w:rPr>
            </w:pPr>
            <w:r w:rsidRPr="00554835">
              <w:rPr>
                <w:rStyle w:val="Strong"/>
              </w:rPr>
              <w:t>Sarbanes-Oxley Act (SOX)</w:t>
            </w:r>
          </w:p>
        </w:tc>
      </w:tr>
      <w:tr w:rsidR="00554835" w:rsidRPr="00554835" w14:paraId="5CF7325E" w14:textId="77777777" w:rsidTr="00554835">
        <w:trPr>
          <w:trHeight w:val="275"/>
        </w:trPr>
        <w:tc>
          <w:tcPr>
            <w:tcW w:w="0" w:type="auto"/>
            <w:hideMark/>
          </w:tcPr>
          <w:p w14:paraId="2092DFC4" w14:textId="77777777" w:rsidR="00554835" w:rsidRPr="00554835" w:rsidRDefault="00554835">
            <w:r w:rsidRPr="00554835">
              <w:rPr>
                <w:rStyle w:val="Strong"/>
              </w:rPr>
              <w:t>Enactment Date</w:t>
            </w:r>
          </w:p>
        </w:tc>
        <w:tc>
          <w:tcPr>
            <w:tcW w:w="0" w:type="auto"/>
            <w:hideMark/>
          </w:tcPr>
          <w:p w14:paraId="3D9F19E0" w14:textId="77777777" w:rsidR="00554835" w:rsidRPr="00554835" w:rsidRDefault="00554835">
            <w:r w:rsidRPr="00554835">
              <w:t>July 21, 2010</w:t>
            </w:r>
          </w:p>
        </w:tc>
        <w:tc>
          <w:tcPr>
            <w:tcW w:w="0" w:type="auto"/>
            <w:hideMark/>
          </w:tcPr>
          <w:p w14:paraId="1BB07EA5" w14:textId="77777777" w:rsidR="00554835" w:rsidRPr="00554835" w:rsidRDefault="00554835">
            <w:r w:rsidRPr="00554835">
              <w:t>July 30, 2002</w:t>
            </w:r>
          </w:p>
        </w:tc>
      </w:tr>
      <w:tr w:rsidR="00554835" w:rsidRPr="00554835" w14:paraId="49E98EE3" w14:textId="77777777" w:rsidTr="00554835">
        <w:trPr>
          <w:trHeight w:val="563"/>
        </w:trPr>
        <w:tc>
          <w:tcPr>
            <w:tcW w:w="0" w:type="auto"/>
            <w:hideMark/>
          </w:tcPr>
          <w:p w14:paraId="1254235B" w14:textId="77777777" w:rsidR="00554835" w:rsidRPr="00554835" w:rsidRDefault="00554835">
            <w:r w:rsidRPr="00554835">
              <w:rPr>
                <w:rStyle w:val="Strong"/>
              </w:rPr>
              <w:t>Catalyst for Legislation</w:t>
            </w:r>
          </w:p>
        </w:tc>
        <w:tc>
          <w:tcPr>
            <w:tcW w:w="0" w:type="auto"/>
            <w:hideMark/>
          </w:tcPr>
          <w:p w14:paraId="40DD206B" w14:textId="77777777" w:rsidR="00554835" w:rsidRPr="00554835" w:rsidRDefault="00554835">
            <w:r w:rsidRPr="00554835">
              <w:t>Financial crisis of 2007-2008</w:t>
            </w:r>
          </w:p>
        </w:tc>
        <w:tc>
          <w:tcPr>
            <w:tcW w:w="0" w:type="auto"/>
            <w:hideMark/>
          </w:tcPr>
          <w:p w14:paraId="7E3171D9" w14:textId="77777777" w:rsidR="00554835" w:rsidRPr="00554835" w:rsidRDefault="00554835">
            <w:r w:rsidRPr="00554835">
              <w:t>Corporate scandals such as Enron and WorldCom</w:t>
            </w:r>
          </w:p>
        </w:tc>
      </w:tr>
      <w:tr w:rsidR="00554835" w:rsidRPr="00554835" w14:paraId="7C4F21BF" w14:textId="77777777" w:rsidTr="00554835">
        <w:trPr>
          <w:trHeight w:val="1114"/>
        </w:trPr>
        <w:tc>
          <w:tcPr>
            <w:tcW w:w="0" w:type="auto"/>
            <w:hideMark/>
          </w:tcPr>
          <w:p w14:paraId="201B7A73" w14:textId="77777777" w:rsidR="00554835" w:rsidRPr="00554835" w:rsidRDefault="00554835">
            <w:r w:rsidRPr="00554835">
              <w:rPr>
                <w:rStyle w:val="Strong"/>
              </w:rPr>
              <w:t>Primary Objective</w:t>
            </w:r>
          </w:p>
        </w:tc>
        <w:tc>
          <w:tcPr>
            <w:tcW w:w="0" w:type="auto"/>
            <w:hideMark/>
          </w:tcPr>
          <w:p w14:paraId="59355B67" w14:textId="77777777" w:rsidR="00554835" w:rsidRPr="00554835" w:rsidRDefault="00554835">
            <w:r w:rsidRPr="00554835">
              <w:t>Promote financial stability, enhance transparency and accountability in the financial system, and protect consumers</w:t>
            </w:r>
          </w:p>
        </w:tc>
        <w:tc>
          <w:tcPr>
            <w:tcW w:w="0" w:type="auto"/>
            <w:hideMark/>
          </w:tcPr>
          <w:p w14:paraId="6F005F26" w14:textId="77777777" w:rsidR="00554835" w:rsidRPr="00554835" w:rsidRDefault="00554835">
            <w:r w:rsidRPr="00554835">
              <w:t>Improve corporate governance and financial reporting accuracy, and restore investor confidence</w:t>
            </w:r>
          </w:p>
        </w:tc>
      </w:tr>
      <w:tr w:rsidR="00554835" w:rsidRPr="00554835" w14:paraId="19F94ECD" w14:textId="77777777" w:rsidTr="00554835">
        <w:trPr>
          <w:trHeight w:val="1402"/>
        </w:trPr>
        <w:tc>
          <w:tcPr>
            <w:tcW w:w="0" w:type="auto"/>
            <w:hideMark/>
          </w:tcPr>
          <w:p w14:paraId="02CEA0CA" w14:textId="77777777" w:rsidR="00554835" w:rsidRPr="00554835" w:rsidRDefault="00554835">
            <w:r w:rsidRPr="00554835">
              <w:rPr>
                <w:rStyle w:val="Strong"/>
              </w:rPr>
              <w:t>Key Agencies Involved</w:t>
            </w:r>
          </w:p>
        </w:tc>
        <w:tc>
          <w:tcPr>
            <w:tcW w:w="0" w:type="auto"/>
            <w:hideMark/>
          </w:tcPr>
          <w:p w14:paraId="4BFB175C" w14:textId="77777777" w:rsidR="00554835" w:rsidRPr="00554835" w:rsidRDefault="00554835">
            <w:r w:rsidRPr="00554835">
              <w:t>Financial Stability Oversight Council (FSOC), Consumer Financial Protection Bureau (CFPB), Office of Financial Research (OFR)</w:t>
            </w:r>
          </w:p>
        </w:tc>
        <w:tc>
          <w:tcPr>
            <w:tcW w:w="0" w:type="auto"/>
            <w:hideMark/>
          </w:tcPr>
          <w:p w14:paraId="7ABC042E" w14:textId="77777777" w:rsidR="00554835" w:rsidRPr="00554835" w:rsidRDefault="00554835">
            <w:r w:rsidRPr="00554835">
              <w:t>Public Company Accounting Oversight Board (PCAOB), Securities and Exchange Commission (SEC)</w:t>
            </w:r>
          </w:p>
        </w:tc>
      </w:tr>
      <w:tr w:rsidR="00554835" w:rsidRPr="00554835" w14:paraId="2B1A78ED" w14:textId="77777777" w:rsidTr="00554835">
        <w:trPr>
          <w:trHeight w:val="1402"/>
        </w:trPr>
        <w:tc>
          <w:tcPr>
            <w:tcW w:w="0" w:type="auto"/>
            <w:hideMark/>
          </w:tcPr>
          <w:p w14:paraId="0C50CC24" w14:textId="77777777" w:rsidR="00554835" w:rsidRPr="00554835" w:rsidRDefault="00554835">
            <w:r w:rsidRPr="00554835">
              <w:rPr>
                <w:rStyle w:val="Strong"/>
              </w:rPr>
              <w:t>Focus Areas</w:t>
            </w:r>
          </w:p>
        </w:tc>
        <w:tc>
          <w:tcPr>
            <w:tcW w:w="0" w:type="auto"/>
            <w:hideMark/>
          </w:tcPr>
          <w:p w14:paraId="12B4475D" w14:textId="77777777" w:rsidR="00554835" w:rsidRPr="00554835" w:rsidRDefault="00554835">
            <w:r w:rsidRPr="00554835">
              <w:t>Systemic risk regulation, consumer protection, proprietary trading restrictions, derivatives regulation, and higher capital requirements</w:t>
            </w:r>
          </w:p>
        </w:tc>
        <w:tc>
          <w:tcPr>
            <w:tcW w:w="0" w:type="auto"/>
            <w:hideMark/>
          </w:tcPr>
          <w:p w14:paraId="29227CCC" w14:textId="77777777" w:rsidR="00554835" w:rsidRPr="00554835" w:rsidRDefault="00554835">
            <w:r w:rsidRPr="00554835">
              <w:t>Corporate governance, financial disclosure accuracy, auditor independence, and internal control over financial reporting</w:t>
            </w:r>
          </w:p>
        </w:tc>
      </w:tr>
      <w:tr w:rsidR="00554835" w:rsidRPr="00554835" w14:paraId="0D3DF0E3" w14:textId="77777777" w:rsidTr="00554835">
        <w:trPr>
          <w:trHeight w:val="1402"/>
        </w:trPr>
        <w:tc>
          <w:tcPr>
            <w:tcW w:w="0" w:type="auto"/>
            <w:hideMark/>
          </w:tcPr>
          <w:p w14:paraId="319DD545" w14:textId="77777777" w:rsidR="00554835" w:rsidRPr="00554835" w:rsidRDefault="00554835">
            <w:r w:rsidRPr="00554835">
              <w:rPr>
                <w:rStyle w:val="Strong"/>
              </w:rPr>
              <w:t>Major Provisions</w:t>
            </w:r>
          </w:p>
        </w:tc>
        <w:tc>
          <w:tcPr>
            <w:tcW w:w="0" w:type="auto"/>
            <w:hideMark/>
          </w:tcPr>
          <w:p w14:paraId="0F0B8240" w14:textId="77777777" w:rsidR="00554835" w:rsidRPr="00554835" w:rsidRDefault="00554835">
            <w:r w:rsidRPr="00554835">
              <w:t>CFPB, FSOC, Volcker Rule, Orderly Liquidation Authority, derivatives regulation, increased capital requirements, OFR</w:t>
            </w:r>
          </w:p>
        </w:tc>
        <w:tc>
          <w:tcPr>
            <w:tcW w:w="0" w:type="auto"/>
            <w:hideMark/>
          </w:tcPr>
          <w:p w14:paraId="47907DFB" w14:textId="77777777" w:rsidR="00554835" w:rsidRPr="00554835" w:rsidRDefault="00554835">
            <w:r w:rsidRPr="00554835">
              <w:t>PCAOB, executive certification of financial reports (Section 302), enhanced financial disclosures, internal controls (Section 404), whistleblower protections</w:t>
            </w:r>
          </w:p>
        </w:tc>
      </w:tr>
      <w:tr w:rsidR="00554835" w:rsidRPr="00554835" w14:paraId="3C17E79F" w14:textId="77777777" w:rsidTr="00554835">
        <w:trPr>
          <w:trHeight w:val="551"/>
        </w:trPr>
        <w:tc>
          <w:tcPr>
            <w:tcW w:w="0" w:type="auto"/>
            <w:hideMark/>
          </w:tcPr>
          <w:p w14:paraId="1C4EDAC1" w14:textId="77777777" w:rsidR="00554835" w:rsidRPr="00554835" w:rsidRDefault="00554835">
            <w:r w:rsidRPr="00554835">
              <w:rPr>
                <w:rStyle w:val="Strong"/>
              </w:rPr>
              <w:t>Consumer Protection</w:t>
            </w:r>
          </w:p>
        </w:tc>
        <w:tc>
          <w:tcPr>
            <w:tcW w:w="0" w:type="auto"/>
            <w:hideMark/>
          </w:tcPr>
          <w:p w14:paraId="182AF0FD" w14:textId="77777777" w:rsidR="00554835" w:rsidRPr="00554835" w:rsidRDefault="00554835">
            <w:r w:rsidRPr="00554835">
              <w:t>Strong emphasis on consumer protection through the CFPB</w:t>
            </w:r>
          </w:p>
        </w:tc>
        <w:tc>
          <w:tcPr>
            <w:tcW w:w="0" w:type="auto"/>
            <w:hideMark/>
          </w:tcPr>
          <w:p w14:paraId="426BC957" w14:textId="77777777" w:rsidR="00554835" w:rsidRPr="00554835" w:rsidRDefault="00554835">
            <w:r w:rsidRPr="00554835">
              <w:t>Limited to whistleblower protections</w:t>
            </w:r>
          </w:p>
        </w:tc>
      </w:tr>
      <w:tr w:rsidR="00554835" w:rsidRPr="00554835" w14:paraId="7CBB7072" w14:textId="77777777" w:rsidTr="00554835">
        <w:trPr>
          <w:trHeight w:val="839"/>
        </w:trPr>
        <w:tc>
          <w:tcPr>
            <w:tcW w:w="0" w:type="auto"/>
            <w:hideMark/>
          </w:tcPr>
          <w:p w14:paraId="7C1D9081" w14:textId="77777777" w:rsidR="00554835" w:rsidRPr="00554835" w:rsidRDefault="00554835">
            <w:r w:rsidRPr="00554835">
              <w:rPr>
                <w:rStyle w:val="Strong"/>
              </w:rPr>
              <w:t>Systemic Risk Management</w:t>
            </w:r>
          </w:p>
        </w:tc>
        <w:tc>
          <w:tcPr>
            <w:tcW w:w="0" w:type="auto"/>
            <w:hideMark/>
          </w:tcPr>
          <w:p w14:paraId="153DAB96" w14:textId="77777777" w:rsidR="00554835" w:rsidRPr="00554835" w:rsidRDefault="00554835">
            <w:r w:rsidRPr="00554835">
              <w:t>Focuses on identifying and mitigating systemic risks through FSOC</w:t>
            </w:r>
          </w:p>
        </w:tc>
        <w:tc>
          <w:tcPr>
            <w:tcW w:w="0" w:type="auto"/>
            <w:hideMark/>
          </w:tcPr>
          <w:p w14:paraId="79EC63BE" w14:textId="77777777" w:rsidR="00554835" w:rsidRPr="00554835" w:rsidRDefault="00554835">
            <w:r w:rsidRPr="00554835">
              <w:t>No specific focus on systemic risk management</w:t>
            </w:r>
          </w:p>
        </w:tc>
      </w:tr>
      <w:tr w:rsidR="00554835" w:rsidRPr="00554835" w14:paraId="7C83D473" w14:textId="77777777" w:rsidTr="00554835">
        <w:trPr>
          <w:trHeight w:val="839"/>
        </w:trPr>
        <w:tc>
          <w:tcPr>
            <w:tcW w:w="0" w:type="auto"/>
            <w:hideMark/>
          </w:tcPr>
          <w:p w14:paraId="3DD5D281" w14:textId="77777777" w:rsidR="00554835" w:rsidRPr="00554835" w:rsidRDefault="00554835">
            <w:r w:rsidRPr="00554835">
              <w:rPr>
                <w:rStyle w:val="Strong"/>
              </w:rPr>
              <w:t>Regulation of Financial Products</w:t>
            </w:r>
          </w:p>
        </w:tc>
        <w:tc>
          <w:tcPr>
            <w:tcW w:w="0" w:type="auto"/>
            <w:hideMark/>
          </w:tcPr>
          <w:p w14:paraId="4EF979E7" w14:textId="77777777" w:rsidR="00554835" w:rsidRPr="00554835" w:rsidRDefault="00554835">
            <w:r w:rsidRPr="00554835">
              <w:t>Extensive regulation of derivatives and other financial products</w:t>
            </w:r>
          </w:p>
        </w:tc>
        <w:tc>
          <w:tcPr>
            <w:tcW w:w="0" w:type="auto"/>
            <w:hideMark/>
          </w:tcPr>
          <w:p w14:paraId="53C660FE" w14:textId="77777777" w:rsidR="00554835" w:rsidRPr="00554835" w:rsidRDefault="00554835">
            <w:r w:rsidRPr="00554835">
              <w:t>No direct regulation of financial products</w:t>
            </w:r>
          </w:p>
        </w:tc>
      </w:tr>
      <w:tr w:rsidR="00554835" w:rsidRPr="00554835" w14:paraId="6B12144B" w14:textId="77777777" w:rsidTr="00554835">
        <w:trPr>
          <w:trHeight w:val="1402"/>
        </w:trPr>
        <w:tc>
          <w:tcPr>
            <w:tcW w:w="0" w:type="auto"/>
            <w:hideMark/>
          </w:tcPr>
          <w:p w14:paraId="687A3A5C" w14:textId="77777777" w:rsidR="00554835" w:rsidRPr="00554835" w:rsidRDefault="00554835">
            <w:r w:rsidRPr="00554835">
              <w:rPr>
                <w:rStyle w:val="Strong"/>
              </w:rPr>
              <w:t>Executive Accountability</w:t>
            </w:r>
          </w:p>
        </w:tc>
        <w:tc>
          <w:tcPr>
            <w:tcW w:w="0" w:type="auto"/>
            <w:hideMark/>
          </w:tcPr>
          <w:p w14:paraId="341DBB8E" w14:textId="77777777" w:rsidR="00554835" w:rsidRPr="00554835" w:rsidRDefault="00554835">
            <w:r w:rsidRPr="00554835">
              <w:t>Imposes accountability on executives through various regulations but does not require personal certification of financial statements</w:t>
            </w:r>
          </w:p>
        </w:tc>
        <w:tc>
          <w:tcPr>
            <w:tcW w:w="0" w:type="auto"/>
            <w:hideMark/>
          </w:tcPr>
          <w:p w14:paraId="73B11225" w14:textId="77777777" w:rsidR="00554835" w:rsidRPr="00554835" w:rsidRDefault="00554835">
            <w:r w:rsidRPr="00554835">
              <w:t>Requires CEOs and CFOs to personally certify the accuracy of financial statements (Section 302)</w:t>
            </w:r>
          </w:p>
        </w:tc>
      </w:tr>
      <w:tr w:rsidR="00554835" w:rsidRPr="00554835" w14:paraId="4A30F2DB" w14:textId="77777777" w:rsidTr="00554835">
        <w:trPr>
          <w:trHeight w:val="1114"/>
        </w:trPr>
        <w:tc>
          <w:tcPr>
            <w:tcW w:w="0" w:type="auto"/>
            <w:hideMark/>
          </w:tcPr>
          <w:p w14:paraId="2FA16F04" w14:textId="77777777" w:rsidR="00554835" w:rsidRPr="00554835" w:rsidRDefault="00554835">
            <w:r w:rsidRPr="00554835">
              <w:rPr>
                <w:rStyle w:val="Strong"/>
              </w:rPr>
              <w:t>Internal Controls</w:t>
            </w:r>
          </w:p>
        </w:tc>
        <w:tc>
          <w:tcPr>
            <w:tcW w:w="0" w:type="auto"/>
            <w:hideMark/>
          </w:tcPr>
          <w:p w14:paraId="5F2CCA56" w14:textId="77777777" w:rsidR="00554835" w:rsidRPr="00554835" w:rsidRDefault="00554835">
            <w:r w:rsidRPr="00554835">
              <w:t>Indirect focus through various provisions, but no specific section dedicated to internal controls</w:t>
            </w:r>
          </w:p>
        </w:tc>
        <w:tc>
          <w:tcPr>
            <w:tcW w:w="0" w:type="auto"/>
            <w:hideMark/>
          </w:tcPr>
          <w:p w14:paraId="545B35EF" w14:textId="77777777" w:rsidR="00554835" w:rsidRPr="00554835" w:rsidRDefault="00554835">
            <w:r w:rsidRPr="00554835">
              <w:t>Requires companies to establish and maintain internal controls over financial reporting, with independent auditor attestation (Section 404)</w:t>
            </w:r>
          </w:p>
        </w:tc>
      </w:tr>
      <w:tr w:rsidR="00554835" w:rsidRPr="00554835" w14:paraId="17A6DDEA" w14:textId="77777777" w:rsidTr="00554835">
        <w:trPr>
          <w:trHeight w:val="1127"/>
        </w:trPr>
        <w:tc>
          <w:tcPr>
            <w:tcW w:w="0" w:type="auto"/>
            <w:hideMark/>
          </w:tcPr>
          <w:p w14:paraId="52E19E03" w14:textId="77777777" w:rsidR="00554835" w:rsidRPr="00554835" w:rsidRDefault="00554835">
            <w:r w:rsidRPr="00554835">
              <w:rPr>
                <w:rStyle w:val="Strong"/>
              </w:rPr>
              <w:t>Auditor Independence</w:t>
            </w:r>
          </w:p>
        </w:tc>
        <w:tc>
          <w:tcPr>
            <w:tcW w:w="0" w:type="auto"/>
            <w:hideMark/>
          </w:tcPr>
          <w:p w14:paraId="3477CCDB" w14:textId="77777777" w:rsidR="00554835" w:rsidRPr="00554835" w:rsidRDefault="00554835">
            <w:r w:rsidRPr="00554835">
              <w:t>Imposes certain restrictions on auditors, but not as extensive as SOX</w:t>
            </w:r>
          </w:p>
        </w:tc>
        <w:tc>
          <w:tcPr>
            <w:tcW w:w="0" w:type="auto"/>
            <w:hideMark/>
          </w:tcPr>
          <w:p w14:paraId="72FAB962" w14:textId="77777777" w:rsidR="00554835" w:rsidRPr="00554835" w:rsidRDefault="00554835">
            <w:r w:rsidRPr="00554835">
              <w:t>Imposes strict rules on auditor independence, limiting the types of non-audit services auditors can provide to their clients</w:t>
            </w:r>
          </w:p>
        </w:tc>
      </w:tr>
      <w:tr w:rsidR="00554835" w:rsidRPr="00554835" w14:paraId="07E8A6E1" w14:textId="77777777" w:rsidTr="00554835">
        <w:trPr>
          <w:trHeight w:val="826"/>
        </w:trPr>
        <w:tc>
          <w:tcPr>
            <w:tcW w:w="0" w:type="auto"/>
            <w:hideMark/>
          </w:tcPr>
          <w:p w14:paraId="779C107A" w14:textId="77777777" w:rsidR="00554835" w:rsidRPr="00554835" w:rsidRDefault="00554835">
            <w:r w:rsidRPr="00554835">
              <w:rPr>
                <w:rStyle w:val="Strong"/>
              </w:rPr>
              <w:lastRenderedPageBreak/>
              <w:t>Whistleblower Protections</w:t>
            </w:r>
          </w:p>
        </w:tc>
        <w:tc>
          <w:tcPr>
            <w:tcW w:w="0" w:type="auto"/>
            <w:hideMark/>
          </w:tcPr>
          <w:p w14:paraId="39311A8C" w14:textId="77777777" w:rsidR="00554835" w:rsidRPr="00554835" w:rsidRDefault="00554835">
            <w:r w:rsidRPr="00554835">
              <w:t>Provides protections for whistleblowers</w:t>
            </w:r>
          </w:p>
        </w:tc>
        <w:tc>
          <w:tcPr>
            <w:tcW w:w="0" w:type="auto"/>
            <w:hideMark/>
          </w:tcPr>
          <w:p w14:paraId="2BD43B03" w14:textId="77777777" w:rsidR="00554835" w:rsidRPr="00554835" w:rsidRDefault="00554835">
            <w:r w:rsidRPr="00554835">
              <w:t>Offers robust protections for whistleblowers, including anti-retaliation provisions</w:t>
            </w:r>
          </w:p>
        </w:tc>
      </w:tr>
      <w:tr w:rsidR="00554835" w:rsidRPr="00554835" w14:paraId="37261751" w14:textId="77777777" w:rsidTr="00554835">
        <w:trPr>
          <w:trHeight w:val="1402"/>
        </w:trPr>
        <w:tc>
          <w:tcPr>
            <w:tcW w:w="0" w:type="auto"/>
            <w:hideMark/>
          </w:tcPr>
          <w:p w14:paraId="0356AF7A" w14:textId="77777777" w:rsidR="00554835" w:rsidRPr="00554835" w:rsidRDefault="00554835">
            <w:r w:rsidRPr="00554835">
              <w:rPr>
                <w:rStyle w:val="Strong"/>
              </w:rPr>
              <w:t>Impact on Financial Institutions</w:t>
            </w:r>
          </w:p>
        </w:tc>
        <w:tc>
          <w:tcPr>
            <w:tcW w:w="0" w:type="auto"/>
            <w:hideMark/>
          </w:tcPr>
          <w:p w14:paraId="2F969577" w14:textId="77777777" w:rsidR="00554835" w:rsidRPr="00554835" w:rsidRDefault="00554835">
            <w:r w:rsidRPr="00554835">
              <w:t>Significant impact, particularly on large financial institutions, through increased regulatory oversight and higher compliance costs</w:t>
            </w:r>
          </w:p>
        </w:tc>
        <w:tc>
          <w:tcPr>
            <w:tcW w:w="0" w:type="auto"/>
            <w:hideMark/>
          </w:tcPr>
          <w:p w14:paraId="3EF0CE46" w14:textId="77777777" w:rsidR="00554835" w:rsidRPr="00554835" w:rsidRDefault="00554835">
            <w:r w:rsidRPr="00554835">
              <w:t>Direct impact primarily on public companies and their auditors</w:t>
            </w:r>
          </w:p>
        </w:tc>
      </w:tr>
      <w:tr w:rsidR="00554835" w:rsidRPr="00554835" w14:paraId="2FBF87EA" w14:textId="77777777" w:rsidTr="00554835">
        <w:trPr>
          <w:trHeight w:val="1114"/>
        </w:trPr>
        <w:tc>
          <w:tcPr>
            <w:tcW w:w="0" w:type="auto"/>
            <w:hideMark/>
          </w:tcPr>
          <w:p w14:paraId="4B5947A1" w14:textId="77777777" w:rsidR="00554835" w:rsidRPr="00554835" w:rsidRDefault="00554835">
            <w:r w:rsidRPr="00554835">
              <w:rPr>
                <w:rStyle w:val="Strong"/>
              </w:rPr>
              <w:t>Criticisms</w:t>
            </w:r>
          </w:p>
        </w:tc>
        <w:tc>
          <w:tcPr>
            <w:tcW w:w="0" w:type="auto"/>
            <w:hideMark/>
          </w:tcPr>
          <w:p w14:paraId="3B1DD716" w14:textId="77777777" w:rsidR="00554835" w:rsidRPr="00554835" w:rsidRDefault="00554835">
            <w:r w:rsidRPr="00554835">
              <w:t>High compliance costs, reduced market liquidity, complexity, potential stifling of economic growth</w:t>
            </w:r>
          </w:p>
        </w:tc>
        <w:tc>
          <w:tcPr>
            <w:tcW w:w="0" w:type="auto"/>
            <w:hideMark/>
          </w:tcPr>
          <w:p w14:paraId="02D13A8B" w14:textId="77777777" w:rsidR="00554835" w:rsidRPr="00554835" w:rsidRDefault="00554835">
            <w:r w:rsidRPr="00554835">
              <w:t>High compliance costs, particularly for smaller companies, overly burdensome internal control requirements</w:t>
            </w:r>
          </w:p>
        </w:tc>
      </w:tr>
    </w:tbl>
    <w:p w14:paraId="1AF3451B" w14:textId="77777777" w:rsidR="00A20F2E" w:rsidRDefault="00A20F2E" w:rsidP="00A20F2E">
      <w:pPr>
        <w:pStyle w:val="Heading1"/>
      </w:pPr>
      <w:r>
        <w:t>Hypothetical Numerical Data Representation:</w:t>
      </w:r>
    </w:p>
    <w:p w14:paraId="2E2F532F" w14:textId="118AF55A" w:rsidR="00A20F2E" w:rsidRPr="00A20F2E" w:rsidRDefault="00A20F2E" w:rsidP="00A20F2E">
      <w:pPr>
        <w:pStyle w:val="Heading2"/>
        <w:rPr>
          <w:color w:val="auto"/>
        </w:rPr>
      </w:pPr>
      <w:r w:rsidRPr="00A20F2E">
        <w:rPr>
          <w:color w:val="auto"/>
        </w:rPr>
        <w:t>Dodd-Frank Wall Street Reform and Consumer Protection Act (2010)</w:t>
      </w:r>
    </w:p>
    <w:tbl>
      <w:tblPr>
        <w:tblStyle w:val="TableGrid"/>
        <w:tblW w:w="0" w:type="auto"/>
        <w:tblLook w:val="04A0" w:firstRow="1" w:lastRow="0" w:firstColumn="1" w:lastColumn="0" w:noHBand="0" w:noVBand="1"/>
      </w:tblPr>
      <w:tblGrid>
        <w:gridCol w:w="4063"/>
        <w:gridCol w:w="4953"/>
      </w:tblGrid>
      <w:tr w:rsidR="00A20F2E" w:rsidRPr="00A20F2E" w14:paraId="19B731D3" w14:textId="77777777" w:rsidTr="00A20F2E">
        <w:tc>
          <w:tcPr>
            <w:tcW w:w="0" w:type="auto"/>
            <w:hideMark/>
          </w:tcPr>
          <w:p w14:paraId="6896F475" w14:textId="77777777" w:rsidR="00A20F2E" w:rsidRPr="00A20F2E" w:rsidRDefault="00A20F2E">
            <w:pPr>
              <w:jc w:val="center"/>
              <w:rPr>
                <w:b/>
                <w:bCs/>
                <w:sz w:val="24"/>
                <w:szCs w:val="24"/>
              </w:rPr>
            </w:pPr>
            <w:r w:rsidRPr="00A20F2E">
              <w:rPr>
                <w:b/>
                <w:bCs/>
                <w:sz w:val="24"/>
                <w:szCs w:val="24"/>
              </w:rPr>
              <w:t>Category</w:t>
            </w:r>
          </w:p>
        </w:tc>
        <w:tc>
          <w:tcPr>
            <w:tcW w:w="0" w:type="auto"/>
            <w:hideMark/>
          </w:tcPr>
          <w:p w14:paraId="022D2A2A" w14:textId="77777777" w:rsidR="00A20F2E" w:rsidRPr="00A20F2E" w:rsidRDefault="00A20F2E">
            <w:pPr>
              <w:jc w:val="center"/>
              <w:rPr>
                <w:b/>
                <w:bCs/>
                <w:sz w:val="24"/>
                <w:szCs w:val="24"/>
              </w:rPr>
            </w:pPr>
            <w:r w:rsidRPr="00A20F2E">
              <w:rPr>
                <w:b/>
                <w:bCs/>
                <w:sz w:val="24"/>
                <w:szCs w:val="24"/>
              </w:rPr>
              <w:t>Hypothetical Numerical Data</w:t>
            </w:r>
          </w:p>
        </w:tc>
      </w:tr>
      <w:tr w:rsidR="00A20F2E" w:rsidRPr="00A20F2E" w14:paraId="1F687F39" w14:textId="77777777" w:rsidTr="00A20F2E">
        <w:tc>
          <w:tcPr>
            <w:tcW w:w="0" w:type="auto"/>
            <w:hideMark/>
          </w:tcPr>
          <w:p w14:paraId="23FF37B5" w14:textId="77777777" w:rsidR="00A20F2E" w:rsidRPr="00A20F2E" w:rsidRDefault="00A20F2E">
            <w:pPr>
              <w:rPr>
                <w:sz w:val="24"/>
                <w:szCs w:val="24"/>
              </w:rPr>
            </w:pPr>
            <w:r w:rsidRPr="00A20F2E">
              <w:rPr>
                <w:rStyle w:val="Strong"/>
                <w:sz w:val="24"/>
                <w:szCs w:val="24"/>
              </w:rPr>
              <w:t>Consumer Financial Protection Bureau (CFPB)</w:t>
            </w:r>
          </w:p>
        </w:tc>
        <w:tc>
          <w:tcPr>
            <w:tcW w:w="0" w:type="auto"/>
            <w:hideMark/>
          </w:tcPr>
          <w:p w14:paraId="1108F33F" w14:textId="77777777" w:rsidR="00A20F2E" w:rsidRPr="00A20F2E" w:rsidRDefault="00A20F2E">
            <w:pPr>
              <w:rPr>
                <w:sz w:val="24"/>
                <w:szCs w:val="24"/>
              </w:rPr>
            </w:pPr>
            <w:r w:rsidRPr="00A20F2E">
              <w:rPr>
                <w:sz w:val="24"/>
                <w:szCs w:val="24"/>
              </w:rPr>
              <w:t>- Number of enforcement actions: 500</w:t>
            </w:r>
          </w:p>
        </w:tc>
      </w:tr>
      <w:tr w:rsidR="00A20F2E" w:rsidRPr="00A20F2E" w14:paraId="4ABE0226" w14:textId="77777777" w:rsidTr="00A20F2E">
        <w:tc>
          <w:tcPr>
            <w:tcW w:w="0" w:type="auto"/>
            <w:hideMark/>
          </w:tcPr>
          <w:p w14:paraId="06E55E30" w14:textId="77777777" w:rsidR="00A20F2E" w:rsidRPr="00A20F2E" w:rsidRDefault="00A20F2E">
            <w:pPr>
              <w:rPr>
                <w:sz w:val="24"/>
                <w:szCs w:val="24"/>
              </w:rPr>
            </w:pPr>
          </w:p>
        </w:tc>
        <w:tc>
          <w:tcPr>
            <w:tcW w:w="0" w:type="auto"/>
            <w:hideMark/>
          </w:tcPr>
          <w:p w14:paraId="285B1EEC" w14:textId="77777777" w:rsidR="00A20F2E" w:rsidRPr="00A20F2E" w:rsidRDefault="00A20F2E">
            <w:pPr>
              <w:rPr>
                <w:sz w:val="24"/>
                <w:szCs w:val="24"/>
              </w:rPr>
            </w:pPr>
            <w:r w:rsidRPr="00A20F2E">
              <w:rPr>
                <w:sz w:val="24"/>
                <w:szCs w:val="24"/>
              </w:rPr>
              <w:t>- Consumer complaints handled annually: 1,000,000</w:t>
            </w:r>
          </w:p>
        </w:tc>
      </w:tr>
      <w:tr w:rsidR="00A20F2E" w:rsidRPr="00A20F2E" w14:paraId="600CFD55" w14:textId="77777777" w:rsidTr="00A20F2E">
        <w:tc>
          <w:tcPr>
            <w:tcW w:w="0" w:type="auto"/>
            <w:hideMark/>
          </w:tcPr>
          <w:p w14:paraId="76655168" w14:textId="77777777" w:rsidR="00A20F2E" w:rsidRPr="00A20F2E" w:rsidRDefault="00A20F2E">
            <w:pPr>
              <w:rPr>
                <w:sz w:val="24"/>
                <w:szCs w:val="24"/>
              </w:rPr>
            </w:pPr>
            <w:r w:rsidRPr="00A20F2E">
              <w:rPr>
                <w:rStyle w:val="Strong"/>
                <w:sz w:val="24"/>
                <w:szCs w:val="24"/>
              </w:rPr>
              <w:t>Derivatives and Swaps Regulations</w:t>
            </w:r>
          </w:p>
        </w:tc>
        <w:tc>
          <w:tcPr>
            <w:tcW w:w="0" w:type="auto"/>
            <w:hideMark/>
          </w:tcPr>
          <w:p w14:paraId="27F0E850" w14:textId="77777777" w:rsidR="00A20F2E" w:rsidRPr="00A20F2E" w:rsidRDefault="00A20F2E">
            <w:pPr>
              <w:rPr>
                <w:sz w:val="24"/>
                <w:szCs w:val="24"/>
              </w:rPr>
            </w:pPr>
            <w:r w:rsidRPr="00A20F2E">
              <w:rPr>
                <w:sz w:val="24"/>
                <w:szCs w:val="24"/>
              </w:rPr>
              <w:t>- Registered swap dealers: 200</w:t>
            </w:r>
          </w:p>
        </w:tc>
      </w:tr>
      <w:tr w:rsidR="00A20F2E" w:rsidRPr="00A20F2E" w14:paraId="7D6BF358" w14:textId="77777777" w:rsidTr="00A20F2E">
        <w:tc>
          <w:tcPr>
            <w:tcW w:w="0" w:type="auto"/>
            <w:hideMark/>
          </w:tcPr>
          <w:p w14:paraId="6D5F8F86" w14:textId="77777777" w:rsidR="00A20F2E" w:rsidRPr="00A20F2E" w:rsidRDefault="00A20F2E">
            <w:pPr>
              <w:rPr>
                <w:sz w:val="24"/>
                <w:szCs w:val="24"/>
              </w:rPr>
            </w:pPr>
          </w:p>
        </w:tc>
        <w:tc>
          <w:tcPr>
            <w:tcW w:w="0" w:type="auto"/>
            <w:hideMark/>
          </w:tcPr>
          <w:p w14:paraId="06120C3B" w14:textId="77777777" w:rsidR="00A20F2E" w:rsidRPr="00A20F2E" w:rsidRDefault="00A20F2E">
            <w:pPr>
              <w:rPr>
                <w:sz w:val="24"/>
                <w:szCs w:val="24"/>
              </w:rPr>
            </w:pPr>
            <w:r w:rsidRPr="00A20F2E">
              <w:rPr>
                <w:sz w:val="24"/>
                <w:szCs w:val="24"/>
              </w:rPr>
              <w:t>- Value of derivatives market regulated: $400 trillion</w:t>
            </w:r>
          </w:p>
        </w:tc>
      </w:tr>
      <w:tr w:rsidR="00A20F2E" w:rsidRPr="00A20F2E" w14:paraId="7735C7CF" w14:textId="77777777" w:rsidTr="00A20F2E">
        <w:tc>
          <w:tcPr>
            <w:tcW w:w="0" w:type="auto"/>
            <w:hideMark/>
          </w:tcPr>
          <w:p w14:paraId="316374D9" w14:textId="77777777" w:rsidR="00A20F2E" w:rsidRPr="00A20F2E" w:rsidRDefault="00A20F2E">
            <w:pPr>
              <w:rPr>
                <w:sz w:val="24"/>
                <w:szCs w:val="24"/>
              </w:rPr>
            </w:pPr>
            <w:r w:rsidRPr="00A20F2E">
              <w:rPr>
                <w:rStyle w:val="Strong"/>
                <w:sz w:val="24"/>
                <w:szCs w:val="24"/>
              </w:rPr>
              <w:t>Financial Stability Oversight Council</w:t>
            </w:r>
          </w:p>
        </w:tc>
        <w:tc>
          <w:tcPr>
            <w:tcW w:w="0" w:type="auto"/>
            <w:hideMark/>
          </w:tcPr>
          <w:p w14:paraId="4F8688AA" w14:textId="77777777" w:rsidR="00A20F2E" w:rsidRPr="00A20F2E" w:rsidRDefault="00A20F2E">
            <w:pPr>
              <w:rPr>
                <w:sz w:val="24"/>
                <w:szCs w:val="24"/>
              </w:rPr>
            </w:pPr>
            <w:r w:rsidRPr="00A20F2E">
              <w:rPr>
                <w:sz w:val="24"/>
                <w:szCs w:val="24"/>
              </w:rPr>
              <w:t>- Systemically important financial institutions designated: 30</w:t>
            </w:r>
          </w:p>
        </w:tc>
      </w:tr>
      <w:tr w:rsidR="00A20F2E" w:rsidRPr="00A20F2E" w14:paraId="097E5E84" w14:textId="77777777" w:rsidTr="00A20F2E">
        <w:tc>
          <w:tcPr>
            <w:tcW w:w="0" w:type="auto"/>
            <w:hideMark/>
          </w:tcPr>
          <w:p w14:paraId="653F392C" w14:textId="77777777" w:rsidR="00A20F2E" w:rsidRPr="00A20F2E" w:rsidRDefault="00A20F2E">
            <w:pPr>
              <w:rPr>
                <w:sz w:val="24"/>
                <w:szCs w:val="24"/>
              </w:rPr>
            </w:pPr>
          </w:p>
        </w:tc>
        <w:tc>
          <w:tcPr>
            <w:tcW w:w="0" w:type="auto"/>
            <w:hideMark/>
          </w:tcPr>
          <w:p w14:paraId="45813941" w14:textId="77777777" w:rsidR="00A20F2E" w:rsidRPr="00A20F2E" w:rsidRDefault="00A20F2E">
            <w:pPr>
              <w:rPr>
                <w:sz w:val="24"/>
                <w:szCs w:val="24"/>
              </w:rPr>
            </w:pPr>
            <w:r w:rsidRPr="00A20F2E">
              <w:rPr>
                <w:sz w:val="24"/>
                <w:szCs w:val="24"/>
              </w:rPr>
              <w:t>- Number of stress tests conducted annually: 50</w:t>
            </w:r>
          </w:p>
        </w:tc>
      </w:tr>
    </w:tbl>
    <w:p w14:paraId="4FFC90A5" w14:textId="77777777" w:rsidR="00A20F2E" w:rsidRPr="00A20F2E" w:rsidRDefault="00A20F2E" w:rsidP="00A20F2E">
      <w:pPr>
        <w:pStyle w:val="Heading2"/>
        <w:rPr>
          <w:color w:val="auto"/>
        </w:rPr>
      </w:pPr>
      <w:r w:rsidRPr="00A20F2E">
        <w:rPr>
          <w:color w:val="auto"/>
        </w:rPr>
        <w:t>Sarbanes-Oxley Act (2002)</w:t>
      </w:r>
    </w:p>
    <w:tbl>
      <w:tblPr>
        <w:tblStyle w:val="TableGrid"/>
        <w:tblW w:w="9238" w:type="dxa"/>
        <w:tblInd w:w="-5" w:type="dxa"/>
        <w:tblLook w:val="04A0" w:firstRow="1" w:lastRow="0" w:firstColumn="1" w:lastColumn="0" w:noHBand="0" w:noVBand="1"/>
      </w:tblPr>
      <w:tblGrid>
        <w:gridCol w:w="4168"/>
        <w:gridCol w:w="5070"/>
      </w:tblGrid>
      <w:tr w:rsidR="00A20F2E" w:rsidRPr="00A20F2E" w14:paraId="171E2555" w14:textId="77777777" w:rsidTr="00A20F2E">
        <w:trPr>
          <w:trHeight w:val="351"/>
        </w:trPr>
        <w:tc>
          <w:tcPr>
            <w:tcW w:w="0" w:type="auto"/>
            <w:hideMark/>
          </w:tcPr>
          <w:p w14:paraId="2745E79B" w14:textId="77777777" w:rsidR="00A20F2E" w:rsidRPr="00A20F2E" w:rsidRDefault="00A20F2E">
            <w:pPr>
              <w:jc w:val="center"/>
              <w:rPr>
                <w:b/>
                <w:bCs/>
                <w:sz w:val="24"/>
                <w:szCs w:val="24"/>
              </w:rPr>
            </w:pPr>
            <w:r w:rsidRPr="00A20F2E">
              <w:rPr>
                <w:b/>
                <w:bCs/>
                <w:sz w:val="24"/>
                <w:szCs w:val="24"/>
              </w:rPr>
              <w:t>Category</w:t>
            </w:r>
          </w:p>
        </w:tc>
        <w:tc>
          <w:tcPr>
            <w:tcW w:w="0" w:type="auto"/>
            <w:hideMark/>
          </w:tcPr>
          <w:p w14:paraId="3FD2DABC" w14:textId="77777777" w:rsidR="00A20F2E" w:rsidRPr="00A20F2E" w:rsidRDefault="00A20F2E">
            <w:pPr>
              <w:jc w:val="center"/>
              <w:rPr>
                <w:b/>
                <w:bCs/>
                <w:sz w:val="24"/>
                <w:szCs w:val="24"/>
              </w:rPr>
            </w:pPr>
            <w:r w:rsidRPr="00A20F2E">
              <w:rPr>
                <w:b/>
                <w:bCs/>
                <w:sz w:val="24"/>
                <w:szCs w:val="24"/>
              </w:rPr>
              <w:t>Hypothetical Numerical Data</w:t>
            </w:r>
          </w:p>
        </w:tc>
      </w:tr>
      <w:tr w:rsidR="00A20F2E" w:rsidRPr="00A20F2E" w14:paraId="12A6098B" w14:textId="77777777" w:rsidTr="00A20F2E">
        <w:trPr>
          <w:trHeight w:val="450"/>
        </w:trPr>
        <w:tc>
          <w:tcPr>
            <w:tcW w:w="0" w:type="auto"/>
            <w:hideMark/>
          </w:tcPr>
          <w:p w14:paraId="7A8AE8D8" w14:textId="77777777" w:rsidR="00A20F2E" w:rsidRPr="00A20F2E" w:rsidRDefault="00A20F2E">
            <w:pPr>
              <w:rPr>
                <w:sz w:val="24"/>
                <w:szCs w:val="24"/>
              </w:rPr>
            </w:pPr>
            <w:r w:rsidRPr="00A20F2E">
              <w:rPr>
                <w:rStyle w:val="Strong"/>
                <w:sz w:val="24"/>
                <w:szCs w:val="24"/>
              </w:rPr>
              <w:t>CEO/CFO Certification</w:t>
            </w:r>
          </w:p>
        </w:tc>
        <w:tc>
          <w:tcPr>
            <w:tcW w:w="0" w:type="auto"/>
            <w:hideMark/>
          </w:tcPr>
          <w:p w14:paraId="3E13A4CC" w14:textId="77777777" w:rsidR="00A20F2E" w:rsidRPr="00A20F2E" w:rsidRDefault="00A20F2E">
            <w:pPr>
              <w:rPr>
                <w:sz w:val="24"/>
                <w:szCs w:val="24"/>
              </w:rPr>
            </w:pPr>
            <w:r w:rsidRPr="00A20F2E">
              <w:rPr>
                <w:sz w:val="24"/>
                <w:szCs w:val="24"/>
              </w:rPr>
              <w:t>- Number of certifications filed annually: 10,000</w:t>
            </w:r>
          </w:p>
        </w:tc>
      </w:tr>
      <w:tr w:rsidR="00A20F2E" w:rsidRPr="00A20F2E" w14:paraId="62D22D4C" w14:textId="77777777" w:rsidTr="00A20F2E">
        <w:trPr>
          <w:trHeight w:val="720"/>
        </w:trPr>
        <w:tc>
          <w:tcPr>
            <w:tcW w:w="0" w:type="auto"/>
            <w:hideMark/>
          </w:tcPr>
          <w:p w14:paraId="06C8CE66" w14:textId="77777777" w:rsidR="00A20F2E" w:rsidRPr="00A20F2E" w:rsidRDefault="00A20F2E">
            <w:pPr>
              <w:rPr>
                <w:sz w:val="24"/>
                <w:szCs w:val="24"/>
              </w:rPr>
            </w:pPr>
          </w:p>
        </w:tc>
        <w:tc>
          <w:tcPr>
            <w:tcW w:w="0" w:type="auto"/>
            <w:hideMark/>
          </w:tcPr>
          <w:p w14:paraId="60A2DBAC" w14:textId="77777777" w:rsidR="00A20F2E" w:rsidRPr="00A20F2E" w:rsidRDefault="00A20F2E">
            <w:pPr>
              <w:rPr>
                <w:sz w:val="24"/>
                <w:szCs w:val="24"/>
              </w:rPr>
            </w:pPr>
            <w:r w:rsidRPr="00A20F2E">
              <w:rPr>
                <w:sz w:val="24"/>
                <w:szCs w:val="24"/>
              </w:rPr>
              <w:t>- Percentage of companies with independent audit committees: 95%</w:t>
            </w:r>
          </w:p>
        </w:tc>
      </w:tr>
      <w:tr w:rsidR="00A20F2E" w:rsidRPr="00A20F2E" w14:paraId="059D8AC0" w14:textId="77777777" w:rsidTr="00A20F2E">
        <w:trPr>
          <w:trHeight w:val="706"/>
        </w:trPr>
        <w:tc>
          <w:tcPr>
            <w:tcW w:w="0" w:type="auto"/>
            <w:hideMark/>
          </w:tcPr>
          <w:p w14:paraId="3420B851" w14:textId="77777777" w:rsidR="00A20F2E" w:rsidRPr="00A20F2E" w:rsidRDefault="00A20F2E">
            <w:pPr>
              <w:rPr>
                <w:sz w:val="24"/>
                <w:szCs w:val="24"/>
              </w:rPr>
            </w:pPr>
            <w:r w:rsidRPr="00A20F2E">
              <w:rPr>
                <w:rStyle w:val="Strong"/>
                <w:sz w:val="24"/>
                <w:szCs w:val="24"/>
              </w:rPr>
              <w:t>Internal Controls</w:t>
            </w:r>
          </w:p>
        </w:tc>
        <w:tc>
          <w:tcPr>
            <w:tcW w:w="0" w:type="auto"/>
            <w:hideMark/>
          </w:tcPr>
          <w:p w14:paraId="664BD0FE" w14:textId="77777777" w:rsidR="00A20F2E" w:rsidRPr="00A20F2E" w:rsidRDefault="00A20F2E">
            <w:pPr>
              <w:rPr>
                <w:sz w:val="24"/>
                <w:szCs w:val="24"/>
              </w:rPr>
            </w:pPr>
            <w:r w:rsidRPr="00A20F2E">
              <w:rPr>
                <w:sz w:val="24"/>
                <w:szCs w:val="24"/>
              </w:rPr>
              <w:t>- Number of internal control deficiencies reported: 500</w:t>
            </w:r>
          </w:p>
        </w:tc>
      </w:tr>
      <w:tr w:rsidR="00A20F2E" w:rsidRPr="00A20F2E" w14:paraId="57BBD32E" w14:textId="77777777" w:rsidTr="00A20F2E">
        <w:trPr>
          <w:trHeight w:val="720"/>
        </w:trPr>
        <w:tc>
          <w:tcPr>
            <w:tcW w:w="0" w:type="auto"/>
            <w:hideMark/>
          </w:tcPr>
          <w:p w14:paraId="07E09F80" w14:textId="77777777" w:rsidR="00A20F2E" w:rsidRPr="00A20F2E" w:rsidRDefault="00A20F2E">
            <w:pPr>
              <w:rPr>
                <w:sz w:val="24"/>
                <w:szCs w:val="24"/>
              </w:rPr>
            </w:pPr>
          </w:p>
        </w:tc>
        <w:tc>
          <w:tcPr>
            <w:tcW w:w="0" w:type="auto"/>
            <w:hideMark/>
          </w:tcPr>
          <w:p w14:paraId="4F53AA5F" w14:textId="77777777" w:rsidR="00A20F2E" w:rsidRPr="00A20F2E" w:rsidRDefault="00A20F2E">
            <w:pPr>
              <w:rPr>
                <w:sz w:val="24"/>
                <w:szCs w:val="24"/>
              </w:rPr>
            </w:pPr>
            <w:r w:rsidRPr="00A20F2E">
              <w:rPr>
                <w:sz w:val="24"/>
                <w:szCs w:val="24"/>
              </w:rPr>
              <w:t>- Companies required to disclose off-balance-sheet transactions: 1,000</w:t>
            </w:r>
          </w:p>
        </w:tc>
      </w:tr>
      <w:tr w:rsidR="00A20F2E" w:rsidRPr="00A20F2E" w14:paraId="747B275D" w14:textId="77777777" w:rsidTr="00A20F2E">
        <w:trPr>
          <w:trHeight w:val="706"/>
        </w:trPr>
        <w:tc>
          <w:tcPr>
            <w:tcW w:w="0" w:type="auto"/>
            <w:hideMark/>
          </w:tcPr>
          <w:p w14:paraId="5BA16F4A" w14:textId="77777777" w:rsidR="00A20F2E" w:rsidRPr="00A20F2E" w:rsidRDefault="00A20F2E">
            <w:pPr>
              <w:rPr>
                <w:sz w:val="24"/>
                <w:szCs w:val="24"/>
              </w:rPr>
            </w:pPr>
            <w:r w:rsidRPr="00A20F2E">
              <w:rPr>
                <w:rStyle w:val="Strong"/>
                <w:sz w:val="24"/>
                <w:szCs w:val="24"/>
              </w:rPr>
              <w:t>Public Company Accounting Oversight Board (PCAOB)</w:t>
            </w:r>
          </w:p>
        </w:tc>
        <w:tc>
          <w:tcPr>
            <w:tcW w:w="0" w:type="auto"/>
            <w:hideMark/>
          </w:tcPr>
          <w:p w14:paraId="5B375315" w14:textId="77777777" w:rsidR="00A20F2E" w:rsidRPr="00A20F2E" w:rsidRDefault="00A20F2E">
            <w:pPr>
              <w:rPr>
                <w:sz w:val="24"/>
                <w:szCs w:val="24"/>
              </w:rPr>
            </w:pPr>
            <w:r w:rsidRPr="00A20F2E">
              <w:rPr>
                <w:sz w:val="24"/>
                <w:szCs w:val="24"/>
              </w:rPr>
              <w:t>- Number of audit firms registered: 2,000</w:t>
            </w:r>
          </w:p>
        </w:tc>
      </w:tr>
      <w:tr w:rsidR="00A20F2E" w:rsidRPr="00A20F2E" w14:paraId="4F243E1E" w14:textId="77777777" w:rsidTr="00A20F2E">
        <w:trPr>
          <w:trHeight w:val="706"/>
        </w:trPr>
        <w:tc>
          <w:tcPr>
            <w:tcW w:w="0" w:type="auto"/>
            <w:hideMark/>
          </w:tcPr>
          <w:p w14:paraId="33A219B7" w14:textId="77777777" w:rsidR="00A20F2E" w:rsidRPr="00A20F2E" w:rsidRDefault="00A20F2E">
            <w:pPr>
              <w:rPr>
                <w:sz w:val="24"/>
                <w:szCs w:val="24"/>
              </w:rPr>
            </w:pPr>
          </w:p>
        </w:tc>
        <w:tc>
          <w:tcPr>
            <w:tcW w:w="0" w:type="auto"/>
            <w:hideMark/>
          </w:tcPr>
          <w:p w14:paraId="6CC14FEE" w14:textId="77777777" w:rsidR="00A20F2E" w:rsidRPr="00A20F2E" w:rsidRDefault="00A20F2E">
            <w:pPr>
              <w:rPr>
                <w:sz w:val="24"/>
                <w:szCs w:val="24"/>
              </w:rPr>
            </w:pPr>
            <w:r w:rsidRPr="00A20F2E">
              <w:rPr>
                <w:sz w:val="24"/>
                <w:szCs w:val="24"/>
              </w:rPr>
              <w:t>- Percentage of audit firms inspected annually: 80%</w:t>
            </w:r>
          </w:p>
        </w:tc>
      </w:tr>
    </w:tbl>
    <w:p w14:paraId="7A1B5C68" w14:textId="77777777" w:rsidR="00A20F2E" w:rsidRDefault="00A20F2E" w:rsidP="00A20F2E">
      <w:pPr>
        <w:pStyle w:val="Heading4"/>
      </w:pPr>
    </w:p>
    <w:p w14:paraId="3C6FEB07" w14:textId="29E307E6" w:rsidR="00A20F2E" w:rsidRPr="00A20F2E" w:rsidRDefault="00A20F2E" w:rsidP="00A20F2E">
      <w:pPr>
        <w:pStyle w:val="Heading2"/>
        <w:rPr>
          <w:i/>
          <w:iCs/>
          <w:color w:val="auto"/>
        </w:rPr>
      </w:pPr>
      <w:r w:rsidRPr="00A20F2E">
        <w:rPr>
          <w:color w:val="auto"/>
        </w:rPr>
        <w:t>Consumer Protection Act (Generic)</w:t>
      </w:r>
    </w:p>
    <w:tbl>
      <w:tblPr>
        <w:tblStyle w:val="TableGrid"/>
        <w:tblW w:w="9052" w:type="dxa"/>
        <w:tblLook w:val="04A0" w:firstRow="1" w:lastRow="0" w:firstColumn="1" w:lastColumn="0" w:noHBand="0" w:noVBand="1"/>
      </w:tblPr>
      <w:tblGrid>
        <w:gridCol w:w="2845"/>
        <w:gridCol w:w="6207"/>
      </w:tblGrid>
      <w:tr w:rsidR="00A20F2E" w:rsidRPr="00A20F2E" w14:paraId="790A9E8B" w14:textId="77777777" w:rsidTr="00A20F2E">
        <w:trPr>
          <w:trHeight w:val="400"/>
        </w:trPr>
        <w:tc>
          <w:tcPr>
            <w:tcW w:w="0" w:type="auto"/>
            <w:hideMark/>
          </w:tcPr>
          <w:p w14:paraId="2C983520" w14:textId="77777777" w:rsidR="00A20F2E" w:rsidRPr="00A20F2E" w:rsidRDefault="00A20F2E">
            <w:pPr>
              <w:jc w:val="center"/>
              <w:rPr>
                <w:b/>
                <w:bCs/>
                <w:sz w:val="24"/>
                <w:szCs w:val="24"/>
              </w:rPr>
            </w:pPr>
            <w:r w:rsidRPr="00A20F2E">
              <w:rPr>
                <w:b/>
                <w:bCs/>
                <w:sz w:val="24"/>
                <w:szCs w:val="24"/>
              </w:rPr>
              <w:t>Category</w:t>
            </w:r>
          </w:p>
        </w:tc>
        <w:tc>
          <w:tcPr>
            <w:tcW w:w="0" w:type="auto"/>
            <w:hideMark/>
          </w:tcPr>
          <w:p w14:paraId="663ACE56" w14:textId="77777777" w:rsidR="00A20F2E" w:rsidRPr="00A20F2E" w:rsidRDefault="00A20F2E">
            <w:pPr>
              <w:jc w:val="center"/>
              <w:rPr>
                <w:b/>
                <w:bCs/>
                <w:sz w:val="24"/>
                <w:szCs w:val="24"/>
              </w:rPr>
            </w:pPr>
            <w:r w:rsidRPr="00A20F2E">
              <w:rPr>
                <w:b/>
                <w:bCs/>
                <w:sz w:val="24"/>
                <w:szCs w:val="24"/>
              </w:rPr>
              <w:t>Hypothetical Numerical Data</w:t>
            </w:r>
          </w:p>
        </w:tc>
      </w:tr>
      <w:tr w:rsidR="00A20F2E" w:rsidRPr="00A20F2E" w14:paraId="253851E8" w14:textId="77777777" w:rsidTr="00A20F2E">
        <w:trPr>
          <w:trHeight w:val="400"/>
        </w:trPr>
        <w:tc>
          <w:tcPr>
            <w:tcW w:w="0" w:type="auto"/>
            <w:hideMark/>
          </w:tcPr>
          <w:p w14:paraId="27712A84" w14:textId="77777777" w:rsidR="00A20F2E" w:rsidRPr="00A20F2E" w:rsidRDefault="00A20F2E">
            <w:pPr>
              <w:rPr>
                <w:sz w:val="24"/>
                <w:szCs w:val="24"/>
              </w:rPr>
            </w:pPr>
            <w:r w:rsidRPr="00A20F2E">
              <w:rPr>
                <w:rStyle w:val="Strong"/>
                <w:sz w:val="24"/>
                <w:szCs w:val="24"/>
              </w:rPr>
              <w:t>Consumer Complaints</w:t>
            </w:r>
          </w:p>
        </w:tc>
        <w:tc>
          <w:tcPr>
            <w:tcW w:w="0" w:type="auto"/>
            <w:hideMark/>
          </w:tcPr>
          <w:p w14:paraId="3B78D2B6" w14:textId="77777777" w:rsidR="00A20F2E" w:rsidRPr="00A20F2E" w:rsidRDefault="00A20F2E">
            <w:pPr>
              <w:rPr>
                <w:sz w:val="24"/>
                <w:szCs w:val="24"/>
              </w:rPr>
            </w:pPr>
            <w:r w:rsidRPr="00A20F2E">
              <w:rPr>
                <w:sz w:val="24"/>
                <w:szCs w:val="24"/>
              </w:rPr>
              <w:t>- Number of consumer complaints resolved: 100,000</w:t>
            </w:r>
          </w:p>
        </w:tc>
      </w:tr>
      <w:tr w:rsidR="00A20F2E" w:rsidRPr="00A20F2E" w14:paraId="514D244C" w14:textId="77777777" w:rsidTr="00A20F2E">
        <w:trPr>
          <w:trHeight w:val="419"/>
        </w:trPr>
        <w:tc>
          <w:tcPr>
            <w:tcW w:w="0" w:type="auto"/>
            <w:hideMark/>
          </w:tcPr>
          <w:p w14:paraId="7CAAF730" w14:textId="77777777" w:rsidR="00A20F2E" w:rsidRPr="00A20F2E" w:rsidRDefault="00A20F2E">
            <w:pPr>
              <w:rPr>
                <w:sz w:val="24"/>
                <w:szCs w:val="24"/>
              </w:rPr>
            </w:pPr>
          </w:p>
        </w:tc>
        <w:tc>
          <w:tcPr>
            <w:tcW w:w="0" w:type="auto"/>
            <w:hideMark/>
          </w:tcPr>
          <w:p w14:paraId="45D9D856" w14:textId="77777777" w:rsidR="00A20F2E" w:rsidRPr="00A20F2E" w:rsidRDefault="00A20F2E">
            <w:pPr>
              <w:rPr>
                <w:sz w:val="24"/>
                <w:szCs w:val="24"/>
              </w:rPr>
            </w:pPr>
            <w:r w:rsidRPr="00A20F2E">
              <w:rPr>
                <w:sz w:val="24"/>
                <w:szCs w:val="24"/>
              </w:rPr>
              <w:t>- Fines imposed on businesses for unfair practices: $10 million</w:t>
            </w:r>
          </w:p>
        </w:tc>
      </w:tr>
      <w:tr w:rsidR="00A20F2E" w:rsidRPr="00A20F2E" w14:paraId="17B07F98" w14:textId="77777777" w:rsidTr="00A20F2E">
        <w:trPr>
          <w:trHeight w:val="400"/>
        </w:trPr>
        <w:tc>
          <w:tcPr>
            <w:tcW w:w="0" w:type="auto"/>
            <w:hideMark/>
          </w:tcPr>
          <w:p w14:paraId="17765546" w14:textId="77777777" w:rsidR="00A20F2E" w:rsidRPr="00A20F2E" w:rsidRDefault="00A20F2E">
            <w:pPr>
              <w:rPr>
                <w:sz w:val="24"/>
                <w:szCs w:val="24"/>
              </w:rPr>
            </w:pPr>
            <w:r w:rsidRPr="00A20F2E">
              <w:rPr>
                <w:rStyle w:val="Strong"/>
                <w:sz w:val="24"/>
                <w:szCs w:val="24"/>
              </w:rPr>
              <w:t>Product Safety Standards</w:t>
            </w:r>
          </w:p>
        </w:tc>
        <w:tc>
          <w:tcPr>
            <w:tcW w:w="0" w:type="auto"/>
            <w:hideMark/>
          </w:tcPr>
          <w:p w14:paraId="31B213DB" w14:textId="77777777" w:rsidR="00A20F2E" w:rsidRPr="00A20F2E" w:rsidRDefault="00A20F2E">
            <w:pPr>
              <w:rPr>
                <w:sz w:val="24"/>
                <w:szCs w:val="24"/>
              </w:rPr>
            </w:pPr>
            <w:r w:rsidRPr="00A20F2E">
              <w:rPr>
                <w:sz w:val="24"/>
                <w:szCs w:val="24"/>
              </w:rPr>
              <w:t>- Number of product recalls issued: 500</w:t>
            </w:r>
          </w:p>
        </w:tc>
      </w:tr>
      <w:tr w:rsidR="00A20F2E" w:rsidRPr="00A20F2E" w14:paraId="753F24B2" w14:textId="77777777" w:rsidTr="00A20F2E">
        <w:trPr>
          <w:trHeight w:val="400"/>
        </w:trPr>
        <w:tc>
          <w:tcPr>
            <w:tcW w:w="0" w:type="auto"/>
            <w:hideMark/>
          </w:tcPr>
          <w:p w14:paraId="691BA52F" w14:textId="77777777" w:rsidR="00A20F2E" w:rsidRPr="00A20F2E" w:rsidRDefault="00A20F2E">
            <w:pPr>
              <w:rPr>
                <w:sz w:val="24"/>
                <w:szCs w:val="24"/>
              </w:rPr>
            </w:pPr>
          </w:p>
        </w:tc>
        <w:tc>
          <w:tcPr>
            <w:tcW w:w="0" w:type="auto"/>
            <w:hideMark/>
          </w:tcPr>
          <w:p w14:paraId="649CFA67" w14:textId="77777777" w:rsidR="00A20F2E" w:rsidRPr="00A20F2E" w:rsidRDefault="00A20F2E">
            <w:pPr>
              <w:rPr>
                <w:sz w:val="24"/>
                <w:szCs w:val="24"/>
              </w:rPr>
            </w:pPr>
            <w:r w:rsidRPr="00A20F2E">
              <w:rPr>
                <w:sz w:val="24"/>
                <w:szCs w:val="24"/>
              </w:rPr>
              <w:t>- Compliance rate with safety standards: 90%</w:t>
            </w:r>
          </w:p>
        </w:tc>
      </w:tr>
      <w:tr w:rsidR="00A20F2E" w:rsidRPr="00A20F2E" w14:paraId="1CA9CD71" w14:textId="77777777" w:rsidTr="00A20F2E">
        <w:trPr>
          <w:trHeight w:val="400"/>
        </w:trPr>
        <w:tc>
          <w:tcPr>
            <w:tcW w:w="0" w:type="auto"/>
            <w:hideMark/>
          </w:tcPr>
          <w:p w14:paraId="126FB45B" w14:textId="77777777" w:rsidR="00A20F2E" w:rsidRPr="00A20F2E" w:rsidRDefault="00A20F2E">
            <w:pPr>
              <w:rPr>
                <w:sz w:val="24"/>
                <w:szCs w:val="24"/>
              </w:rPr>
            </w:pPr>
            <w:r w:rsidRPr="00A20F2E">
              <w:rPr>
                <w:rStyle w:val="Strong"/>
                <w:sz w:val="24"/>
                <w:szCs w:val="24"/>
              </w:rPr>
              <w:t>Consumer Education</w:t>
            </w:r>
          </w:p>
        </w:tc>
        <w:tc>
          <w:tcPr>
            <w:tcW w:w="0" w:type="auto"/>
            <w:hideMark/>
          </w:tcPr>
          <w:p w14:paraId="6266CBEA" w14:textId="77777777" w:rsidR="00A20F2E" w:rsidRPr="00A20F2E" w:rsidRDefault="00A20F2E">
            <w:pPr>
              <w:rPr>
                <w:sz w:val="24"/>
                <w:szCs w:val="24"/>
              </w:rPr>
            </w:pPr>
            <w:r w:rsidRPr="00A20F2E">
              <w:rPr>
                <w:sz w:val="24"/>
                <w:szCs w:val="24"/>
              </w:rPr>
              <w:t>- Number of educational workshops conducted annually: 1,000</w:t>
            </w:r>
          </w:p>
        </w:tc>
      </w:tr>
      <w:tr w:rsidR="00A20F2E" w:rsidRPr="00A20F2E" w14:paraId="3AA2E527" w14:textId="77777777" w:rsidTr="00A20F2E">
        <w:trPr>
          <w:trHeight w:val="400"/>
        </w:trPr>
        <w:tc>
          <w:tcPr>
            <w:tcW w:w="0" w:type="auto"/>
            <w:hideMark/>
          </w:tcPr>
          <w:p w14:paraId="393B1E13" w14:textId="77777777" w:rsidR="00A20F2E" w:rsidRPr="00A20F2E" w:rsidRDefault="00A20F2E">
            <w:pPr>
              <w:rPr>
                <w:sz w:val="24"/>
                <w:szCs w:val="24"/>
              </w:rPr>
            </w:pPr>
          </w:p>
        </w:tc>
        <w:tc>
          <w:tcPr>
            <w:tcW w:w="0" w:type="auto"/>
            <w:hideMark/>
          </w:tcPr>
          <w:p w14:paraId="2BFD9752" w14:textId="77777777" w:rsidR="00A20F2E" w:rsidRPr="00A20F2E" w:rsidRDefault="00A20F2E">
            <w:pPr>
              <w:rPr>
                <w:sz w:val="24"/>
                <w:szCs w:val="24"/>
              </w:rPr>
            </w:pPr>
            <w:r w:rsidRPr="00A20F2E">
              <w:rPr>
                <w:sz w:val="24"/>
                <w:szCs w:val="24"/>
              </w:rPr>
              <w:t>- Consumers reached through awareness campaigns: 5 million</w:t>
            </w:r>
          </w:p>
        </w:tc>
      </w:tr>
    </w:tbl>
    <w:p w14:paraId="163DE422" w14:textId="77777777" w:rsidR="00A20F2E" w:rsidRPr="00A20F2E" w:rsidRDefault="00A20F2E" w:rsidP="00A20F2E">
      <w:pPr>
        <w:pStyle w:val="Heading2"/>
      </w:pPr>
      <w:r w:rsidRPr="00A20F2E">
        <w:t>Explanation:</w:t>
      </w:r>
    </w:p>
    <w:p w14:paraId="5F65B375" w14:textId="77777777" w:rsidR="00A20F2E" w:rsidRPr="00A20F2E" w:rsidRDefault="00A20F2E" w:rsidP="00A20F2E">
      <w:pPr>
        <w:numPr>
          <w:ilvl w:val="0"/>
          <w:numId w:val="6"/>
        </w:numPr>
        <w:spacing w:before="100" w:beforeAutospacing="1" w:after="100" w:afterAutospacing="1" w:line="240" w:lineRule="auto"/>
        <w:rPr>
          <w:sz w:val="24"/>
          <w:szCs w:val="24"/>
        </w:rPr>
      </w:pPr>
      <w:r w:rsidRPr="00A20F2E">
        <w:rPr>
          <w:rStyle w:val="Strong"/>
          <w:sz w:val="24"/>
          <w:szCs w:val="24"/>
        </w:rPr>
        <w:t>Hypothetical Numerical Data:</w:t>
      </w:r>
      <w:r w:rsidRPr="00A20F2E">
        <w:rPr>
          <w:sz w:val="24"/>
          <w:szCs w:val="24"/>
        </w:rPr>
        <w:t xml:space="preserve"> Represents fictional numbers intended to illustrate the scope and potential impact of each legislative act.</w:t>
      </w:r>
    </w:p>
    <w:p w14:paraId="26679DA6" w14:textId="321A37E5" w:rsidR="00554835" w:rsidRPr="00A20F2E" w:rsidRDefault="00A20F2E" w:rsidP="00A20F2E">
      <w:pPr>
        <w:numPr>
          <w:ilvl w:val="0"/>
          <w:numId w:val="6"/>
        </w:numPr>
        <w:spacing w:before="100" w:beforeAutospacing="1" w:after="100" w:afterAutospacing="1" w:line="240" w:lineRule="auto"/>
        <w:rPr>
          <w:sz w:val="24"/>
          <w:szCs w:val="24"/>
        </w:rPr>
      </w:pPr>
      <w:r w:rsidRPr="00A20F2E">
        <w:rPr>
          <w:sz w:val="24"/>
          <w:szCs w:val="24"/>
        </w:rPr>
        <w:t>These numbers are not based on actual reports or studies but are provided to demonstrate the kinds of quantitative measures that might be associated with the implementation or enforcement of each act.</w:t>
      </w:r>
    </w:p>
    <w:p w14:paraId="086CA0FA" w14:textId="4BF23853" w:rsidR="00554835" w:rsidRPr="00554835" w:rsidRDefault="00554835" w:rsidP="00554835">
      <w:pPr>
        <w:pStyle w:val="Heading1"/>
        <w:rPr>
          <w:rFonts w:eastAsia="Times New Roman"/>
          <w:lang w:eastAsia="en-IN"/>
        </w:rPr>
      </w:pPr>
      <w:r w:rsidRPr="00554835">
        <w:rPr>
          <w:rFonts w:eastAsia="Times New Roman"/>
          <w:lang w:eastAsia="en-IN"/>
        </w:rPr>
        <w:t>Conclusion</w:t>
      </w:r>
    </w:p>
    <w:p w14:paraId="4A684101" w14:textId="77777777" w:rsidR="00554835" w:rsidRPr="00554835" w:rsidRDefault="00554835" w:rsidP="00554835">
      <w:pPr>
        <w:spacing w:before="100" w:beforeAutospacing="1" w:after="100" w:afterAutospacing="1" w:line="240" w:lineRule="auto"/>
        <w:rPr>
          <w:rFonts w:eastAsia="Times New Roman" w:cs="Times New Roman"/>
          <w:kern w:val="0"/>
          <w:sz w:val="24"/>
          <w:szCs w:val="24"/>
          <w:lang w:eastAsia="en-IN"/>
          <w14:ligatures w14:val="none"/>
        </w:rPr>
      </w:pPr>
      <w:r w:rsidRPr="00554835">
        <w:rPr>
          <w:rFonts w:eastAsia="Times New Roman" w:cs="Times New Roman"/>
          <w:kern w:val="0"/>
          <w:sz w:val="24"/>
          <w:szCs w:val="24"/>
          <w:lang w:eastAsia="en-IN"/>
          <w14:ligatures w14:val="none"/>
        </w:rPr>
        <w:t>The Dodd-Frank Act and SOX have profoundly impacted the financial and corporate governance landscapes, respectively. Despite facing criticisms regarding complexity and compliance costs, both pieces of legislation have played crucial roles in reforming their respective areas, enhancing transparency, accountability, and investor protection. Moving forward, continued assessment and potential refinements to these laws will be essential to balance regulatory oversight with economic growth and innovation.</w:t>
      </w:r>
    </w:p>
    <w:p w14:paraId="1AE7073B" w14:textId="77777777" w:rsidR="008A21E4" w:rsidRPr="00554835" w:rsidRDefault="008A21E4">
      <w:pPr>
        <w:rPr>
          <w:sz w:val="24"/>
          <w:szCs w:val="24"/>
        </w:rPr>
      </w:pPr>
    </w:p>
    <w:sectPr w:rsidR="008A21E4" w:rsidRPr="00554835" w:rsidSect="00344E5B">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38687C"/>
    <w:multiLevelType w:val="multilevel"/>
    <w:tmpl w:val="5D88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A46CD"/>
    <w:multiLevelType w:val="multilevel"/>
    <w:tmpl w:val="D698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03401"/>
    <w:multiLevelType w:val="multilevel"/>
    <w:tmpl w:val="73BEB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D2396D"/>
    <w:multiLevelType w:val="multilevel"/>
    <w:tmpl w:val="79EA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452F75"/>
    <w:multiLevelType w:val="multilevel"/>
    <w:tmpl w:val="B080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383F07"/>
    <w:multiLevelType w:val="multilevel"/>
    <w:tmpl w:val="702A7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0707341">
    <w:abstractNumId w:val="2"/>
  </w:num>
  <w:num w:numId="2" w16cid:durableId="370419447">
    <w:abstractNumId w:val="4"/>
  </w:num>
  <w:num w:numId="3" w16cid:durableId="2073960795">
    <w:abstractNumId w:val="5"/>
  </w:num>
  <w:num w:numId="4" w16cid:durableId="1171288893">
    <w:abstractNumId w:val="3"/>
  </w:num>
  <w:num w:numId="5" w16cid:durableId="1723820787">
    <w:abstractNumId w:val="1"/>
  </w:num>
  <w:num w:numId="6" w16cid:durableId="1635137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835"/>
    <w:rsid w:val="00344E5B"/>
    <w:rsid w:val="00554835"/>
    <w:rsid w:val="0088182B"/>
    <w:rsid w:val="008A21E4"/>
    <w:rsid w:val="00A20F2E"/>
    <w:rsid w:val="00DA6D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0DAC8"/>
  <w15:chartTrackingRefBased/>
  <w15:docId w15:val="{5D551E50-421C-453D-861B-AE33C7D02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8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48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48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548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48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48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8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8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8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8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48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48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548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48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48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8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8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835"/>
    <w:rPr>
      <w:rFonts w:eastAsiaTheme="majorEastAsia" w:cstheme="majorBidi"/>
      <w:color w:val="272727" w:themeColor="text1" w:themeTint="D8"/>
    </w:rPr>
  </w:style>
  <w:style w:type="paragraph" w:styleId="Title">
    <w:name w:val="Title"/>
    <w:basedOn w:val="Normal"/>
    <w:next w:val="Normal"/>
    <w:link w:val="TitleChar"/>
    <w:uiPriority w:val="10"/>
    <w:qFormat/>
    <w:rsid w:val="005548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8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8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8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835"/>
    <w:pPr>
      <w:spacing w:before="160"/>
      <w:jc w:val="center"/>
    </w:pPr>
    <w:rPr>
      <w:i/>
      <w:iCs/>
      <w:color w:val="404040" w:themeColor="text1" w:themeTint="BF"/>
    </w:rPr>
  </w:style>
  <w:style w:type="character" w:customStyle="1" w:styleId="QuoteChar">
    <w:name w:val="Quote Char"/>
    <w:basedOn w:val="DefaultParagraphFont"/>
    <w:link w:val="Quote"/>
    <w:uiPriority w:val="29"/>
    <w:rsid w:val="00554835"/>
    <w:rPr>
      <w:i/>
      <w:iCs/>
      <w:color w:val="404040" w:themeColor="text1" w:themeTint="BF"/>
    </w:rPr>
  </w:style>
  <w:style w:type="paragraph" w:styleId="ListParagraph">
    <w:name w:val="List Paragraph"/>
    <w:basedOn w:val="Normal"/>
    <w:uiPriority w:val="34"/>
    <w:qFormat/>
    <w:rsid w:val="00554835"/>
    <w:pPr>
      <w:ind w:left="720"/>
      <w:contextualSpacing/>
    </w:pPr>
  </w:style>
  <w:style w:type="character" w:styleId="IntenseEmphasis">
    <w:name w:val="Intense Emphasis"/>
    <w:basedOn w:val="DefaultParagraphFont"/>
    <w:uiPriority w:val="21"/>
    <w:qFormat/>
    <w:rsid w:val="00554835"/>
    <w:rPr>
      <w:i/>
      <w:iCs/>
      <w:color w:val="0F4761" w:themeColor="accent1" w:themeShade="BF"/>
    </w:rPr>
  </w:style>
  <w:style w:type="paragraph" w:styleId="IntenseQuote">
    <w:name w:val="Intense Quote"/>
    <w:basedOn w:val="Normal"/>
    <w:next w:val="Normal"/>
    <w:link w:val="IntenseQuoteChar"/>
    <w:uiPriority w:val="30"/>
    <w:qFormat/>
    <w:rsid w:val="005548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4835"/>
    <w:rPr>
      <w:i/>
      <w:iCs/>
      <w:color w:val="0F4761" w:themeColor="accent1" w:themeShade="BF"/>
    </w:rPr>
  </w:style>
  <w:style w:type="character" w:styleId="IntenseReference">
    <w:name w:val="Intense Reference"/>
    <w:basedOn w:val="DefaultParagraphFont"/>
    <w:uiPriority w:val="32"/>
    <w:qFormat/>
    <w:rsid w:val="00554835"/>
    <w:rPr>
      <w:b/>
      <w:bCs/>
      <w:smallCaps/>
      <w:color w:val="0F4761" w:themeColor="accent1" w:themeShade="BF"/>
      <w:spacing w:val="5"/>
    </w:rPr>
  </w:style>
  <w:style w:type="paragraph" w:styleId="NormalWeb">
    <w:name w:val="Normal (Web)"/>
    <w:basedOn w:val="Normal"/>
    <w:uiPriority w:val="99"/>
    <w:semiHidden/>
    <w:unhideWhenUsed/>
    <w:rsid w:val="0055483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54835"/>
    <w:rPr>
      <w:b/>
      <w:bCs/>
    </w:rPr>
  </w:style>
  <w:style w:type="table" w:styleId="TableGrid">
    <w:name w:val="Table Grid"/>
    <w:basedOn w:val="TableNormal"/>
    <w:uiPriority w:val="39"/>
    <w:rsid w:val="00554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191861">
      <w:bodyDiv w:val="1"/>
      <w:marLeft w:val="0"/>
      <w:marRight w:val="0"/>
      <w:marTop w:val="0"/>
      <w:marBottom w:val="0"/>
      <w:divBdr>
        <w:top w:val="none" w:sz="0" w:space="0" w:color="auto"/>
        <w:left w:val="none" w:sz="0" w:space="0" w:color="auto"/>
        <w:bottom w:val="none" w:sz="0" w:space="0" w:color="auto"/>
        <w:right w:val="none" w:sz="0" w:space="0" w:color="auto"/>
      </w:divBdr>
    </w:div>
    <w:div w:id="1062098609">
      <w:bodyDiv w:val="1"/>
      <w:marLeft w:val="0"/>
      <w:marRight w:val="0"/>
      <w:marTop w:val="0"/>
      <w:marBottom w:val="0"/>
      <w:divBdr>
        <w:top w:val="none" w:sz="0" w:space="0" w:color="auto"/>
        <w:left w:val="none" w:sz="0" w:space="0" w:color="auto"/>
        <w:bottom w:val="none" w:sz="0" w:space="0" w:color="auto"/>
        <w:right w:val="none" w:sz="0" w:space="0" w:color="auto"/>
      </w:divBdr>
    </w:div>
    <w:div w:id="139161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1687</Words>
  <Characters>9618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2</cp:revision>
  <cp:lastPrinted>2024-06-13T08:26:00Z</cp:lastPrinted>
  <dcterms:created xsi:type="dcterms:W3CDTF">2024-06-13T08:27:00Z</dcterms:created>
  <dcterms:modified xsi:type="dcterms:W3CDTF">2024-06-13T08:27:00Z</dcterms:modified>
</cp:coreProperties>
</file>