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31820" w14:textId="4BC1F422" w:rsidR="005F74A9" w:rsidRDefault="005F74A9" w:rsidP="005F74A9">
      <w:pPr>
        <w:pStyle w:val="Heading1"/>
        <w:jc w:val="center"/>
        <w:rPr>
          <w:rFonts w:eastAsia="Times New Roman"/>
          <w:b/>
          <w:bCs/>
          <w:lang w:eastAsia="en-IN"/>
        </w:rPr>
      </w:pPr>
      <w:r w:rsidRPr="005F74A9">
        <w:rPr>
          <w:rFonts w:eastAsia="Times New Roman"/>
          <w:lang w:eastAsia="en-IN"/>
        </w:rPr>
        <w:t>FEDERAL RESERVE SYSTEM</w:t>
      </w:r>
    </w:p>
    <w:p w14:paraId="7C301868" w14:textId="5C25484A" w:rsidR="005F74A9" w:rsidRDefault="005F74A9" w:rsidP="005F74A9">
      <w:pPr>
        <w:pStyle w:val="Heading1"/>
        <w:rPr>
          <w:rFonts w:eastAsia="Times New Roman"/>
          <w:lang w:eastAsia="en-IN"/>
        </w:rPr>
      </w:pPr>
      <w:r w:rsidRPr="005F74A9">
        <w:rPr>
          <w:rFonts w:eastAsia="Times New Roman"/>
          <w:lang w:eastAsia="en-IN"/>
        </w:rPr>
        <w:t xml:space="preserve">Introduction: </w:t>
      </w:r>
    </w:p>
    <w:p w14:paraId="3801B661" w14:textId="4078FA88" w:rsidR="005F74A9" w:rsidRPr="005F74A9" w:rsidRDefault="005F74A9" w:rsidP="005F74A9">
      <w:p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kern w:val="0"/>
          <w:sz w:val="24"/>
          <w:szCs w:val="24"/>
          <w:lang w:eastAsia="en-IN"/>
          <w14:ligatures w14:val="none"/>
        </w:rPr>
        <w:t>The Federal Reserve System (the Fed) serves as the central bank of the United States, established to ensure a safer, more flexible, and more stable monetary and financial system. Its primary objectives are to manage inflation, maximize employment, and ensure moderate long-term interest rates. This comprehensive overview explores the history, structure, functions, impact, challenges, and future directions of the Federal Reserve System.</w:t>
      </w:r>
    </w:p>
    <w:p w14:paraId="34BE6880" w14:textId="77777777" w:rsidR="005F74A9" w:rsidRPr="005F74A9" w:rsidRDefault="005F74A9" w:rsidP="005F74A9">
      <w:pPr>
        <w:pStyle w:val="Heading2"/>
        <w:rPr>
          <w:rFonts w:eastAsia="Times New Roman"/>
          <w:lang w:eastAsia="en-IN"/>
        </w:rPr>
      </w:pPr>
      <w:r w:rsidRPr="005F74A9">
        <w:rPr>
          <w:rFonts w:eastAsia="Times New Roman"/>
          <w:lang w:eastAsia="en-IN"/>
        </w:rPr>
        <w:t>1. Historical Background:</w:t>
      </w:r>
    </w:p>
    <w:p w14:paraId="07BBD85C" w14:textId="77777777" w:rsidR="005F74A9" w:rsidRPr="005F74A9" w:rsidRDefault="005F74A9" w:rsidP="005F74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Creation:</w:t>
      </w:r>
      <w:r w:rsidRPr="005F74A9">
        <w:rPr>
          <w:rFonts w:eastAsia="Times New Roman" w:cs="Times New Roman"/>
          <w:kern w:val="0"/>
          <w:sz w:val="24"/>
          <w:szCs w:val="24"/>
          <w:lang w:eastAsia="en-IN"/>
          <w14:ligatures w14:val="none"/>
        </w:rPr>
        <w:t xml:space="preserve"> The Federal Reserve System was created by the Federal Reserve Act of 1913, signed into law by President Woodrow Wilson. It was established in response to frequent financial panics, particularly the Panic of 1907, which underscored the need for a central banking system to provide liquidity in times of financial stress.</w:t>
      </w:r>
    </w:p>
    <w:p w14:paraId="4C67FD70" w14:textId="77777777" w:rsidR="005F74A9" w:rsidRPr="005F74A9" w:rsidRDefault="005F74A9" w:rsidP="005F74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Early Years:</w:t>
      </w:r>
      <w:r w:rsidRPr="005F74A9">
        <w:rPr>
          <w:rFonts w:eastAsia="Times New Roman" w:cs="Times New Roman"/>
          <w:kern w:val="0"/>
          <w:sz w:val="24"/>
          <w:szCs w:val="24"/>
          <w:lang w:eastAsia="en-IN"/>
          <w14:ligatures w14:val="none"/>
        </w:rPr>
        <w:t xml:space="preserve"> Initially, the Fed's role was limited to providing liquidity to banks during financial panics. Over time, its responsibilities expanded, particularly during the Great Depression when the Banking Act of 1935 restructured the Fed, increasing its authority.</w:t>
      </w:r>
    </w:p>
    <w:p w14:paraId="4C729E7C" w14:textId="77777777" w:rsidR="005F74A9" w:rsidRPr="005F74A9" w:rsidRDefault="005F74A9" w:rsidP="005F74A9">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Modern Era:</w:t>
      </w:r>
      <w:r w:rsidRPr="005F74A9">
        <w:rPr>
          <w:rFonts w:eastAsia="Times New Roman" w:cs="Times New Roman"/>
          <w:kern w:val="0"/>
          <w:sz w:val="24"/>
          <w:szCs w:val="24"/>
          <w:lang w:eastAsia="en-IN"/>
          <w14:ligatures w14:val="none"/>
        </w:rPr>
        <w:t xml:space="preserve"> Significant changes occurred in the late 20th and early 21st centuries, including the response to the stagflation of the 1970s, the deregulation of the 1980s, the financial crisis of 2008, and the economic impacts of the COVID-19 pandemic. These events shaped the Fed's current policies and practices.</w:t>
      </w:r>
    </w:p>
    <w:p w14:paraId="6436CAFE" w14:textId="77777777" w:rsidR="005F74A9" w:rsidRPr="005F74A9" w:rsidRDefault="005F74A9" w:rsidP="005F74A9">
      <w:pPr>
        <w:pStyle w:val="Heading2"/>
        <w:rPr>
          <w:rFonts w:eastAsia="Times New Roman"/>
          <w:lang w:eastAsia="en-IN"/>
        </w:rPr>
      </w:pPr>
      <w:r w:rsidRPr="005F74A9">
        <w:rPr>
          <w:rFonts w:eastAsia="Times New Roman"/>
          <w:lang w:eastAsia="en-IN"/>
        </w:rPr>
        <w:t>2. Structure:</w:t>
      </w:r>
    </w:p>
    <w:p w14:paraId="25166B36" w14:textId="77777777" w:rsidR="005F74A9" w:rsidRPr="005F74A9" w:rsidRDefault="005F74A9" w:rsidP="005F74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Board of Governors:</w:t>
      </w:r>
    </w:p>
    <w:p w14:paraId="681BB089" w14:textId="77777777" w:rsidR="005F74A9" w:rsidRPr="005F74A9" w:rsidRDefault="005F74A9" w:rsidP="005F74A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Composition:</w:t>
      </w:r>
      <w:r w:rsidRPr="005F74A9">
        <w:rPr>
          <w:rFonts w:eastAsia="Times New Roman" w:cs="Times New Roman"/>
          <w:kern w:val="0"/>
          <w:sz w:val="24"/>
          <w:szCs w:val="24"/>
          <w:lang w:eastAsia="en-IN"/>
          <w14:ligatures w14:val="none"/>
        </w:rPr>
        <w:t xml:space="preserve"> The Board of Governors consists of seven members appointed by the President and confirmed by the Senate. Each member serves a 14-year term, with one member's term expiring every two years.</w:t>
      </w:r>
    </w:p>
    <w:p w14:paraId="09506146" w14:textId="028DA6C2" w:rsidR="005F74A9" w:rsidRPr="005F74A9" w:rsidRDefault="005F74A9" w:rsidP="005F74A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Responsibilities:</w:t>
      </w:r>
      <w:r w:rsidRPr="005F74A9">
        <w:rPr>
          <w:rFonts w:eastAsia="Times New Roman" w:cs="Times New Roman"/>
          <w:kern w:val="0"/>
          <w:sz w:val="24"/>
          <w:szCs w:val="24"/>
          <w:lang w:eastAsia="en-IN"/>
          <w14:ligatures w14:val="none"/>
        </w:rPr>
        <w:t xml:space="preserve"> </w:t>
      </w:r>
      <w:r w:rsidR="003945E9" w:rsidRPr="005F74A9">
        <w:rPr>
          <w:rFonts w:eastAsia="Times New Roman" w:cs="Times New Roman"/>
          <w:kern w:val="0"/>
          <w:sz w:val="24"/>
          <w:szCs w:val="24"/>
          <w:lang w:eastAsia="en-IN"/>
          <w14:ligatures w14:val="none"/>
        </w:rPr>
        <w:t>The Board guides monetary policy</w:t>
      </w:r>
      <w:r w:rsidRPr="005F74A9">
        <w:rPr>
          <w:rFonts w:eastAsia="Times New Roman" w:cs="Times New Roman"/>
          <w:kern w:val="0"/>
          <w:sz w:val="24"/>
          <w:szCs w:val="24"/>
          <w:lang w:eastAsia="en-IN"/>
          <w14:ligatures w14:val="none"/>
        </w:rPr>
        <w:t xml:space="preserve"> oversees the 12 regional Federal Reserve </w:t>
      </w:r>
      <w:proofErr w:type="gramStart"/>
      <w:r w:rsidRPr="005F74A9">
        <w:rPr>
          <w:rFonts w:eastAsia="Times New Roman" w:cs="Times New Roman"/>
          <w:kern w:val="0"/>
          <w:sz w:val="24"/>
          <w:szCs w:val="24"/>
          <w:lang w:eastAsia="en-IN"/>
          <w14:ligatures w14:val="none"/>
        </w:rPr>
        <w:t>Banks, and</w:t>
      </w:r>
      <w:proofErr w:type="gramEnd"/>
      <w:r w:rsidRPr="005F74A9">
        <w:rPr>
          <w:rFonts w:eastAsia="Times New Roman" w:cs="Times New Roman"/>
          <w:kern w:val="0"/>
          <w:sz w:val="24"/>
          <w:szCs w:val="24"/>
          <w:lang w:eastAsia="en-IN"/>
          <w14:ligatures w14:val="none"/>
        </w:rPr>
        <w:t xml:space="preserve"> regulates the banking industry. Key responsibilities include setting reserve requirements and approving changes in discount rates.</w:t>
      </w:r>
    </w:p>
    <w:p w14:paraId="6BB06450" w14:textId="77777777" w:rsidR="005F74A9" w:rsidRPr="005F74A9" w:rsidRDefault="005F74A9" w:rsidP="005F74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Federal Reserve Banks:</w:t>
      </w:r>
    </w:p>
    <w:p w14:paraId="69053F81" w14:textId="77777777" w:rsidR="005F74A9" w:rsidRPr="005F74A9" w:rsidRDefault="005F74A9" w:rsidP="005F74A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Regional Banks:</w:t>
      </w:r>
      <w:r w:rsidRPr="005F74A9">
        <w:rPr>
          <w:rFonts w:eastAsia="Times New Roman" w:cs="Times New Roman"/>
          <w:kern w:val="0"/>
          <w:sz w:val="24"/>
          <w:szCs w:val="24"/>
          <w:lang w:eastAsia="en-IN"/>
          <w14:ligatures w14:val="none"/>
        </w:rPr>
        <w:t xml:space="preserve"> There are 12 regional Federal Reserve Banks located in major cities such as New York, San Francisco, and Chicago. Each bank operates independently within its district, implementing monetary policy, providing financial services, and supervising local financial institutions.</w:t>
      </w:r>
    </w:p>
    <w:p w14:paraId="09622E2E" w14:textId="77777777" w:rsidR="005F74A9" w:rsidRPr="005F74A9" w:rsidRDefault="005F74A9" w:rsidP="005F74A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lastRenderedPageBreak/>
        <w:t>Functions:</w:t>
      </w:r>
      <w:r w:rsidRPr="005F74A9">
        <w:rPr>
          <w:rFonts w:eastAsia="Times New Roman" w:cs="Times New Roman"/>
          <w:kern w:val="0"/>
          <w:sz w:val="24"/>
          <w:szCs w:val="24"/>
          <w:lang w:eastAsia="en-IN"/>
          <w14:ligatures w14:val="none"/>
        </w:rPr>
        <w:t xml:space="preserve"> Regional banks conduct research on economic conditions, process payments, distribute currency and coin, and serve as the federal government's bank.</w:t>
      </w:r>
    </w:p>
    <w:p w14:paraId="169246EC" w14:textId="77777777" w:rsidR="005F74A9" w:rsidRPr="005F74A9" w:rsidRDefault="005F74A9" w:rsidP="005F74A9">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Federal Open Market Committee (FOMC):</w:t>
      </w:r>
    </w:p>
    <w:p w14:paraId="04B785A8" w14:textId="77777777" w:rsidR="005F74A9" w:rsidRPr="005F74A9" w:rsidRDefault="005F74A9" w:rsidP="005F74A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Composition:</w:t>
      </w:r>
      <w:r w:rsidRPr="005F74A9">
        <w:rPr>
          <w:rFonts w:eastAsia="Times New Roman" w:cs="Times New Roman"/>
          <w:kern w:val="0"/>
          <w:sz w:val="24"/>
          <w:szCs w:val="24"/>
          <w:lang w:eastAsia="en-IN"/>
          <w14:ligatures w14:val="none"/>
        </w:rPr>
        <w:t xml:space="preserve"> The FOMC consists of the seven Board of Governors members and five of the 12 regional bank presidents, with the president of the Federal Reserve Bank of New York serving as a permanent member. The other four seats rotate among the remaining 11 bank presidents.</w:t>
      </w:r>
    </w:p>
    <w:p w14:paraId="0F8F412C" w14:textId="77777777" w:rsidR="005F74A9" w:rsidRPr="005F74A9" w:rsidRDefault="005F74A9" w:rsidP="005F74A9">
      <w:pPr>
        <w:numPr>
          <w:ilvl w:val="1"/>
          <w:numId w:val="2"/>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Responsibilities:</w:t>
      </w:r>
      <w:r w:rsidRPr="005F74A9">
        <w:rPr>
          <w:rFonts w:eastAsia="Times New Roman" w:cs="Times New Roman"/>
          <w:kern w:val="0"/>
          <w:sz w:val="24"/>
          <w:szCs w:val="24"/>
          <w:lang w:eastAsia="en-IN"/>
          <w14:ligatures w14:val="none"/>
        </w:rPr>
        <w:t xml:space="preserve"> The FOMC meets regularly to set monetary policy, particularly through open market operations, which involve the buying and selling of government securities to influence the money supply and interest rates.</w:t>
      </w:r>
    </w:p>
    <w:p w14:paraId="05C3DEE0" w14:textId="77777777" w:rsidR="005F74A9" w:rsidRPr="005F74A9" w:rsidRDefault="005F74A9" w:rsidP="005F74A9">
      <w:pPr>
        <w:pStyle w:val="Heading2"/>
        <w:rPr>
          <w:rFonts w:eastAsia="Times New Roman"/>
          <w:lang w:eastAsia="en-IN"/>
        </w:rPr>
      </w:pPr>
      <w:r w:rsidRPr="005F74A9">
        <w:rPr>
          <w:rFonts w:eastAsia="Times New Roman"/>
          <w:lang w:eastAsia="en-IN"/>
        </w:rPr>
        <w:t>3. Functions:</w:t>
      </w:r>
    </w:p>
    <w:p w14:paraId="4649D918" w14:textId="77777777" w:rsidR="005F74A9" w:rsidRPr="005F74A9" w:rsidRDefault="005F74A9" w:rsidP="005F74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Monetary Policy:</w:t>
      </w:r>
    </w:p>
    <w:p w14:paraId="1A1A3D85"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Goals:</w:t>
      </w:r>
      <w:r w:rsidRPr="005F74A9">
        <w:rPr>
          <w:rFonts w:eastAsia="Times New Roman" w:cs="Times New Roman"/>
          <w:kern w:val="0"/>
          <w:sz w:val="24"/>
          <w:szCs w:val="24"/>
          <w:lang w:eastAsia="en-IN"/>
          <w14:ligatures w14:val="none"/>
        </w:rPr>
        <w:t xml:space="preserve"> The Fed's dual mandate is to promote maximum employment and stable prices. Additionally, it seeks moderate long-term interest rates.</w:t>
      </w:r>
    </w:p>
    <w:p w14:paraId="7BB6DBF3"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Tools:</w:t>
      </w:r>
    </w:p>
    <w:p w14:paraId="3120E1CE" w14:textId="77777777" w:rsidR="005F74A9" w:rsidRPr="005F74A9" w:rsidRDefault="005F74A9" w:rsidP="005F74A9">
      <w:pPr>
        <w:numPr>
          <w:ilvl w:val="2"/>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Open Market Operations:</w:t>
      </w:r>
      <w:r w:rsidRPr="005F74A9">
        <w:rPr>
          <w:rFonts w:eastAsia="Times New Roman" w:cs="Times New Roman"/>
          <w:kern w:val="0"/>
          <w:sz w:val="24"/>
          <w:szCs w:val="24"/>
          <w:lang w:eastAsia="en-IN"/>
          <w14:ligatures w14:val="none"/>
        </w:rPr>
        <w:t xml:space="preserve"> The primary tool for influencing money supply and interest rates. By buying and selling government securities, the Fed adjusts the amount of money in the banking system.</w:t>
      </w:r>
    </w:p>
    <w:p w14:paraId="55835E4C" w14:textId="77777777" w:rsidR="005F74A9" w:rsidRPr="005F74A9" w:rsidRDefault="005F74A9" w:rsidP="005F74A9">
      <w:pPr>
        <w:numPr>
          <w:ilvl w:val="2"/>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Discount Rate:</w:t>
      </w:r>
      <w:r w:rsidRPr="005F74A9">
        <w:rPr>
          <w:rFonts w:eastAsia="Times New Roman" w:cs="Times New Roman"/>
          <w:kern w:val="0"/>
          <w:sz w:val="24"/>
          <w:szCs w:val="24"/>
          <w:lang w:eastAsia="en-IN"/>
          <w14:ligatures w14:val="none"/>
        </w:rPr>
        <w:t xml:space="preserve"> The interest rate charged to commercial banks and other depository institutions on loans they receive from their regional Federal Reserve Bank's lending facility.</w:t>
      </w:r>
    </w:p>
    <w:p w14:paraId="2BC567DF" w14:textId="77777777" w:rsidR="005F74A9" w:rsidRPr="005F74A9" w:rsidRDefault="005F74A9" w:rsidP="005F74A9">
      <w:pPr>
        <w:numPr>
          <w:ilvl w:val="2"/>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Reserve Requirements:</w:t>
      </w:r>
      <w:r w:rsidRPr="005F74A9">
        <w:rPr>
          <w:rFonts w:eastAsia="Times New Roman" w:cs="Times New Roman"/>
          <w:kern w:val="0"/>
          <w:sz w:val="24"/>
          <w:szCs w:val="24"/>
          <w:lang w:eastAsia="en-IN"/>
          <w14:ligatures w14:val="none"/>
        </w:rPr>
        <w:t xml:space="preserve"> Regulations on the minimum </w:t>
      </w:r>
      <w:proofErr w:type="gramStart"/>
      <w:r w:rsidRPr="005F74A9">
        <w:rPr>
          <w:rFonts w:eastAsia="Times New Roman" w:cs="Times New Roman"/>
          <w:kern w:val="0"/>
          <w:sz w:val="24"/>
          <w:szCs w:val="24"/>
          <w:lang w:eastAsia="en-IN"/>
          <w14:ligatures w14:val="none"/>
        </w:rPr>
        <w:t>amount</w:t>
      </w:r>
      <w:proofErr w:type="gramEnd"/>
      <w:r w:rsidRPr="005F74A9">
        <w:rPr>
          <w:rFonts w:eastAsia="Times New Roman" w:cs="Times New Roman"/>
          <w:kern w:val="0"/>
          <w:sz w:val="24"/>
          <w:szCs w:val="24"/>
          <w:lang w:eastAsia="en-IN"/>
          <w14:ligatures w14:val="none"/>
        </w:rPr>
        <w:t xml:space="preserve"> of reserves that banks must hold against deposits, influencing the amount of money banks can lend.</w:t>
      </w:r>
    </w:p>
    <w:p w14:paraId="4F2E9CD1" w14:textId="77777777" w:rsidR="005F74A9" w:rsidRPr="005F74A9" w:rsidRDefault="005F74A9" w:rsidP="005F74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Supervision and Regulation:</w:t>
      </w:r>
    </w:p>
    <w:p w14:paraId="4A42F0B7"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Bank Supervision:</w:t>
      </w:r>
      <w:r w:rsidRPr="005F74A9">
        <w:rPr>
          <w:rFonts w:eastAsia="Times New Roman" w:cs="Times New Roman"/>
          <w:kern w:val="0"/>
          <w:sz w:val="24"/>
          <w:szCs w:val="24"/>
          <w:lang w:eastAsia="en-IN"/>
          <w14:ligatures w14:val="none"/>
        </w:rPr>
        <w:t xml:space="preserve"> The Fed oversees and regulates banks to ensure they operate safely and soundly. It conducts regular examinations and enforces banking laws.</w:t>
      </w:r>
    </w:p>
    <w:p w14:paraId="051980D0"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Consumer Protection:</w:t>
      </w:r>
      <w:r w:rsidRPr="005F74A9">
        <w:rPr>
          <w:rFonts w:eastAsia="Times New Roman" w:cs="Times New Roman"/>
          <w:kern w:val="0"/>
          <w:sz w:val="24"/>
          <w:szCs w:val="24"/>
          <w:lang w:eastAsia="en-IN"/>
          <w14:ligatures w14:val="none"/>
        </w:rPr>
        <w:t xml:space="preserve"> The Fed enforces laws such as the Truth in Lending Act and the Equal Credit Opportunity Act, ensuring fair and transparent lending practices.</w:t>
      </w:r>
    </w:p>
    <w:p w14:paraId="3E6F675B" w14:textId="77777777" w:rsidR="005F74A9" w:rsidRPr="005F74A9" w:rsidRDefault="005F74A9" w:rsidP="005F74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Financial Services:</w:t>
      </w:r>
    </w:p>
    <w:p w14:paraId="52DCE5F3"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Payment Systems:</w:t>
      </w:r>
      <w:r w:rsidRPr="005F74A9">
        <w:rPr>
          <w:rFonts w:eastAsia="Times New Roman" w:cs="Times New Roman"/>
          <w:kern w:val="0"/>
          <w:sz w:val="24"/>
          <w:szCs w:val="24"/>
          <w:lang w:eastAsia="en-IN"/>
          <w14:ligatures w14:val="none"/>
        </w:rPr>
        <w:t xml:space="preserve"> The Fed plays a central role in operating the nation's payment systems, including the clearing of checks, electronic funds transfers, and the distribution of currency and coin.</w:t>
      </w:r>
    </w:p>
    <w:p w14:paraId="7F6E7796"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Banking Services:</w:t>
      </w:r>
      <w:r w:rsidRPr="005F74A9">
        <w:rPr>
          <w:rFonts w:eastAsia="Times New Roman" w:cs="Times New Roman"/>
          <w:kern w:val="0"/>
          <w:sz w:val="24"/>
          <w:szCs w:val="24"/>
          <w:lang w:eastAsia="en-IN"/>
          <w14:ligatures w14:val="none"/>
        </w:rPr>
        <w:t xml:space="preserve"> Provides services to depository institutions and the federal government, including managing the Treasury's payments and issuing and redeeming government securities.</w:t>
      </w:r>
    </w:p>
    <w:p w14:paraId="4BEEAD4D" w14:textId="77777777" w:rsidR="005F74A9" w:rsidRPr="005F74A9" w:rsidRDefault="005F74A9" w:rsidP="005F74A9">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Financial Stability:</w:t>
      </w:r>
    </w:p>
    <w:p w14:paraId="1E7B4DE6" w14:textId="77777777" w:rsidR="005F74A9" w:rsidRPr="005F74A9" w:rsidRDefault="005F74A9" w:rsidP="005F74A9">
      <w:pPr>
        <w:numPr>
          <w:ilvl w:val="1"/>
          <w:numId w:val="3"/>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Crisis Management:</w:t>
      </w:r>
      <w:r w:rsidRPr="005F74A9">
        <w:rPr>
          <w:rFonts w:eastAsia="Times New Roman" w:cs="Times New Roman"/>
          <w:kern w:val="0"/>
          <w:sz w:val="24"/>
          <w:szCs w:val="24"/>
          <w:lang w:eastAsia="en-IN"/>
          <w14:ligatures w14:val="none"/>
        </w:rPr>
        <w:t xml:space="preserve"> The Fed acts as a lender of last resort, providing liquidity to financial institutions during crises to maintain stability and </w:t>
      </w:r>
      <w:r w:rsidRPr="005F74A9">
        <w:rPr>
          <w:rFonts w:eastAsia="Times New Roman" w:cs="Times New Roman"/>
          <w:kern w:val="0"/>
          <w:sz w:val="24"/>
          <w:szCs w:val="24"/>
          <w:lang w:eastAsia="en-IN"/>
          <w14:ligatures w14:val="none"/>
        </w:rPr>
        <w:lastRenderedPageBreak/>
        <w:t>confidence in the financial system. Examples include actions taken during the 2008 financial crisis and the COVID-19 pandemic.</w:t>
      </w:r>
    </w:p>
    <w:p w14:paraId="7B682BBF" w14:textId="77777777" w:rsidR="005F74A9" w:rsidRPr="005F74A9" w:rsidRDefault="005F74A9" w:rsidP="005F74A9">
      <w:pPr>
        <w:pStyle w:val="Heading2"/>
        <w:rPr>
          <w:rFonts w:eastAsia="Times New Roman"/>
          <w:lang w:eastAsia="en-IN"/>
        </w:rPr>
      </w:pPr>
      <w:r w:rsidRPr="005F74A9">
        <w:rPr>
          <w:rFonts w:eastAsia="Times New Roman"/>
          <w:lang w:eastAsia="en-IN"/>
        </w:rPr>
        <w:t>4. Impact on the Economy:</w:t>
      </w:r>
    </w:p>
    <w:p w14:paraId="66632B41" w14:textId="77777777" w:rsidR="005F74A9" w:rsidRPr="005F74A9" w:rsidRDefault="005F74A9" w:rsidP="005F74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Influence on Interest Rates:</w:t>
      </w:r>
      <w:r w:rsidRPr="005F74A9">
        <w:rPr>
          <w:rFonts w:eastAsia="Times New Roman" w:cs="Times New Roman"/>
          <w:kern w:val="0"/>
          <w:sz w:val="24"/>
          <w:szCs w:val="24"/>
          <w:lang w:eastAsia="en-IN"/>
          <w14:ligatures w14:val="none"/>
        </w:rPr>
        <w:t xml:space="preserve"> By adjusting the federal funds rate, the rate at which banks lend to each other overnight, the Fed influences overall borrowing costs, consumer spending, and business investment.</w:t>
      </w:r>
    </w:p>
    <w:p w14:paraId="057F59F9" w14:textId="77777777" w:rsidR="005F74A9" w:rsidRPr="005F74A9" w:rsidRDefault="005F74A9" w:rsidP="005F74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Economic Stabilization:</w:t>
      </w:r>
      <w:r w:rsidRPr="005F74A9">
        <w:rPr>
          <w:rFonts w:eastAsia="Times New Roman" w:cs="Times New Roman"/>
          <w:kern w:val="0"/>
          <w:sz w:val="24"/>
          <w:szCs w:val="24"/>
          <w:lang w:eastAsia="en-IN"/>
          <w14:ligatures w14:val="none"/>
        </w:rPr>
        <w:t xml:space="preserve"> The Fed's actions aim to smooth out economic fluctuations, reducing the severity of recessions and controlling inflation. For example, during periods of economic downturn, the Fed may lower interest rates to encourage borrowing and investment.</w:t>
      </w:r>
    </w:p>
    <w:p w14:paraId="01AB5484" w14:textId="77777777" w:rsidR="005F74A9" w:rsidRPr="005F74A9" w:rsidRDefault="005F74A9" w:rsidP="005F74A9">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Financial Market Confidence:</w:t>
      </w:r>
      <w:r w:rsidRPr="005F74A9">
        <w:rPr>
          <w:rFonts w:eastAsia="Times New Roman" w:cs="Times New Roman"/>
          <w:kern w:val="0"/>
          <w:sz w:val="24"/>
          <w:szCs w:val="24"/>
          <w:lang w:eastAsia="en-IN"/>
          <w14:ligatures w14:val="none"/>
        </w:rPr>
        <w:t xml:space="preserve"> The Fed's regulatory oversight and crisis management capabilities help maintain confidence in the financial system. By ensuring banks operate safely and soundly, the Fed fosters a stable environment for economic growth.</w:t>
      </w:r>
    </w:p>
    <w:p w14:paraId="24D60221" w14:textId="77777777" w:rsidR="005F74A9" w:rsidRPr="005F74A9" w:rsidRDefault="005F74A9" w:rsidP="005F74A9">
      <w:pPr>
        <w:pStyle w:val="Heading2"/>
        <w:rPr>
          <w:rFonts w:eastAsia="Times New Roman"/>
          <w:lang w:eastAsia="en-IN"/>
        </w:rPr>
      </w:pPr>
      <w:r w:rsidRPr="005F74A9">
        <w:rPr>
          <w:rFonts w:eastAsia="Times New Roman"/>
          <w:lang w:eastAsia="en-IN"/>
        </w:rPr>
        <w:t>5. Challenges and Future Directions:</w:t>
      </w:r>
    </w:p>
    <w:p w14:paraId="411C6BFB" w14:textId="77777777" w:rsidR="005F74A9" w:rsidRPr="005F74A9" w:rsidRDefault="005F74A9" w:rsidP="005F74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Technological Advances:</w:t>
      </w:r>
      <w:r w:rsidRPr="005F74A9">
        <w:rPr>
          <w:rFonts w:eastAsia="Times New Roman" w:cs="Times New Roman"/>
          <w:kern w:val="0"/>
          <w:sz w:val="24"/>
          <w:szCs w:val="24"/>
          <w:lang w:eastAsia="en-IN"/>
          <w14:ligatures w14:val="none"/>
        </w:rPr>
        <w:t xml:space="preserve"> The rise of digital currencies, fintech innovations, and cyber threats pose new challenges for the Fed. Adapting regulatory frameworks to address these developments while fostering innovation is critical.</w:t>
      </w:r>
    </w:p>
    <w:p w14:paraId="7A674B4E" w14:textId="77777777" w:rsidR="005F74A9" w:rsidRPr="005F74A9" w:rsidRDefault="005F74A9" w:rsidP="005F74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Global Coordination:</w:t>
      </w:r>
      <w:r w:rsidRPr="005F74A9">
        <w:rPr>
          <w:rFonts w:eastAsia="Times New Roman" w:cs="Times New Roman"/>
          <w:kern w:val="0"/>
          <w:sz w:val="24"/>
          <w:szCs w:val="24"/>
          <w:lang w:eastAsia="en-IN"/>
          <w14:ligatures w14:val="none"/>
        </w:rPr>
        <w:t xml:space="preserve"> As the global economy becomes increasingly interconnected, the Fed collaborates with other central banks and international organizations to manage global economic risks and ensure financial stability.</w:t>
      </w:r>
    </w:p>
    <w:p w14:paraId="67C0E858" w14:textId="77777777" w:rsidR="005F74A9" w:rsidRPr="005F74A9" w:rsidRDefault="005F74A9" w:rsidP="005F74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Policy Communication:</w:t>
      </w:r>
      <w:r w:rsidRPr="005F74A9">
        <w:rPr>
          <w:rFonts w:eastAsia="Times New Roman" w:cs="Times New Roman"/>
          <w:kern w:val="0"/>
          <w:sz w:val="24"/>
          <w:szCs w:val="24"/>
          <w:lang w:eastAsia="en-IN"/>
          <w14:ligatures w14:val="none"/>
        </w:rPr>
        <w:t xml:space="preserve"> Enhancing transparency and communication about monetary policy decisions is essential for maintaining public confidence and managing economic expectations. The Fed has made efforts to improve its communication strategies, including press conferences and detailed policy statements.</w:t>
      </w:r>
    </w:p>
    <w:p w14:paraId="6E9E5F4B" w14:textId="77777777" w:rsidR="005F74A9" w:rsidRDefault="005F74A9" w:rsidP="005F74A9">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b/>
          <w:bCs/>
          <w:kern w:val="0"/>
          <w:sz w:val="24"/>
          <w:szCs w:val="24"/>
          <w:lang w:eastAsia="en-IN"/>
          <w14:ligatures w14:val="none"/>
        </w:rPr>
        <w:t>Economic Inequality:</w:t>
      </w:r>
      <w:r w:rsidRPr="005F74A9">
        <w:rPr>
          <w:rFonts w:eastAsia="Times New Roman" w:cs="Times New Roman"/>
          <w:kern w:val="0"/>
          <w:sz w:val="24"/>
          <w:szCs w:val="24"/>
          <w:lang w:eastAsia="en-IN"/>
          <w14:ligatures w14:val="none"/>
        </w:rPr>
        <w:t xml:space="preserve"> Addressing the impact of monetary policy on economic inequality is a growing concern. The Fed must consider how its actions affect different segments of society and explore ways to promote inclusive economic growth.</w:t>
      </w:r>
    </w:p>
    <w:p w14:paraId="47CBDEB2" w14:textId="77777777" w:rsidR="005F74A9" w:rsidRDefault="005F74A9">
      <w:pPr>
        <w:rPr>
          <w:rFonts w:asciiTheme="majorHAnsi" w:eastAsiaTheme="majorEastAsia" w:hAnsiTheme="majorHAnsi" w:cstheme="majorBidi"/>
          <w:color w:val="0F4761" w:themeColor="accent1" w:themeShade="BF"/>
          <w:sz w:val="32"/>
          <w:szCs w:val="32"/>
        </w:rPr>
      </w:pPr>
      <w:r>
        <w:br w:type="page"/>
      </w:r>
    </w:p>
    <w:p w14:paraId="22B6FD35" w14:textId="20ED39B7" w:rsidR="005F74A9" w:rsidRDefault="005F74A9" w:rsidP="005F74A9">
      <w:pPr>
        <w:pStyle w:val="Heading2"/>
      </w:pPr>
      <w:r>
        <w:lastRenderedPageBreak/>
        <w:t>T</w:t>
      </w:r>
      <w:r>
        <w:t>ables related to the Federal Reserve System:</w:t>
      </w:r>
    </w:p>
    <w:p w14:paraId="33A7A0A6" w14:textId="4897447F" w:rsidR="005F74A9" w:rsidRDefault="005F74A9" w:rsidP="005F74A9">
      <w:pPr>
        <w:rPr>
          <w:b/>
          <w:bCs/>
          <w:sz w:val="24"/>
          <w:szCs w:val="24"/>
        </w:rPr>
      </w:pPr>
      <w:r w:rsidRPr="005F74A9">
        <w:rPr>
          <w:b/>
          <w:bCs/>
          <w:sz w:val="24"/>
          <w:szCs w:val="24"/>
        </w:rPr>
        <w:t>1. Federal Reserve Banks by District:</w:t>
      </w:r>
    </w:p>
    <w:tbl>
      <w:tblPr>
        <w:tblStyle w:val="TableGrid"/>
        <w:tblW w:w="5382" w:type="dxa"/>
        <w:tblLook w:val="04A0" w:firstRow="1" w:lastRow="0" w:firstColumn="1" w:lastColumn="0" w:noHBand="0" w:noVBand="1"/>
      </w:tblPr>
      <w:tblGrid>
        <w:gridCol w:w="1120"/>
        <w:gridCol w:w="4262"/>
      </w:tblGrid>
      <w:tr w:rsidR="005F74A9" w:rsidRPr="005F74A9" w14:paraId="490C0E0C" w14:textId="77777777" w:rsidTr="001C7937">
        <w:trPr>
          <w:trHeight w:val="288"/>
        </w:trPr>
        <w:tc>
          <w:tcPr>
            <w:tcW w:w="1120" w:type="dxa"/>
            <w:hideMark/>
          </w:tcPr>
          <w:p w14:paraId="51477789" w14:textId="77777777" w:rsidR="005F74A9" w:rsidRPr="005F74A9" w:rsidRDefault="005F74A9" w:rsidP="005F74A9">
            <w:pPr>
              <w:jc w:val="center"/>
              <w:rPr>
                <w:rFonts w:ascii="Aptos Narrow" w:eastAsia="Times New Roman" w:hAnsi="Aptos Narrow" w:cs="Times New Roman"/>
                <w:b/>
                <w:bCs/>
                <w:color w:val="000000"/>
                <w:kern w:val="0"/>
                <w:sz w:val="24"/>
                <w:szCs w:val="24"/>
                <w:lang w:eastAsia="en-IN"/>
                <w14:ligatures w14:val="none"/>
              </w:rPr>
            </w:pPr>
            <w:r w:rsidRPr="005F74A9">
              <w:rPr>
                <w:rFonts w:ascii="Aptos Narrow" w:eastAsia="Times New Roman" w:hAnsi="Aptos Narrow" w:cs="Times New Roman"/>
                <w:b/>
                <w:bCs/>
                <w:color w:val="000000"/>
                <w:kern w:val="0"/>
                <w:sz w:val="24"/>
                <w:szCs w:val="24"/>
                <w:lang w:eastAsia="en-IN"/>
                <w14:ligatures w14:val="none"/>
              </w:rPr>
              <w:t>District</w:t>
            </w:r>
          </w:p>
        </w:tc>
        <w:tc>
          <w:tcPr>
            <w:tcW w:w="4262" w:type="dxa"/>
            <w:hideMark/>
          </w:tcPr>
          <w:p w14:paraId="3DC1A60D" w14:textId="77777777" w:rsidR="005F74A9" w:rsidRPr="005F74A9" w:rsidRDefault="005F74A9" w:rsidP="005F74A9">
            <w:pPr>
              <w:jc w:val="center"/>
              <w:rPr>
                <w:rFonts w:ascii="Aptos Narrow" w:eastAsia="Times New Roman" w:hAnsi="Aptos Narrow" w:cs="Times New Roman"/>
                <w:b/>
                <w:bCs/>
                <w:color w:val="000000"/>
                <w:kern w:val="0"/>
                <w:sz w:val="24"/>
                <w:szCs w:val="24"/>
                <w:lang w:eastAsia="en-IN"/>
                <w14:ligatures w14:val="none"/>
              </w:rPr>
            </w:pPr>
            <w:r w:rsidRPr="005F74A9">
              <w:rPr>
                <w:rFonts w:ascii="Aptos Narrow" w:eastAsia="Times New Roman" w:hAnsi="Aptos Narrow" w:cs="Times New Roman"/>
                <w:b/>
                <w:bCs/>
                <w:color w:val="000000"/>
                <w:kern w:val="0"/>
                <w:sz w:val="24"/>
                <w:szCs w:val="24"/>
                <w:lang w:eastAsia="en-IN"/>
                <w14:ligatures w14:val="none"/>
              </w:rPr>
              <w:t>Location</w:t>
            </w:r>
          </w:p>
        </w:tc>
      </w:tr>
      <w:tr w:rsidR="005F74A9" w:rsidRPr="005F74A9" w14:paraId="3611EEB4" w14:textId="77777777" w:rsidTr="001C7937">
        <w:trPr>
          <w:trHeight w:val="288"/>
        </w:trPr>
        <w:tc>
          <w:tcPr>
            <w:tcW w:w="1120" w:type="dxa"/>
            <w:hideMark/>
          </w:tcPr>
          <w:p w14:paraId="6E83CD94"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1</w:t>
            </w:r>
          </w:p>
        </w:tc>
        <w:tc>
          <w:tcPr>
            <w:tcW w:w="4262" w:type="dxa"/>
            <w:hideMark/>
          </w:tcPr>
          <w:p w14:paraId="5172A432"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Boston</w:t>
            </w:r>
          </w:p>
        </w:tc>
      </w:tr>
      <w:tr w:rsidR="005F74A9" w:rsidRPr="005F74A9" w14:paraId="6C75E6EB" w14:textId="77777777" w:rsidTr="001C7937">
        <w:trPr>
          <w:trHeight w:val="288"/>
        </w:trPr>
        <w:tc>
          <w:tcPr>
            <w:tcW w:w="1120" w:type="dxa"/>
            <w:hideMark/>
          </w:tcPr>
          <w:p w14:paraId="68FF2F61"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2</w:t>
            </w:r>
          </w:p>
        </w:tc>
        <w:tc>
          <w:tcPr>
            <w:tcW w:w="4262" w:type="dxa"/>
            <w:hideMark/>
          </w:tcPr>
          <w:p w14:paraId="20C97ABA"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New York</w:t>
            </w:r>
          </w:p>
        </w:tc>
      </w:tr>
      <w:tr w:rsidR="005F74A9" w:rsidRPr="005F74A9" w14:paraId="3AC6C9C7" w14:textId="77777777" w:rsidTr="001C7937">
        <w:trPr>
          <w:trHeight w:val="257"/>
        </w:trPr>
        <w:tc>
          <w:tcPr>
            <w:tcW w:w="1120" w:type="dxa"/>
            <w:hideMark/>
          </w:tcPr>
          <w:p w14:paraId="0228ABCD"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3</w:t>
            </w:r>
          </w:p>
        </w:tc>
        <w:tc>
          <w:tcPr>
            <w:tcW w:w="4262" w:type="dxa"/>
            <w:hideMark/>
          </w:tcPr>
          <w:p w14:paraId="6D5396A3"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Philadelphia</w:t>
            </w:r>
          </w:p>
        </w:tc>
      </w:tr>
      <w:tr w:rsidR="005F74A9" w:rsidRPr="005F74A9" w14:paraId="550B27F9" w14:textId="77777777" w:rsidTr="001C7937">
        <w:trPr>
          <w:trHeight w:val="288"/>
        </w:trPr>
        <w:tc>
          <w:tcPr>
            <w:tcW w:w="1120" w:type="dxa"/>
            <w:hideMark/>
          </w:tcPr>
          <w:p w14:paraId="7737AAAF"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4</w:t>
            </w:r>
          </w:p>
        </w:tc>
        <w:tc>
          <w:tcPr>
            <w:tcW w:w="4262" w:type="dxa"/>
            <w:hideMark/>
          </w:tcPr>
          <w:p w14:paraId="2D9C0226"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Cleveland</w:t>
            </w:r>
          </w:p>
        </w:tc>
      </w:tr>
      <w:tr w:rsidR="005F74A9" w:rsidRPr="005F74A9" w14:paraId="56C16F87" w14:textId="77777777" w:rsidTr="001C7937">
        <w:trPr>
          <w:trHeight w:val="355"/>
        </w:trPr>
        <w:tc>
          <w:tcPr>
            <w:tcW w:w="1120" w:type="dxa"/>
            <w:hideMark/>
          </w:tcPr>
          <w:p w14:paraId="28094FD4"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5</w:t>
            </w:r>
          </w:p>
        </w:tc>
        <w:tc>
          <w:tcPr>
            <w:tcW w:w="4262" w:type="dxa"/>
            <w:hideMark/>
          </w:tcPr>
          <w:p w14:paraId="08483FBA"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Richmond</w:t>
            </w:r>
          </w:p>
        </w:tc>
      </w:tr>
      <w:tr w:rsidR="005F74A9" w:rsidRPr="005F74A9" w14:paraId="6922A831" w14:textId="77777777" w:rsidTr="001C7937">
        <w:trPr>
          <w:trHeight w:val="288"/>
        </w:trPr>
        <w:tc>
          <w:tcPr>
            <w:tcW w:w="1120" w:type="dxa"/>
            <w:hideMark/>
          </w:tcPr>
          <w:p w14:paraId="55E06748"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6</w:t>
            </w:r>
          </w:p>
        </w:tc>
        <w:tc>
          <w:tcPr>
            <w:tcW w:w="4262" w:type="dxa"/>
            <w:hideMark/>
          </w:tcPr>
          <w:p w14:paraId="1CE71BCF"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Atlanta</w:t>
            </w:r>
          </w:p>
        </w:tc>
      </w:tr>
      <w:tr w:rsidR="005F74A9" w:rsidRPr="005F74A9" w14:paraId="64D0020D" w14:textId="77777777" w:rsidTr="001C7937">
        <w:trPr>
          <w:trHeight w:val="288"/>
        </w:trPr>
        <w:tc>
          <w:tcPr>
            <w:tcW w:w="1120" w:type="dxa"/>
            <w:hideMark/>
          </w:tcPr>
          <w:p w14:paraId="719B5164"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7</w:t>
            </w:r>
          </w:p>
        </w:tc>
        <w:tc>
          <w:tcPr>
            <w:tcW w:w="4262" w:type="dxa"/>
            <w:hideMark/>
          </w:tcPr>
          <w:p w14:paraId="6E8E5140"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Chicago</w:t>
            </w:r>
          </w:p>
        </w:tc>
      </w:tr>
      <w:tr w:rsidR="005F74A9" w:rsidRPr="005F74A9" w14:paraId="72105544" w14:textId="77777777" w:rsidTr="001C7937">
        <w:trPr>
          <w:trHeight w:val="288"/>
        </w:trPr>
        <w:tc>
          <w:tcPr>
            <w:tcW w:w="1120" w:type="dxa"/>
            <w:hideMark/>
          </w:tcPr>
          <w:p w14:paraId="1AEBAC07"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8</w:t>
            </w:r>
          </w:p>
        </w:tc>
        <w:tc>
          <w:tcPr>
            <w:tcW w:w="4262" w:type="dxa"/>
            <w:hideMark/>
          </w:tcPr>
          <w:p w14:paraId="5E335352"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St. Louis</w:t>
            </w:r>
          </w:p>
        </w:tc>
      </w:tr>
      <w:tr w:rsidR="005F74A9" w:rsidRPr="005F74A9" w14:paraId="2DD3F59D" w14:textId="77777777" w:rsidTr="001C7937">
        <w:trPr>
          <w:trHeight w:val="268"/>
        </w:trPr>
        <w:tc>
          <w:tcPr>
            <w:tcW w:w="1120" w:type="dxa"/>
            <w:hideMark/>
          </w:tcPr>
          <w:p w14:paraId="77A401CB"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9</w:t>
            </w:r>
          </w:p>
        </w:tc>
        <w:tc>
          <w:tcPr>
            <w:tcW w:w="4262" w:type="dxa"/>
            <w:hideMark/>
          </w:tcPr>
          <w:p w14:paraId="69E5BEC2"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Minneapolis</w:t>
            </w:r>
          </w:p>
        </w:tc>
      </w:tr>
      <w:tr w:rsidR="005F74A9" w:rsidRPr="005F74A9" w14:paraId="6681081A" w14:textId="77777777" w:rsidTr="001C7937">
        <w:trPr>
          <w:trHeight w:val="259"/>
        </w:trPr>
        <w:tc>
          <w:tcPr>
            <w:tcW w:w="1120" w:type="dxa"/>
            <w:hideMark/>
          </w:tcPr>
          <w:p w14:paraId="37825968"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10</w:t>
            </w:r>
          </w:p>
        </w:tc>
        <w:tc>
          <w:tcPr>
            <w:tcW w:w="4262" w:type="dxa"/>
            <w:hideMark/>
          </w:tcPr>
          <w:p w14:paraId="1EACCEAA"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Kansas City</w:t>
            </w:r>
          </w:p>
        </w:tc>
      </w:tr>
      <w:tr w:rsidR="005F74A9" w:rsidRPr="005F74A9" w14:paraId="720D8919" w14:textId="77777777" w:rsidTr="001C7937">
        <w:trPr>
          <w:trHeight w:val="288"/>
        </w:trPr>
        <w:tc>
          <w:tcPr>
            <w:tcW w:w="1120" w:type="dxa"/>
            <w:hideMark/>
          </w:tcPr>
          <w:p w14:paraId="7F20BE0F"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11</w:t>
            </w:r>
          </w:p>
        </w:tc>
        <w:tc>
          <w:tcPr>
            <w:tcW w:w="4262" w:type="dxa"/>
            <w:hideMark/>
          </w:tcPr>
          <w:p w14:paraId="262845E1"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Dallas</w:t>
            </w:r>
          </w:p>
        </w:tc>
      </w:tr>
      <w:tr w:rsidR="005F74A9" w:rsidRPr="005F74A9" w14:paraId="461C434B" w14:textId="77777777" w:rsidTr="001C7937">
        <w:trPr>
          <w:trHeight w:val="383"/>
        </w:trPr>
        <w:tc>
          <w:tcPr>
            <w:tcW w:w="1120" w:type="dxa"/>
            <w:hideMark/>
          </w:tcPr>
          <w:p w14:paraId="0C518569" w14:textId="77777777" w:rsidR="005F74A9" w:rsidRPr="005F74A9" w:rsidRDefault="005F74A9" w:rsidP="005F74A9">
            <w:pPr>
              <w:jc w:val="right"/>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12</w:t>
            </w:r>
          </w:p>
        </w:tc>
        <w:tc>
          <w:tcPr>
            <w:tcW w:w="4262" w:type="dxa"/>
            <w:hideMark/>
          </w:tcPr>
          <w:p w14:paraId="2E77D467" w14:textId="77777777" w:rsidR="005F74A9" w:rsidRPr="005F74A9" w:rsidRDefault="005F74A9" w:rsidP="005F74A9">
            <w:pPr>
              <w:rPr>
                <w:rFonts w:ascii="Aptos Narrow" w:eastAsia="Times New Roman" w:hAnsi="Aptos Narrow" w:cs="Times New Roman"/>
                <w:color w:val="000000"/>
                <w:kern w:val="0"/>
                <w:sz w:val="24"/>
                <w:szCs w:val="24"/>
                <w:lang w:eastAsia="en-IN"/>
                <w14:ligatures w14:val="none"/>
              </w:rPr>
            </w:pPr>
            <w:r w:rsidRPr="005F74A9">
              <w:rPr>
                <w:rFonts w:ascii="Aptos Narrow" w:eastAsia="Times New Roman" w:hAnsi="Aptos Narrow" w:cs="Times New Roman"/>
                <w:color w:val="000000"/>
                <w:kern w:val="0"/>
                <w:sz w:val="24"/>
                <w:szCs w:val="24"/>
                <w:lang w:eastAsia="en-IN"/>
                <w14:ligatures w14:val="none"/>
              </w:rPr>
              <w:t>San Francisco</w:t>
            </w:r>
          </w:p>
        </w:tc>
      </w:tr>
    </w:tbl>
    <w:p w14:paraId="497B17DB" w14:textId="77777777" w:rsidR="005F74A9" w:rsidRDefault="005F74A9" w:rsidP="005F74A9">
      <w:pPr>
        <w:rPr>
          <w:b/>
          <w:bCs/>
          <w:sz w:val="24"/>
          <w:szCs w:val="24"/>
        </w:rPr>
      </w:pPr>
    </w:p>
    <w:p w14:paraId="52E9A36D" w14:textId="205AD269" w:rsidR="001C7937" w:rsidRDefault="001C7937" w:rsidP="005F74A9">
      <w:pPr>
        <w:rPr>
          <w:b/>
          <w:bCs/>
          <w:sz w:val="24"/>
          <w:szCs w:val="24"/>
        </w:rPr>
      </w:pPr>
      <w:r w:rsidRPr="001C7937">
        <w:rPr>
          <w:b/>
          <w:bCs/>
          <w:sz w:val="24"/>
          <w:szCs w:val="24"/>
        </w:rPr>
        <w:t>2. Components of the Federal Reserve System:</w:t>
      </w:r>
    </w:p>
    <w:tbl>
      <w:tblPr>
        <w:tblStyle w:val="TableGrid"/>
        <w:tblW w:w="0" w:type="auto"/>
        <w:tblLook w:val="04A0" w:firstRow="1" w:lastRow="0" w:firstColumn="1" w:lastColumn="0" w:noHBand="0" w:noVBand="1"/>
      </w:tblPr>
      <w:tblGrid>
        <w:gridCol w:w="4144"/>
        <w:gridCol w:w="4310"/>
      </w:tblGrid>
      <w:tr w:rsidR="001C7937" w:rsidRPr="001C7937" w14:paraId="0C6B08F0" w14:textId="77777777" w:rsidTr="001C7937">
        <w:trPr>
          <w:trHeight w:val="596"/>
        </w:trPr>
        <w:tc>
          <w:tcPr>
            <w:tcW w:w="4144" w:type="dxa"/>
            <w:hideMark/>
          </w:tcPr>
          <w:p w14:paraId="7A3DC706" w14:textId="77777777" w:rsidR="001C7937" w:rsidRPr="001C7937" w:rsidRDefault="001C7937" w:rsidP="001C7937">
            <w:pPr>
              <w:rPr>
                <w:b/>
                <w:bCs/>
                <w:sz w:val="24"/>
                <w:szCs w:val="24"/>
              </w:rPr>
            </w:pPr>
            <w:r w:rsidRPr="001C7937">
              <w:rPr>
                <w:b/>
                <w:bCs/>
                <w:sz w:val="24"/>
                <w:szCs w:val="24"/>
              </w:rPr>
              <w:t>Component</w:t>
            </w:r>
          </w:p>
        </w:tc>
        <w:tc>
          <w:tcPr>
            <w:tcW w:w="4310" w:type="dxa"/>
            <w:hideMark/>
          </w:tcPr>
          <w:p w14:paraId="2F092206" w14:textId="77777777" w:rsidR="001C7937" w:rsidRPr="001C7937" w:rsidRDefault="001C7937" w:rsidP="001C7937">
            <w:pPr>
              <w:rPr>
                <w:b/>
                <w:bCs/>
                <w:sz w:val="24"/>
                <w:szCs w:val="24"/>
              </w:rPr>
            </w:pPr>
            <w:r w:rsidRPr="001C7937">
              <w:rPr>
                <w:b/>
                <w:bCs/>
                <w:sz w:val="24"/>
                <w:szCs w:val="24"/>
              </w:rPr>
              <w:t>Description</w:t>
            </w:r>
          </w:p>
        </w:tc>
      </w:tr>
      <w:tr w:rsidR="001C7937" w:rsidRPr="001C7937" w14:paraId="7EC03777" w14:textId="77777777" w:rsidTr="001C7937">
        <w:trPr>
          <w:trHeight w:val="883"/>
        </w:trPr>
        <w:tc>
          <w:tcPr>
            <w:tcW w:w="4144" w:type="dxa"/>
            <w:hideMark/>
          </w:tcPr>
          <w:p w14:paraId="0142A0FB" w14:textId="77777777" w:rsidR="001C7937" w:rsidRPr="001C7937" w:rsidRDefault="001C7937">
            <w:pPr>
              <w:rPr>
                <w:sz w:val="24"/>
                <w:szCs w:val="24"/>
              </w:rPr>
            </w:pPr>
            <w:r w:rsidRPr="001C7937">
              <w:rPr>
                <w:sz w:val="24"/>
                <w:szCs w:val="24"/>
              </w:rPr>
              <w:t>Board of Governors</w:t>
            </w:r>
          </w:p>
        </w:tc>
        <w:tc>
          <w:tcPr>
            <w:tcW w:w="4310" w:type="dxa"/>
            <w:hideMark/>
          </w:tcPr>
          <w:p w14:paraId="74265CBA" w14:textId="77777777" w:rsidR="001C7937" w:rsidRPr="001C7937" w:rsidRDefault="001C7937">
            <w:pPr>
              <w:rPr>
                <w:sz w:val="24"/>
                <w:szCs w:val="24"/>
              </w:rPr>
            </w:pPr>
            <w:r w:rsidRPr="001C7937">
              <w:rPr>
                <w:sz w:val="24"/>
                <w:szCs w:val="24"/>
              </w:rPr>
              <w:t>Central governing body located in Washington, D.C.</w:t>
            </w:r>
          </w:p>
        </w:tc>
      </w:tr>
      <w:tr w:rsidR="001C7937" w:rsidRPr="001C7937" w14:paraId="1FE9128D" w14:textId="77777777" w:rsidTr="001C7937">
        <w:trPr>
          <w:trHeight w:val="706"/>
        </w:trPr>
        <w:tc>
          <w:tcPr>
            <w:tcW w:w="4144" w:type="dxa"/>
            <w:hideMark/>
          </w:tcPr>
          <w:p w14:paraId="2F1CCB30" w14:textId="77777777" w:rsidR="001C7937" w:rsidRPr="001C7937" w:rsidRDefault="001C7937">
            <w:pPr>
              <w:rPr>
                <w:sz w:val="24"/>
                <w:szCs w:val="24"/>
              </w:rPr>
            </w:pPr>
            <w:r w:rsidRPr="001C7937">
              <w:rPr>
                <w:sz w:val="24"/>
                <w:szCs w:val="24"/>
              </w:rPr>
              <w:t>Federal Reserve Banks</w:t>
            </w:r>
          </w:p>
        </w:tc>
        <w:tc>
          <w:tcPr>
            <w:tcW w:w="4310" w:type="dxa"/>
            <w:hideMark/>
          </w:tcPr>
          <w:p w14:paraId="7EABCD1F" w14:textId="77777777" w:rsidR="001C7937" w:rsidRPr="001C7937" w:rsidRDefault="001C7937">
            <w:pPr>
              <w:rPr>
                <w:sz w:val="24"/>
                <w:szCs w:val="24"/>
              </w:rPr>
            </w:pPr>
            <w:r w:rsidRPr="001C7937">
              <w:rPr>
                <w:sz w:val="24"/>
                <w:szCs w:val="24"/>
              </w:rPr>
              <w:t>12 regional banks serving specific districts</w:t>
            </w:r>
          </w:p>
        </w:tc>
      </w:tr>
      <w:tr w:rsidR="001C7937" w:rsidRPr="001C7937" w14:paraId="3936FBAF" w14:textId="77777777" w:rsidTr="001C7937">
        <w:trPr>
          <w:trHeight w:val="1007"/>
        </w:trPr>
        <w:tc>
          <w:tcPr>
            <w:tcW w:w="4144" w:type="dxa"/>
            <w:hideMark/>
          </w:tcPr>
          <w:p w14:paraId="4B798177" w14:textId="77777777" w:rsidR="001C7937" w:rsidRPr="001C7937" w:rsidRDefault="001C7937">
            <w:pPr>
              <w:rPr>
                <w:sz w:val="24"/>
                <w:szCs w:val="24"/>
              </w:rPr>
            </w:pPr>
            <w:r w:rsidRPr="001C7937">
              <w:rPr>
                <w:sz w:val="24"/>
                <w:szCs w:val="24"/>
              </w:rPr>
              <w:t>Federal Open Market Committee (FOMC)</w:t>
            </w:r>
          </w:p>
        </w:tc>
        <w:tc>
          <w:tcPr>
            <w:tcW w:w="4310" w:type="dxa"/>
            <w:hideMark/>
          </w:tcPr>
          <w:p w14:paraId="0F688EB2" w14:textId="77777777" w:rsidR="001C7937" w:rsidRPr="001C7937" w:rsidRDefault="001C7937">
            <w:pPr>
              <w:rPr>
                <w:sz w:val="24"/>
                <w:szCs w:val="24"/>
              </w:rPr>
            </w:pPr>
            <w:r w:rsidRPr="001C7937">
              <w:rPr>
                <w:sz w:val="24"/>
                <w:szCs w:val="24"/>
              </w:rPr>
              <w:t>Sets monetary policy and oversees open market operations</w:t>
            </w:r>
          </w:p>
        </w:tc>
      </w:tr>
      <w:tr w:rsidR="001C7937" w:rsidRPr="001C7937" w14:paraId="6847594E" w14:textId="77777777" w:rsidTr="001C7937">
        <w:trPr>
          <w:trHeight w:val="1008"/>
        </w:trPr>
        <w:tc>
          <w:tcPr>
            <w:tcW w:w="4144" w:type="dxa"/>
            <w:hideMark/>
          </w:tcPr>
          <w:p w14:paraId="0D624B2F" w14:textId="77777777" w:rsidR="001C7937" w:rsidRPr="001C7937" w:rsidRDefault="001C7937">
            <w:pPr>
              <w:rPr>
                <w:sz w:val="24"/>
                <w:szCs w:val="24"/>
              </w:rPr>
            </w:pPr>
            <w:r w:rsidRPr="001C7937">
              <w:rPr>
                <w:sz w:val="24"/>
                <w:szCs w:val="24"/>
              </w:rPr>
              <w:t>Member Banks</w:t>
            </w:r>
          </w:p>
        </w:tc>
        <w:tc>
          <w:tcPr>
            <w:tcW w:w="4310" w:type="dxa"/>
            <w:hideMark/>
          </w:tcPr>
          <w:p w14:paraId="0EEAFF0D" w14:textId="77777777" w:rsidR="001C7937" w:rsidRPr="001C7937" w:rsidRDefault="001C7937">
            <w:pPr>
              <w:rPr>
                <w:sz w:val="24"/>
                <w:szCs w:val="24"/>
              </w:rPr>
            </w:pPr>
            <w:r w:rsidRPr="001C7937">
              <w:rPr>
                <w:sz w:val="24"/>
                <w:szCs w:val="24"/>
              </w:rPr>
              <w:t>National and state-chartered banks that hold stock in Federal Reserve Banks</w:t>
            </w:r>
          </w:p>
        </w:tc>
      </w:tr>
      <w:tr w:rsidR="001C7937" w:rsidRPr="001C7937" w14:paraId="0EE1DD32" w14:textId="77777777" w:rsidTr="001C7937">
        <w:trPr>
          <w:trHeight w:val="1733"/>
        </w:trPr>
        <w:tc>
          <w:tcPr>
            <w:tcW w:w="4144" w:type="dxa"/>
            <w:hideMark/>
          </w:tcPr>
          <w:p w14:paraId="1439FF66" w14:textId="77777777" w:rsidR="001C7937" w:rsidRPr="001C7937" w:rsidRDefault="001C7937">
            <w:pPr>
              <w:rPr>
                <w:sz w:val="24"/>
                <w:szCs w:val="24"/>
              </w:rPr>
            </w:pPr>
            <w:r w:rsidRPr="001C7937">
              <w:rPr>
                <w:sz w:val="24"/>
                <w:szCs w:val="24"/>
              </w:rPr>
              <w:t>Advisory Councils</w:t>
            </w:r>
          </w:p>
        </w:tc>
        <w:tc>
          <w:tcPr>
            <w:tcW w:w="4310" w:type="dxa"/>
            <w:hideMark/>
          </w:tcPr>
          <w:p w14:paraId="10079B6A" w14:textId="77777777" w:rsidR="001C7937" w:rsidRPr="001C7937" w:rsidRDefault="001C7937">
            <w:pPr>
              <w:rPr>
                <w:sz w:val="24"/>
                <w:szCs w:val="24"/>
              </w:rPr>
            </w:pPr>
            <w:r w:rsidRPr="001C7937">
              <w:rPr>
                <w:sz w:val="24"/>
                <w:szCs w:val="24"/>
              </w:rPr>
              <w:t>Various advisory councils providing input and advice to the Board of Governors</w:t>
            </w:r>
          </w:p>
        </w:tc>
      </w:tr>
    </w:tbl>
    <w:p w14:paraId="3492B961" w14:textId="77777777" w:rsidR="001C7937" w:rsidRPr="005F74A9" w:rsidRDefault="001C7937" w:rsidP="005F74A9">
      <w:pPr>
        <w:rPr>
          <w:b/>
          <w:bCs/>
          <w:sz w:val="24"/>
          <w:szCs w:val="24"/>
        </w:rPr>
      </w:pPr>
    </w:p>
    <w:p w14:paraId="6C01139C" w14:textId="77777777" w:rsidR="001C7937" w:rsidRDefault="001C7937" w:rsidP="001C7937">
      <w:pPr>
        <w:rPr>
          <w:lang w:eastAsia="en-IN"/>
        </w:rPr>
      </w:pPr>
    </w:p>
    <w:p w14:paraId="7C7B2C63" w14:textId="77777777" w:rsidR="001C7937" w:rsidRDefault="001C7937" w:rsidP="001C7937">
      <w:pPr>
        <w:rPr>
          <w:lang w:eastAsia="en-IN"/>
        </w:rPr>
      </w:pPr>
    </w:p>
    <w:p w14:paraId="14F4DB14" w14:textId="77777777" w:rsidR="001C7937" w:rsidRDefault="001C7937" w:rsidP="001C7937">
      <w:pPr>
        <w:rPr>
          <w:lang w:eastAsia="en-IN"/>
        </w:rPr>
      </w:pPr>
    </w:p>
    <w:p w14:paraId="666B22D6" w14:textId="02F9DF99" w:rsidR="001C7937" w:rsidRDefault="001C7937" w:rsidP="001C7937">
      <w:pPr>
        <w:rPr>
          <w:b/>
          <w:bCs/>
          <w:sz w:val="24"/>
          <w:szCs w:val="24"/>
          <w:lang w:eastAsia="en-IN"/>
        </w:rPr>
      </w:pPr>
      <w:r w:rsidRPr="001C7937">
        <w:rPr>
          <w:b/>
          <w:bCs/>
          <w:sz w:val="24"/>
          <w:szCs w:val="24"/>
          <w:lang w:eastAsia="en-IN"/>
        </w:rPr>
        <w:lastRenderedPageBreak/>
        <w:t>3. Total Assets of the Federal Reserve System (in trillions USD):</w:t>
      </w:r>
    </w:p>
    <w:tbl>
      <w:tblPr>
        <w:tblStyle w:val="TableGrid"/>
        <w:tblW w:w="3333" w:type="dxa"/>
        <w:tblInd w:w="1555" w:type="dxa"/>
        <w:tblLook w:val="04A0" w:firstRow="1" w:lastRow="0" w:firstColumn="1" w:lastColumn="0" w:noHBand="0" w:noVBand="1"/>
      </w:tblPr>
      <w:tblGrid>
        <w:gridCol w:w="1397"/>
        <w:gridCol w:w="1936"/>
      </w:tblGrid>
      <w:tr w:rsidR="001C7937" w:rsidRPr="001C7937" w14:paraId="66EF7ADE" w14:textId="77777777" w:rsidTr="001C7937">
        <w:trPr>
          <w:trHeight w:val="494"/>
        </w:trPr>
        <w:tc>
          <w:tcPr>
            <w:tcW w:w="1397" w:type="dxa"/>
            <w:hideMark/>
          </w:tcPr>
          <w:p w14:paraId="5395FE1E" w14:textId="77777777" w:rsidR="001C7937" w:rsidRPr="001C7937" w:rsidRDefault="001C7937" w:rsidP="001C7937">
            <w:pPr>
              <w:jc w:val="center"/>
              <w:rPr>
                <w:rFonts w:ascii="Aptos Narrow" w:eastAsia="Times New Roman" w:hAnsi="Aptos Narrow" w:cs="Times New Roman"/>
                <w:b/>
                <w:bCs/>
                <w:color w:val="000000"/>
                <w:kern w:val="0"/>
                <w:lang w:eastAsia="en-IN"/>
                <w14:ligatures w14:val="none"/>
              </w:rPr>
            </w:pPr>
            <w:r w:rsidRPr="001C7937">
              <w:rPr>
                <w:rFonts w:ascii="Aptos Narrow" w:eastAsia="Times New Roman" w:hAnsi="Aptos Narrow" w:cs="Times New Roman"/>
                <w:b/>
                <w:bCs/>
                <w:color w:val="000000"/>
                <w:kern w:val="0"/>
                <w:lang w:eastAsia="en-IN"/>
                <w14:ligatures w14:val="none"/>
              </w:rPr>
              <w:t>Year</w:t>
            </w:r>
          </w:p>
        </w:tc>
        <w:tc>
          <w:tcPr>
            <w:tcW w:w="1936" w:type="dxa"/>
            <w:hideMark/>
          </w:tcPr>
          <w:p w14:paraId="3C42BA3D" w14:textId="77777777" w:rsidR="001C7937" w:rsidRPr="001C7937" w:rsidRDefault="001C7937" w:rsidP="001C7937">
            <w:pPr>
              <w:jc w:val="center"/>
              <w:rPr>
                <w:rFonts w:ascii="Aptos Narrow" w:eastAsia="Times New Roman" w:hAnsi="Aptos Narrow" w:cs="Times New Roman"/>
                <w:b/>
                <w:bCs/>
                <w:color w:val="000000"/>
                <w:kern w:val="0"/>
                <w:lang w:eastAsia="en-IN"/>
                <w14:ligatures w14:val="none"/>
              </w:rPr>
            </w:pPr>
            <w:r w:rsidRPr="001C7937">
              <w:rPr>
                <w:rFonts w:ascii="Aptos Narrow" w:eastAsia="Times New Roman" w:hAnsi="Aptos Narrow" w:cs="Times New Roman"/>
                <w:b/>
                <w:bCs/>
                <w:color w:val="000000"/>
                <w:kern w:val="0"/>
                <w:lang w:eastAsia="en-IN"/>
                <w14:ligatures w14:val="none"/>
              </w:rPr>
              <w:t>Total Assets</w:t>
            </w:r>
          </w:p>
        </w:tc>
      </w:tr>
      <w:tr w:rsidR="001C7937" w:rsidRPr="001C7937" w14:paraId="0F4AB26C" w14:textId="77777777" w:rsidTr="001C7937">
        <w:trPr>
          <w:trHeight w:val="338"/>
        </w:trPr>
        <w:tc>
          <w:tcPr>
            <w:tcW w:w="1397" w:type="dxa"/>
            <w:hideMark/>
          </w:tcPr>
          <w:p w14:paraId="0C498625" w14:textId="77777777" w:rsidR="001C7937" w:rsidRPr="001C7937" w:rsidRDefault="001C7937" w:rsidP="001C7937">
            <w:pPr>
              <w:jc w:val="right"/>
              <w:rPr>
                <w:rFonts w:ascii="Aptos Narrow" w:eastAsia="Times New Roman" w:hAnsi="Aptos Narrow" w:cs="Times New Roman"/>
                <w:color w:val="000000"/>
                <w:kern w:val="0"/>
                <w:lang w:eastAsia="en-IN"/>
                <w14:ligatures w14:val="none"/>
              </w:rPr>
            </w:pPr>
            <w:r w:rsidRPr="001C7937">
              <w:rPr>
                <w:rFonts w:ascii="Aptos Narrow" w:eastAsia="Times New Roman" w:hAnsi="Aptos Narrow" w:cs="Times New Roman"/>
                <w:color w:val="000000"/>
                <w:kern w:val="0"/>
                <w:lang w:eastAsia="en-IN"/>
                <w14:ligatures w14:val="none"/>
              </w:rPr>
              <w:t>2020</w:t>
            </w:r>
          </w:p>
        </w:tc>
        <w:tc>
          <w:tcPr>
            <w:tcW w:w="1936" w:type="dxa"/>
            <w:hideMark/>
          </w:tcPr>
          <w:p w14:paraId="7BABF7B4" w14:textId="77777777" w:rsidR="001C7937" w:rsidRPr="001C7937" w:rsidRDefault="001C7937" w:rsidP="001C7937">
            <w:pPr>
              <w:rPr>
                <w:rFonts w:ascii="Aptos Narrow" w:eastAsia="Times New Roman" w:hAnsi="Aptos Narrow" w:cs="Times New Roman"/>
                <w:color w:val="000000"/>
                <w:kern w:val="0"/>
                <w:lang w:eastAsia="en-IN"/>
                <w14:ligatures w14:val="none"/>
              </w:rPr>
            </w:pPr>
            <w:r w:rsidRPr="001C7937">
              <w:rPr>
                <w:rFonts w:ascii="Aptos Narrow" w:eastAsia="Times New Roman" w:hAnsi="Aptos Narrow" w:cs="Times New Roman"/>
                <w:color w:val="000000"/>
                <w:kern w:val="0"/>
                <w:lang w:eastAsia="en-IN"/>
                <w14:ligatures w14:val="none"/>
              </w:rPr>
              <w:t>$7.4</w:t>
            </w:r>
          </w:p>
        </w:tc>
      </w:tr>
      <w:tr w:rsidR="001C7937" w:rsidRPr="001C7937" w14:paraId="75E94078" w14:textId="77777777" w:rsidTr="001C7937">
        <w:trPr>
          <w:trHeight w:val="510"/>
        </w:trPr>
        <w:tc>
          <w:tcPr>
            <w:tcW w:w="1397" w:type="dxa"/>
            <w:hideMark/>
          </w:tcPr>
          <w:p w14:paraId="3FABA0CB" w14:textId="77777777" w:rsidR="001C7937" w:rsidRPr="001C7937" w:rsidRDefault="001C7937" w:rsidP="001C7937">
            <w:pPr>
              <w:jc w:val="right"/>
              <w:rPr>
                <w:rFonts w:ascii="Aptos Narrow" w:eastAsia="Times New Roman" w:hAnsi="Aptos Narrow" w:cs="Times New Roman"/>
                <w:color w:val="000000"/>
                <w:kern w:val="0"/>
                <w:lang w:eastAsia="en-IN"/>
                <w14:ligatures w14:val="none"/>
              </w:rPr>
            </w:pPr>
            <w:r w:rsidRPr="001C7937">
              <w:rPr>
                <w:rFonts w:ascii="Aptos Narrow" w:eastAsia="Times New Roman" w:hAnsi="Aptos Narrow" w:cs="Times New Roman"/>
                <w:color w:val="000000"/>
                <w:kern w:val="0"/>
                <w:lang w:eastAsia="en-IN"/>
                <w14:ligatures w14:val="none"/>
              </w:rPr>
              <w:t>2021</w:t>
            </w:r>
          </w:p>
        </w:tc>
        <w:tc>
          <w:tcPr>
            <w:tcW w:w="1936" w:type="dxa"/>
            <w:hideMark/>
          </w:tcPr>
          <w:p w14:paraId="36445121" w14:textId="77777777" w:rsidR="001C7937" w:rsidRPr="001C7937" w:rsidRDefault="001C7937" w:rsidP="001C7937">
            <w:pPr>
              <w:rPr>
                <w:rFonts w:ascii="Aptos Narrow" w:eastAsia="Times New Roman" w:hAnsi="Aptos Narrow" w:cs="Times New Roman"/>
                <w:color w:val="000000"/>
                <w:kern w:val="0"/>
                <w:lang w:eastAsia="en-IN"/>
                <w14:ligatures w14:val="none"/>
              </w:rPr>
            </w:pPr>
            <w:r w:rsidRPr="001C7937">
              <w:rPr>
                <w:rFonts w:ascii="Aptos Narrow" w:eastAsia="Times New Roman" w:hAnsi="Aptos Narrow" w:cs="Times New Roman"/>
                <w:color w:val="000000"/>
                <w:kern w:val="0"/>
                <w:lang w:eastAsia="en-IN"/>
                <w14:ligatures w14:val="none"/>
              </w:rPr>
              <w:t>$8.5</w:t>
            </w:r>
          </w:p>
        </w:tc>
      </w:tr>
      <w:tr w:rsidR="001C7937" w:rsidRPr="001C7937" w14:paraId="6F44EC6C" w14:textId="77777777" w:rsidTr="001C7937">
        <w:trPr>
          <w:trHeight w:val="532"/>
        </w:trPr>
        <w:tc>
          <w:tcPr>
            <w:tcW w:w="1397" w:type="dxa"/>
            <w:hideMark/>
          </w:tcPr>
          <w:p w14:paraId="105B2180" w14:textId="5C6D7CC6" w:rsidR="001C7937" w:rsidRPr="001C7937" w:rsidRDefault="001C7937" w:rsidP="001C7937">
            <w:pP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                 </w:t>
            </w:r>
            <w:r w:rsidRPr="001C7937">
              <w:rPr>
                <w:rFonts w:ascii="Aptos Narrow" w:eastAsia="Times New Roman" w:hAnsi="Aptos Narrow" w:cs="Times New Roman"/>
                <w:color w:val="000000"/>
                <w:kern w:val="0"/>
                <w:lang w:eastAsia="en-IN"/>
                <w14:ligatures w14:val="none"/>
              </w:rPr>
              <w:t>2022</w:t>
            </w:r>
            <w:r>
              <w:rPr>
                <w:rFonts w:ascii="Aptos Narrow" w:eastAsia="Times New Roman" w:hAnsi="Aptos Narrow" w:cs="Times New Roman"/>
                <w:color w:val="000000"/>
                <w:kern w:val="0"/>
                <w:lang w:eastAsia="en-IN"/>
                <w14:ligatures w14:val="none"/>
              </w:rPr>
              <w:t xml:space="preserve"> </w:t>
            </w:r>
          </w:p>
        </w:tc>
        <w:tc>
          <w:tcPr>
            <w:tcW w:w="1936" w:type="dxa"/>
            <w:hideMark/>
          </w:tcPr>
          <w:p w14:paraId="1320E02D" w14:textId="77777777" w:rsidR="001C7937" w:rsidRPr="001C7937" w:rsidRDefault="001C7937" w:rsidP="001C7937">
            <w:pPr>
              <w:rPr>
                <w:rFonts w:ascii="Aptos Narrow" w:eastAsia="Times New Roman" w:hAnsi="Aptos Narrow" w:cs="Times New Roman"/>
                <w:color w:val="000000"/>
                <w:kern w:val="0"/>
                <w:lang w:eastAsia="en-IN"/>
                <w14:ligatures w14:val="none"/>
              </w:rPr>
            </w:pPr>
            <w:r w:rsidRPr="001C7937">
              <w:rPr>
                <w:rFonts w:ascii="Aptos Narrow" w:eastAsia="Times New Roman" w:hAnsi="Aptos Narrow" w:cs="Times New Roman"/>
                <w:color w:val="000000"/>
                <w:kern w:val="0"/>
                <w:lang w:eastAsia="en-IN"/>
                <w14:ligatures w14:val="none"/>
              </w:rPr>
              <w:t>$9.2</w:t>
            </w:r>
          </w:p>
        </w:tc>
      </w:tr>
    </w:tbl>
    <w:p w14:paraId="47D8244F" w14:textId="77777777" w:rsidR="001C7937" w:rsidRDefault="001C7937" w:rsidP="001C7937">
      <w:pPr>
        <w:rPr>
          <w:b/>
          <w:bCs/>
          <w:sz w:val="24"/>
          <w:szCs w:val="24"/>
          <w:lang w:eastAsia="en-IN"/>
        </w:rPr>
      </w:pPr>
    </w:p>
    <w:p w14:paraId="72A55A84" w14:textId="03E373A5" w:rsidR="001C7937" w:rsidRDefault="001C7937" w:rsidP="001C7937">
      <w:pPr>
        <w:rPr>
          <w:b/>
          <w:bCs/>
          <w:sz w:val="24"/>
          <w:szCs w:val="24"/>
          <w:lang w:eastAsia="en-IN"/>
        </w:rPr>
      </w:pPr>
      <w:r>
        <w:rPr>
          <w:b/>
          <w:bCs/>
          <w:sz w:val="24"/>
          <w:szCs w:val="24"/>
          <w:lang w:eastAsia="en-IN"/>
        </w:rPr>
        <w:t>4</w:t>
      </w:r>
      <w:r w:rsidRPr="001C7937">
        <w:rPr>
          <w:b/>
          <w:bCs/>
          <w:sz w:val="24"/>
          <w:szCs w:val="24"/>
          <w:lang w:eastAsia="en-IN"/>
        </w:rPr>
        <w:t>. Federal Reserve Interest Rates:</w:t>
      </w:r>
    </w:p>
    <w:tbl>
      <w:tblPr>
        <w:tblStyle w:val="TableGrid"/>
        <w:tblW w:w="0" w:type="auto"/>
        <w:tblLook w:val="04A0" w:firstRow="1" w:lastRow="0" w:firstColumn="1" w:lastColumn="0" w:noHBand="0" w:noVBand="1"/>
      </w:tblPr>
      <w:tblGrid>
        <w:gridCol w:w="2097"/>
        <w:gridCol w:w="2163"/>
        <w:gridCol w:w="2523"/>
      </w:tblGrid>
      <w:tr w:rsidR="001C7937" w:rsidRPr="001C7937" w14:paraId="36E7E814" w14:textId="77777777" w:rsidTr="001C7937">
        <w:trPr>
          <w:trHeight w:val="710"/>
        </w:trPr>
        <w:tc>
          <w:tcPr>
            <w:tcW w:w="2097" w:type="dxa"/>
            <w:hideMark/>
          </w:tcPr>
          <w:p w14:paraId="493EF9C8" w14:textId="77777777" w:rsidR="001C7937" w:rsidRPr="001C7937" w:rsidRDefault="001C7937" w:rsidP="001C7937">
            <w:pPr>
              <w:rPr>
                <w:b/>
                <w:bCs/>
                <w:sz w:val="24"/>
                <w:szCs w:val="24"/>
                <w:lang w:eastAsia="en-IN"/>
              </w:rPr>
            </w:pPr>
            <w:r w:rsidRPr="001C7937">
              <w:rPr>
                <w:b/>
                <w:bCs/>
                <w:sz w:val="24"/>
                <w:szCs w:val="24"/>
                <w:lang w:eastAsia="en-IN"/>
              </w:rPr>
              <w:t>Year</w:t>
            </w:r>
          </w:p>
        </w:tc>
        <w:tc>
          <w:tcPr>
            <w:tcW w:w="2163" w:type="dxa"/>
            <w:hideMark/>
          </w:tcPr>
          <w:p w14:paraId="100152D0" w14:textId="77777777" w:rsidR="001C7937" w:rsidRPr="001C7937" w:rsidRDefault="001C7937" w:rsidP="001C7937">
            <w:pPr>
              <w:rPr>
                <w:b/>
                <w:bCs/>
                <w:sz w:val="24"/>
                <w:szCs w:val="24"/>
                <w:lang w:eastAsia="en-IN"/>
              </w:rPr>
            </w:pPr>
            <w:r w:rsidRPr="001C7937">
              <w:rPr>
                <w:b/>
                <w:bCs/>
                <w:sz w:val="24"/>
                <w:szCs w:val="24"/>
                <w:lang w:eastAsia="en-IN"/>
              </w:rPr>
              <w:t>Target Federal Funds Rate (%)</w:t>
            </w:r>
          </w:p>
        </w:tc>
        <w:tc>
          <w:tcPr>
            <w:tcW w:w="2523" w:type="dxa"/>
            <w:hideMark/>
          </w:tcPr>
          <w:p w14:paraId="1DD2B148" w14:textId="77777777" w:rsidR="001C7937" w:rsidRPr="001C7937" w:rsidRDefault="001C7937" w:rsidP="001C7937">
            <w:pPr>
              <w:rPr>
                <w:b/>
                <w:bCs/>
                <w:sz w:val="24"/>
                <w:szCs w:val="24"/>
                <w:lang w:eastAsia="en-IN"/>
              </w:rPr>
            </w:pPr>
            <w:r w:rsidRPr="001C7937">
              <w:rPr>
                <w:b/>
                <w:bCs/>
                <w:sz w:val="24"/>
                <w:szCs w:val="24"/>
                <w:lang w:eastAsia="en-IN"/>
              </w:rPr>
              <w:t>Discount Rate (%)</w:t>
            </w:r>
          </w:p>
        </w:tc>
      </w:tr>
      <w:tr w:rsidR="001C7937" w:rsidRPr="001C7937" w14:paraId="38484AB7" w14:textId="77777777" w:rsidTr="001C7937">
        <w:trPr>
          <w:trHeight w:val="1066"/>
        </w:trPr>
        <w:tc>
          <w:tcPr>
            <w:tcW w:w="2097" w:type="dxa"/>
            <w:hideMark/>
          </w:tcPr>
          <w:p w14:paraId="79BF27B2" w14:textId="77777777" w:rsidR="001C7937" w:rsidRPr="001C7937" w:rsidRDefault="001C7937" w:rsidP="001C7937">
            <w:pPr>
              <w:rPr>
                <w:sz w:val="24"/>
                <w:szCs w:val="24"/>
                <w:lang w:eastAsia="en-IN"/>
              </w:rPr>
            </w:pPr>
            <w:r w:rsidRPr="001C7937">
              <w:rPr>
                <w:sz w:val="24"/>
                <w:szCs w:val="24"/>
                <w:lang w:eastAsia="en-IN"/>
              </w:rPr>
              <w:t>2020</w:t>
            </w:r>
          </w:p>
        </w:tc>
        <w:tc>
          <w:tcPr>
            <w:tcW w:w="2163" w:type="dxa"/>
            <w:hideMark/>
          </w:tcPr>
          <w:p w14:paraId="3562CF1A" w14:textId="77777777" w:rsidR="001C7937" w:rsidRPr="001C7937" w:rsidRDefault="001C7937">
            <w:pPr>
              <w:rPr>
                <w:sz w:val="24"/>
                <w:szCs w:val="24"/>
                <w:lang w:eastAsia="en-IN"/>
              </w:rPr>
            </w:pPr>
            <w:r w:rsidRPr="001C7937">
              <w:rPr>
                <w:sz w:val="24"/>
                <w:szCs w:val="24"/>
                <w:lang w:eastAsia="en-IN"/>
              </w:rPr>
              <w:t>0.00 - 0.25</w:t>
            </w:r>
          </w:p>
        </w:tc>
        <w:tc>
          <w:tcPr>
            <w:tcW w:w="2523" w:type="dxa"/>
            <w:hideMark/>
          </w:tcPr>
          <w:p w14:paraId="2AAFE09A" w14:textId="77777777" w:rsidR="001C7937" w:rsidRPr="001C7937" w:rsidRDefault="001C7937" w:rsidP="001C7937">
            <w:pPr>
              <w:rPr>
                <w:sz w:val="24"/>
                <w:szCs w:val="24"/>
                <w:lang w:eastAsia="en-IN"/>
              </w:rPr>
            </w:pPr>
            <w:r w:rsidRPr="001C7937">
              <w:rPr>
                <w:sz w:val="24"/>
                <w:szCs w:val="24"/>
                <w:lang w:eastAsia="en-IN"/>
              </w:rPr>
              <w:t>0.25</w:t>
            </w:r>
          </w:p>
        </w:tc>
      </w:tr>
      <w:tr w:rsidR="001C7937" w:rsidRPr="001C7937" w14:paraId="108530AB" w14:textId="77777777" w:rsidTr="001C7937">
        <w:trPr>
          <w:trHeight w:val="1066"/>
        </w:trPr>
        <w:tc>
          <w:tcPr>
            <w:tcW w:w="2097" w:type="dxa"/>
            <w:hideMark/>
          </w:tcPr>
          <w:p w14:paraId="48670EFE" w14:textId="77777777" w:rsidR="001C7937" w:rsidRPr="001C7937" w:rsidRDefault="001C7937" w:rsidP="001C7937">
            <w:pPr>
              <w:rPr>
                <w:sz w:val="24"/>
                <w:szCs w:val="24"/>
                <w:lang w:eastAsia="en-IN"/>
              </w:rPr>
            </w:pPr>
            <w:r w:rsidRPr="001C7937">
              <w:rPr>
                <w:sz w:val="24"/>
                <w:szCs w:val="24"/>
                <w:lang w:eastAsia="en-IN"/>
              </w:rPr>
              <w:t>2021</w:t>
            </w:r>
          </w:p>
        </w:tc>
        <w:tc>
          <w:tcPr>
            <w:tcW w:w="2163" w:type="dxa"/>
            <w:hideMark/>
          </w:tcPr>
          <w:p w14:paraId="34B70F2D" w14:textId="77777777" w:rsidR="001C7937" w:rsidRPr="001C7937" w:rsidRDefault="001C7937">
            <w:pPr>
              <w:rPr>
                <w:sz w:val="24"/>
                <w:szCs w:val="24"/>
                <w:lang w:eastAsia="en-IN"/>
              </w:rPr>
            </w:pPr>
            <w:r w:rsidRPr="001C7937">
              <w:rPr>
                <w:sz w:val="24"/>
                <w:szCs w:val="24"/>
                <w:lang w:eastAsia="en-IN"/>
              </w:rPr>
              <w:t>0.00 - 0.25</w:t>
            </w:r>
          </w:p>
        </w:tc>
        <w:tc>
          <w:tcPr>
            <w:tcW w:w="2523" w:type="dxa"/>
            <w:hideMark/>
          </w:tcPr>
          <w:p w14:paraId="6DCDF036" w14:textId="77777777" w:rsidR="001C7937" w:rsidRPr="001C7937" w:rsidRDefault="001C7937" w:rsidP="001C7937">
            <w:pPr>
              <w:rPr>
                <w:sz w:val="24"/>
                <w:szCs w:val="24"/>
                <w:lang w:eastAsia="en-IN"/>
              </w:rPr>
            </w:pPr>
            <w:r w:rsidRPr="001C7937">
              <w:rPr>
                <w:sz w:val="24"/>
                <w:szCs w:val="24"/>
                <w:lang w:eastAsia="en-IN"/>
              </w:rPr>
              <w:t>0.25</w:t>
            </w:r>
          </w:p>
        </w:tc>
      </w:tr>
      <w:tr w:rsidR="001C7937" w:rsidRPr="001C7937" w14:paraId="56BE1A87" w14:textId="77777777" w:rsidTr="001C7937">
        <w:trPr>
          <w:trHeight w:val="766"/>
        </w:trPr>
        <w:tc>
          <w:tcPr>
            <w:tcW w:w="2097" w:type="dxa"/>
            <w:hideMark/>
          </w:tcPr>
          <w:p w14:paraId="60A8DD12" w14:textId="77777777" w:rsidR="001C7937" w:rsidRPr="001C7937" w:rsidRDefault="001C7937">
            <w:pPr>
              <w:rPr>
                <w:sz w:val="24"/>
                <w:szCs w:val="24"/>
                <w:lang w:eastAsia="en-IN"/>
              </w:rPr>
            </w:pPr>
            <w:r w:rsidRPr="001C7937">
              <w:rPr>
                <w:sz w:val="24"/>
                <w:szCs w:val="24"/>
                <w:lang w:eastAsia="en-IN"/>
              </w:rPr>
              <w:t>2022*</w:t>
            </w:r>
          </w:p>
        </w:tc>
        <w:tc>
          <w:tcPr>
            <w:tcW w:w="2163" w:type="dxa"/>
            <w:hideMark/>
          </w:tcPr>
          <w:p w14:paraId="4935EA48" w14:textId="77777777" w:rsidR="001C7937" w:rsidRPr="001C7937" w:rsidRDefault="001C7937">
            <w:pPr>
              <w:rPr>
                <w:sz w:val="24"/>
                <w:szCs w:val="24"/>
                <w:lang w:eastAsia="en-IN"/>
              </w:rPr>
            </w:pPr>
            <w:r w:rsidRPr="001C7937">
              <w:rPr>
                <w:sz w:val="24"/>
                <w:szCs w:val="24"/>
                <w:lang w:eastAsia="en-IN"/>
              </w:rPr>
              <w:t>0.00 - 0.25</w:t>
            </w:r>
          </w:p>
        </w:tc>
        <w:tc>
          <w:tcPr>
            <w:tcW w:w="2523" w:type="dxa"/>
            <w:hideMark/>
          </w:tcPr>
          <w:p w14:paraId="3469B7D4" w14:textId="77777777" w:rsidR="001C7937" w:rsidRPr="001C7937" w:rsidRDefault="001C7937" w:rsidP="001C7937">
            <w:pPr>
              <w:rPr>
                <w:sz w:val="24"/>
                <w:szCs w:val="24"/>
                <w:lang w:eastAsia="en-IN"/>
              </w:rPr>
            </w:pPr>
            <w:r w:rsidRPr="001C7937">
              <w:rPr>
                <w:sz w:val="24"/>
                <w:szCs w:val="24"/>
                <w:lang w:eastAsia="en-IN"/>
              </w:rPr>
              <w:t>0.25</w:t>
            </w:r>
          </w:p>
        </w:tc>
      </w:tr>
    </w:tbl>
    <w:p w14:paraId="7C2873CB" w14:textId="77777777" w:rsidR="001C7937" w:rsidRDefault="001C7937" w:rsidP="001C7937">
      <w:pPr>
        <w:rPr>
          <w:b/>
          <w:bCs/>
          <w:sz w:val="24"/>
          <w:szCs w:val="24"/>
          <w:lang w:eastAsia="en-IN"/>
        </w:rPr>
      </w:pPr>
    </w:p>
    <w:p w14:paraId="6B98C3F4" w14:textId="72C3BF18" w:rsidR="00AE41B5" w:rsidRDefault="00AE41B5" w:rsidP="001C7937">
      <w:pPr>
        <w:rPr>
          <w:b/>
          <w:bCs/>
          <w:sz w:val="24"/>
          <w:szCs w:val="24"/>
        </w:rPr>
      </w:pPr>
      <w:r w:rsidRPr="00AE41B5">
        <w:rPr>
          <w:b/>
          <w:bCs/>
          <w:sz w:val="28"/>
          <w:szCs w:val="28"/>
          <w:lang w:eastAsia="en-IN"/>
        </w:rPr>
        <w:t xml:space="preserve">5. </w:t>
      </w:r>
      <w:r w:rsidRPr="00AE41B5">
        <w:rPr>
          <w:b/>
          <w:bCs/>
          <w:sz w:val="24"/>
          <w:szCs w:val="24"/>
        </w:rPr>
        <w:t>U.S. Monetary Aggregates (as of [latest available data])</w:t>
      </w:r>
    </w:p>
    <w:tbl>
      <w:tblPr>
        <w:tblStyle w:val="TableGrid"/>
        <w:tblW w:w="0" w:type="auto"/>
        <w:tblLook w:val="04A0" w:firstRow="1" w:lastRow="0" w:firstColumn="1" w:lastColumn="0" w:noHBand="0" w:noVBand="1"/>
      </w:tblPr>
      <w:tblGrid>
        <w:gridCol w:w="3437"/>
        <w:gridCol w:w="2461"/>
      </w:tblGrid>
      <w:tr w:rsidR="00AE41B5" w:rsidRPr="00AE41B5" w14:paraId="55F6A9D5" w14:textId="77777777" w:rsidTr="00AE41B5">
        <w:trPr>
          <w:trHeight w:val="1195"/>
        </w:trPr>
        <w:tc>
          <w:tcPr>
            <w:tcW w:w="3437" w:type="dxa"/>
            <w:hideMark/>
          </w:tcPr>
          <w:p w14:paraId="68086164" w14:textId="77777777" w:rsidR="00AE41B5" w:rsidRPr="00AE41B5" w:rsidRDefault="00AE41B5" w:rsidP="00AE41B5">
            <w:pPr>
              <w:rPr>
                <w:b/>
                <w:bCs/>
                <w:sz w:val="24"/>
                <w:szCs w:val="24"/>
                <w:lang w:eastAsia="en-IN"/>
              </w:rPr>
            </w:pPr>
            <w:r w:rsidRPr="00AE41B5">
              <w:rPr>
                <w:b/>
                <w:bCs/>
                <w:sz w:val="24"/>
                <w:szCs w:val="24"/>
                <w:lang w:eastAsia="en-IN"/>
              </w:rPr>
              <w:t>Monetary Aggregate</w:t>
            </w:r>
          </w:p>
        </w:tc>
        <w:tc>
          <w:tcPr>
            <w:tcW w:w="2461" w:type="dxa"/>
            <w:hideMark/>
          </w:tcPr>
          <w:p w14:paraId="248D25FA" w14:textId="77777777" w:rsidR="00AE41B5" w:rsidRPr="00AE41B5" w:rsidRDefault="00AE41B5" w:rsidP="00AE41B5">
            <w:pPr>
              <w:rPr>
                <w:b/>
                <w:bCs/>
                <w:sz w:val="24"/>
                <w:szCs w:val="24"/>
                <w:lang w:eastAsia="en-IN"/>
              </w:rPr>
            </w:pPr>
            <w:r w:rsidRPr="00AE41B5">
              <w:rPr>
                <w:b/>
                <w:bCs/>
                <w:sz w:val="24"/>
                <w:szCs w:val="24"/>
                <w:lang w:eastAsia="en-IN"/>
              </w:rPr>
              <w:t>Amount (in billions USD)</w:t>
            </w:r>
          </w:p>
        </w:tc>
      </w:tr>
      <w:tr w:rsidR="00AE41B5" w:rsidRPr="00AE41B5" w14:paraId="3CCA6B7F" w14:textId="77777777" w:rsidTr="00AE41B5">
        <w:trPr>
          <w:trHeight w:val="560"/>
        </w:trPr>
        <w:tc>
          <w:tcPr>
            <w:tcW w:w="3437" w:type="dxa"/>
            <w:hideMark/>
          </w:tcPr>
          <w:p w14:paraId="72DE2B30" w14:textId="77777777" w:rsidR="00AE41B5" w:rsidRPr="00AE41B5" w:rsidRDefault="00AE41B5">
            <w:pPr>
              <w:rPr>
                <w:sz w:val="24"/>
                <w:szCs w:val="24"/>
                <w:lang w:eastAsia="en-IN"/>
              </w:rPr>
            </w:pPr>
            <w:r w:rsidRPr="00AE41B5">
              <w:rPr>
                <w:sz w:val="24"/>
                <w:szCs w:val="24"/>
                <w:lang w:eastAsia="en-IN"/>
              </w:rPr>
              <w:t>M1</w:t>
            </w:r>
          </w:p>
        </w:tc>
        <w:tc>
          <w:tcPr>
            <w:tcW w:w="2461" w:type="dxa"/>
            <w:hideMark/>
          </w:tcPr>
          <w:p w14:paraId="502BD655" w14:textId="77777777" w:rsidR="00AE41B5" w:rsidRPr="00AE41B5" w:rsidRDefault="00AE41B5">
            <w:pPr>
              <w:rPr>
                <w:sz w:val="24"/>
                <w:szCs w:val="24"/>
                <w:lang w:eastAsia="en-IN"/>
              </w:rPr>
            </w:pPr>
            <w:r w:rsidRPr="00AE41B5">
              <w:rPr>
                <w:sz w:val="24"/>
                <w:szCs w:val="24"/>
                <w:lang w:eastAsia="en-IN"/>
              </w:rPr>
              <w:t>$5,625.5</w:t>
            </w:r>
          </w:p>
        </w:tc>
      </w:tr>
      <w:tr w:rsidR="00AE41B5" w:rsidRPr="00AE41B5" w14:paraId="7697E0D5" w14:textId="77777777" w:rsidTr="00AE41B5">
        <w:trPr>
          <w:trHeight w:val="523"/>
        </w:trPr>
        <w:tc>
          <w:tcPr>
            <w:tcW w:w="3437" w:type="dxa"/>
            <w:hideMark/>
          </w:tcPr>
          <w:p w14:paraId="3C8AC133" w14:textId="77777777" w:rsidR="00AE41B5" w:rsidRPr="00AE41B5" w:rsidRDefault="00AE41B5">
            <w:pPr>
              <w:rPr>
                <w:sz w:val="24"/>
                <w:szCs w:val="24"/>
                <w:lang w:eastAsia="en-IN"/>
              </w:rPr>
            </w:pPr>
            <w:r w:rsidRPr="00AE41B5">
              <w:rPr>
                <w:sz w:val="24"/>
                <w:szCs w:val="24"/>
                <w:lang w:eastAsia="en-IN"/>
              </w:rPr>
              <w:t>M2</w:t>
            </w:r>
          </w:p>
        </w:tc>
        <w:tc>
          <w:tcPr>
            <w:tcW w:w="2461" w:type="dxa"/>
            <w:hideMark/>
          </w:tcPr>
          <w:p w14:paraId="3222A81B" w14:textId="77777777" w:rsidR="00AE41B5" w:rsidRPr="00AE41B5" w:rsidRDefault="00AE41B5">
            <w:pPr>
              <w:rPr>
                <w:sz w:val="24"/>
                <w:szCs w:val="24"/>
                <w:lang w:eastAsia="en-IN"/>
              </w:rPr>
            </w:pPr>
            <w:r w:rsidRPr="00AE41B5">
              <w:rPr>
                <w:sz w:val="24"/>
                <w:szCs w:val="24"/>
                <w:lang w:eastAsia="en-IN"/>
              </w:rPr>
              <w:t>$21,547.3</w:t>
            </w:r>
          </w:p>
        </w:tc>
      </w:tr>
      <w:tr w:rsidR="00AE41B5" w:rsidRPr="00AE41B5" w14:paraId="4CA9DD0A" w14:textId="77777777" w:rsidTr="00AE41B5">
        <w:trPr>
          <w:trHeight w:val="475"/>
        </w:trPr>
        <w:tc>
          <w:tcPr>
            <w:tcW w:w="3437" w:type="dxa"/>
            <w:hideMark/>
          </w:tcPr>
          <w:p w14:paraId="3B994118" w14:textId="77777777" w:rsidR="00AE41B5" w:rsidRPr="00AE41B5" w:rsidRDefault="00AE41B5">
            <w:pPr>
              <w:rPr>
                <w:sz w:val="24"/>
                <w:szCs w:val="24"/>
                <w:lang w:eastAsia="en-IN"/>
              </w:rPr>
            </w:pPr>
            <w:r w:rsidRPr="00AE41B5">
              <w:rPr>
                <w:sz w:val="24"/>
                <w:szCs w:val="24"/>
                <w:lang w:eastAsia="en-IN"/>
              </w:rPr>
              <w:t>M3 (Discontinued)</w:t>
            </w:r>
          </w:p>
        </w:tc>
        <w:tc>
          <w:tcPr>
            <w:tcW w:w="2461" w:type="dxa"/>
            <w:hideMark/>
          </w:tcPr>
          <w:p w14:paraId="0162F6FC" w14:textId="77777777" w:rsidR="00AE41B5" w:rsidRPr="00AE41B5" w:rsidRDefault="00AE41B5">
            <w:pPr>
              <w:rPr>
                <w:sz w:val="24"/>
                <w:szCs w:val="24"/>
                <w:lang w:eastAsia="en-IN"/>
              </w:rPr>
            </w:pPr>
            <w:r w:rsidRPr="00AE41B5">
              <w:rPr>
                <w:sz w:val="24"/>
                <w:szCs w:val="24"/>
                <w:lang w:eastAsia="en-IN"/>
              </w:rPr>
              <w:t>-</w:t>
            </w:r>
          </w:p>
        </w:tc>
      </w:tr>
      <w:tr w:rsidR="00AE41B5" w:rsidRPr="00AE41B5" w14:paraId="427A66A0" w14:textId="77777777" w:rsidTr="00AE41B5">
        <w:trPr>
          <w:trHeight w:val="648"/>
        </w:trPr>
        <w:tc>
          <w:tcPr>
            <w:tcW w:w="3437" w:type="dxa"/>
            <w:hideMark/>
          </w:tcPr>
          <w:p w14:paraId="2B91AB04" w14:textId="77777777" w:rsidR="00AE41B5" w:rsidRPr="00AE41B5" w:rsidRDefault="00AE41B5">
            <w:pPr>
              <w:rPr>
                <w:sz w:val="24"/>
                <w:szCs w:val="24"/>
                <w:lang w:eastAsia="en-IN"/>
              </w:rPr>
            </w:pPr>
            <w:r w:rsidRPr="00AE41B5">
              <w:rPr>
                <w:sz w:val="24"/>
                <w:szCs w:val="24"/>
                <w:lang w:eastAsia="en-IN"/>
              </w:rPr>
              <w:t>L (Broadest)</w:t>
            </w:r>
          </w:p>
        </w:tc>
        <w:tc>
          <w:tcPr>
            <w:tcW w:w="2461" w:type="dxa"/>
            <w:hideMark/>
          </w:tcPr>
          <w:p w14:paraId="0E5A8A5A" w14:textId="77777777" w:rsidR="00AE41B5" w:rsidRPr="00AE41B5" w:rsidRDefault="00AE41B5">
            <w:pPr>
              <w:rPr>
                <w:sz w:val="24"/>
                <w:szCs w:val="24"/>
                <w:lang w:eastAsia="en-IN"/>
              </w:rPr>
            </w:pPr>
            <w:r w:rsidRPr="00AE41B5">
              <w:rPr>
                <w:sz w:val="24"/>
                <w:szCs w:val="24"/>
                <w:lang w:eastAsia="en-IN"/>
              </w:rPr>
              <w:t>$21,547.3</w:t>
            </w:r>
          </w:p>
        </w:tc>
      </w:tr>
    </w:tbl>
    <w:p w14:paraId="01B344E5" w14:textId="77777777" w:rsidR="00AE41B5" w:rsidRDefault="00AE41B5" w:rsidP="001C7937">
      <w:pPr>
        <w:rPr>
          <w:b/>
          <w:bCs/>
          <w:sz w:val="24"/>
          <w:szCs w:val="24"/>
          <w:lang w:eastAsia="en-IN"/>
        </w:rPr>
      </w:pPr>
    </w:p>
    <w:p w14:paraId="1184BB63" w14:textId="77777777" w:rsidR="00AE41B5" w:rsidRDefault="00AE41B5">
      <w:pPr>
        <w:rPr>
          <w:b/>
          <w:bCs/>
          <w:sz w:val="24"/>
          <w:szCs w:val="24"/>
          <w:lang w:eastAsia="en-IN"/>
        </w:rPr>
      </w:pPr>
      <w:r>
        <w:rPr>
          <w:b/>
          <w:bCs/>
          <w:sz w:val="24"/>
          <w:szCs w:val="24"/>
          <w:lang w:eastAsia="en-IN"/>
        </w:rPr>
        <w:br w:type="page"/>
      </w:r>
    </w:p>
    <w:p w14:paraId="282CECF6" w14:textId="614AE6CA" w:rsidR="00AE41B5" w:rsidRDefault="00AE41B5" w:rsidP="001C7937">
      <w:pPr>
        <w:rPr>
          <w:b/>
          <w:bCs/>
          <w:sz w:val="24"/>
          <w:szCs w:val="24"/>
          <w:lang w:eastAsia="en-IN"/>
        </w:rPr>
      </w:pPr>
      <w:r>
        <w:rPr>
          <w:b/>
          <w:bCs/>
          <w:sz w:val="24"/>
          <w:szCs w:val="24"/>
          <w:lang w:eastAsia="en-IN"/>
        </w:rPr>
        <w:lastRenderedPageBreak/>
        <w:t xml:space="preserve">6. </w:t>
      </w:r>
      <w:r w:rsidRPr="00AE41B5">
        <w:rPr>
          <w:b/>
          <w:bCs/>
          <w:sz w:val="24"/>
          <w:szCs w:val="24"/>
          <w:lang w:eastAsia="en-IN"/>
        </w:rPr>
        <w:t>Federal Reserve Balance Sheet (as of [latest available data])</w:t>
      </w:r>
    </w:p>
    <w:tbl>
      <w:tblPr>
        <w:tblStyle w:val="TableGrid"/>
        <w:tblW w:w="8064" w:type="dxa"/>
        <w:tblLook w:val="04A0" w:firstRow="1" w:lastRow="0" w:firstColumn="1" w:lastColumn="0" w:noHBand="0" w:noVBand="1"/>
      </w:tblPr>
      <w:tblGrid>
        <w:gridCol w:w="4652"/>
        <w:gridCol w:w="3412"/>
      </w:tblGrid>
      <w:tr w:rsidR="00AE41B5" w:rsidRPr="00AE41B5" w14:paraId="103BED49" w14:textId="77777777" w:rsidTr="00AE41B5">
        <w:trPr>
          <w:trHeight w:val="520"/>
        </w:trPr>
        <w:tc>
          <w:tcPr>
            <w:tcW w:w="4652" w:type="dxa"/>
            <w:hideMark/>
          </w:tcPr>
          <w:p w14:paraId="6E2F1CCA" w14:textId="77777777" w:rsidR="00AE41B5" w:rsidRPr="00AE41B5" w:rsidRDefault="00AE41B5" w:rsidP="00AE41B5">
            <w:pPr>
              <w:jc w:val="center"/>
              <w:rPr>
                <w:rFonts w:ascii="Aptos Narrow" w:eastAsia="Times New Roman" w:hAnsi="Aptos Narrow" w:cs="Times New Roman"/>
                <w:b/>
                <w:bCs/>
                <w:color w:val="000000"/>
                <w:kern w:val="0"/>
                <w:sz w:val="24"/>
                <w:szCs w:val="24"/>
                <w:lang w:eastAsia="en-IN"/>
                <w14:ligatures w14:val="none"/>
              </w:rPr>
            </w:pPr>
            <w:r w:rsidRPr="00AE41B5">
              <w:rPr>
                <w:rFonts w:ascii="Aptos Narrow" w:eastAsia="Times New Roman" w:hAnsi="Aptos Narrow" w:cs="Times New Roman"/>
                <w:b/>
                <w:bCs/>
                <w:color w:val="000000"/>
                <w:kern w:val="0"/>
                <w:sz w:val="24"/>
                <w:szCs w:val="24"/>
                <w:lang w:eastAsia="en-IN"/>
                <w14:ligatures w14:val="none"/>
              </w:rPr>
              <w:t>Asset Category</w:t>
            </w:r>
          </w:p>
        </w:tc>
        <w:tc>
          <w:tcPr>
            <w:tcW w:w="3412" w:type="dxa"/>
            <w:hideMark/>
          </w:tcPr>
          <w:p w14:paraId="20705364" w14:textId="77777777" w:rsidR="00AE41B5" w:rsidRPr="00AE41B5" w:rsidRDefault="00AE41B5" w:rsidP="00AE41B5">
            <w:pPr>
              <w:jc w:val="center"/>
              <w:rPr>
                <w:rFonts w:ascii="Aptos Narrow" w:eastAsia="Times New Roman" w:hAnsi="Aptos Narrow" w:cs="Times New Roman"/>
                <w:b/>
                <w:bCs/>
                <w:color w:val="000000"/>
                <w:kern w:val="0"/>
                <w:sz w:val="24"/>
                <w:szCs w:val="24"/>
                <w:lang w:eastAsia="en-IN"/>
                <w14:ligatures w14:val="none"/>
              </w:rPr>
            </w:pPr>
            <w:r w:rsidRPr="00AE41B5">
              <w:rPr>
                <w:rFonts w:ascii="Aptos Narrow" w:eastAsia="Times New Roman" w:hAnsi="Aptos Narrow" w:cs="Times New Roman"/>
                <w:b/>
                <w:bCs/>
                <w:color w:val="000000"/>
                <w:kern w:val="0"/>
                <w:sz w:val="24"/>
                <w:szCs w:val="24"/>
                <w:lang w:eastAsia="en-IN"/>
                <w14:ligatures w14:val="none"/>
              </w:rPr>
              <w:t>Amount (in trillions USD)</w:t>
            </w:r>
          </w:p>
        </w:tc>
      </w:tr>
      <w:tr w:rsidR="00AE41B5" w:rsidRPr="00AE41B5" w14:paraId="78615A73" w14:textId="77777777" w:rsidTr="00AE41B5">
        <w:trPr>
          <w:trHeight w:val="572"/>
        </w:trPr>
        <w:tc>
          <w:tcPr>
            <w:tcW w:w="4652" w:type="dxa"/>
            <w:hideMark/>
          </w:tcPr>
          <w:p w14:paraId="660AC7B5"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Treasury Securities</w:t>
            </w:r>
          </w:p>
        </w:tc>
        <w:tc>
          <w:tcPr>
            <w:tcW w:w="3412" w:type="dxa"/>
            <w:hideMark/>
          </w:tcPr>
          <w:p w14:paraId="469C61D1"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$7.9</w:t>
            </w:r>
          </w:p>
        </w:tc>
      </w:tr>
      <w:tr w:rsidR="00AE41B5" w:rsidRPr="00AE41B5" w14:paraId="5D8C7092" w14:textId="77777777" w:rsidTr="00AE41B5">
        <w:trPr>
          <w:trHeight w:val="564"/>
        </w:trPr>
        <w:tc>
          <w:tcPr>
            <w:tcW w:w="4652" w:type="dxa"/>
            <w:hideMark/>
          </w:tcPr>
          <w:p w14:paraId="49D7F193"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Mortgage-Backed Securities</w:t>
            </w:r>
          </w:p>
        </w:tc>
        <w:tc>
          <w:tcPr>
            <w:tcW w:w="3412" w:type="dxa"/>
            <w:hideMark/>
          </w:tcPr>
          <w:p w14:paraId="7C5B81B8"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$3.1</w:t>
            </w:r>
          </w:p>
        </w:tc>
      </w:tr>
      <w:tr w:rsidR="00AE41B5" w:rsidRPr="00AE41B5" w14:paraId="3EFBD12F" w14:textId="77777777" w:rsidTr="00AE41B5">
        <w:trPr>
          <w:trHeight w:val="573"/>
        </w:trPr>
        <w:tc>
          <w:tcPr>
            <w:tcW w:w="4652" w:type="dxa"/>
            <w:hideMark/>
          </w:tcPr>
          <w:p w14:paraId="6FC76D46"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Repurchase Agreements</w:t>
            </w:r>
          </w:p>
        </w:tc>
        <w:tc>
          <w:tcPr>
            <w:tcW w:w="3412" w:type="dxa"/>
            <w:hideMark/>
          </w:tcPr>
          <w:p w14:paraId="50B80745"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$0.1</w:t>
            </w:r>
          </w:p>
        </w:tc>
      </w:tr>
      <w:tr w:rsidR="00AE41B5" w:rsidRPr="00AE41B5" w14:paraId="24C620B8" w14:textId="77777777" w:rsidTr="00AE41B5">
        <w:trPr>
          <w:trHeight w:val="566"/>
        </w:trPr>
        <w:tc>
          <w:tcPr>
            <w:tcW w:w="4652" w:type="dxa"/>
            <w:hideMark/>
          </w:tcPr>
          <w:p w14:paraId="5D94E039"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Central Bank Liquidity Swaps</w:t>
            </w:r>
          </w:p>
        </w:tc>
        <w:tc>
          <w:tcPr>
            <w:tcW w:w="3412" w:type="dxa"/>
            <w:hideMark/>
          </w:tcPr>
          <w:p w14:paraId="336AD6FB"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$0.04</w:t>
            </w:r>
          </w:p>
        </w:tc>
      </w:tr>
      <w:tr w:rsidR="00AE41B5" w:rsidRPr="00AE41B5" w14:paraId="65A20DC4" w14:textId="77777777" w:rsidTr="00AE41B5">
        <w:trPr>
          <w:trHeight w:val="415"/>
        </w:trPr>
        <w:tc>
          <w:tcPr>
            <w:tcW w:w="4652" w:type="dxa"/>
            <w:hideMark/>
          </w:tcPr>
          <w:p w14:paraId="5FE1FBE6"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Other Assets</w:t>
            </w:r>
          </w:p>
        </w:tc>
        <w:tc>
          <w:tcPr>
            <w:tcW w:w="3412" w:type="dxa"/>
            <w:hideMark/>
          </w:tcPr>
          <w:p w14:paraId="7B898436"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$0.2</w:t>
            </w:r>
          </w:p>
        </w:tc>
      </w:tr>
      <w:tr w:rsidR="00AE41B5" w:rsidRPr="00AE41B5" w14:paraId="45B015DD" w14:textId="77777777" w:rsidTr="00AE41B5">
        <w:trPr>
          <w:trHeight w:val="599"/>
        </w:trPr>
        <w:tc>
          <w:tcPr>
            <w:tcW w:w="4652" w:type="dxa"/>
            <w:hideMark/>
          </w:tcPr>
          <w:p w14:paraId="14F705AD"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Total Assets</w:t>
            </w:r>
          </w:p>
        </w:tc>
        <w:tc>
          <w:tcPr>
            <w:tcW w:w="3412" w:type="dxa"/>
            <w:hideMark/>
          </w:tcPr>
          <w:p w14:paraId="63A17FC8" w14:textId="77777777" w:rsidR="00AE41B5" w:rsidRPr="00AE41B5" w:rsidRDefault="00AE41B5" w:rsidP="00AE41B5">
            <w:pPr>
              <w:rPr>
                <w:rFonts w:ascii="Aptos Narrow" w:eastAsia="Times New Roman" w:hAnsi="Aptos Narrow" w:cs="Times New Roman"/>
                <w:color w:val="000000"/>
                <w:kern w:val="0"/>
                <w:sz w:val="24"/>
                <w:szCs w:val="24"/>
                <w:lang w:eastAsia="en-IN"/>
                <w14:ligatures w14:val="none"/>
              </w:rPr>
            </w:pPr>
            <w:r w:rsidRPr="00AE41B5">
              <w:rPr>
                <w:rFonts w:ascii="Aptos Narrow" w:eastAsia="Times New Roman" w:hAnsi="Aptos Narrow" w:cs="Times New Roman"/>
                <w:color w:val="000000"/>
                <w:kern w:val="0"/>
                <w:sz w:val="24"/>
                <w:szCs w:val="24"/>
                <w:lang w:eastAsia="en-IN"/>
                <w14:ligatures w14:val="none"/>
              </w:rPr>
              <w:t>$11.3</w:t>
            </w:r>
          </w:p>
        </w:tc>
      </w:tr>
    </w:tbl>
    <w:p w14:paraId="616C1804" w14:textId="77777777" w:rsidR="00AE41B5" w:rsidRPr="001C7937" w:rsidRDefault="00AE41B5" w:rsidP="001C7937">
      <w:pPr>
        <w:rPr>
          <w:b/>
          <w:bCs/>
          <w:sz w:val="24"/>
          <w:szCs w:val="24"/>
          <w:lang w:eastAsia="en-IN"/>
        </w:rPr>
      </w:pPr>
    </w:p>
    <w:p w14:paraId="015FDDCB" w14:textId="2700FD45" w:rsidR="005F74A9" w:rsidRDefault="005F74A9" w:rsidP="005F74A9">
      <w:pPr>
        <w:pStyle w:val="Heading1"/>
        <w:rPr>
          <w:rFonts w:eastAsia="Times New Roman"/>
          <w:lang w:eastAsia="en-IN"/>
        </w:rPr>
      </w:pPr>
      <w:r w:rsidRPr="005F74A9">
        <w:rPr>
          <w:rFonts w:eastAsia="Times New Roman"/>
          <w:lang w:eastAsia="en-IN"/>
        </w:rPr>
        <w:t xml:space="preserve">Conclusion: </w:t>
      </w:r>
    </w:p>
    <w:p w14:paraId="4CBAAC98" w14:textId="3EACAC6E" w:rsidR="005F74A9" w:rsidRPr="005F74A9" w:rsidRDefault="005F74A9" w:rsidP="005F74A9">
      <w:pPr>
        <w:spacing w:before="100" w:beforeAutospacing="1" w:after="100" w:afterAutospacing="1" w:line="240" w:lineRule="auto"/>
        <w:rPr>
          <w:rFonts w:eastAsia="Times New Roman" w:cs="Times New Roman"/>
          <w:kern w:val="0"/>
          <w:sz w:val="24"/>
          <w:szCs w:val="24"/>
          <w:lang w:eastAsia="en-IN"/>
          <w14:ligatures w14:val="none"/>
        </w:rPr>
      </w:pPr>
      <w:r w:rsidRPr="005F74A9">
        <w:rPr>
          <w:rFonts w:eastAsia="Times New Roman" w:cs="Times New Roman"/>
          <w:kern w:val="0"/>
          <w:sz w:val="24"/>
          <w:szCs w:val="24"/>
          <w:lang w:eastAsia="en-IN"/>
          <w14:ligatures w14:val="none"/>
        </w:rPr>
        <w:t>The Federal Reserve System is vital for maintaining economic stability and fostering growth in the United States. Through its structure and functions, the Fed influences key aspects of the economy, including monetary policy, bank regulation, financial services, and financial stability. Understanding the Federal Reserve's role is essential for comprehending the broader dynamics of the U.S. and global economies. By adapting to new challenges and evolving its practices, the Fed continues to play a critical role in promoting a stable and prosperous economic environment.</w:t>
      </w:r>
    </w:p>
    <w:p w14:paraId="7B1A8768" w14:textId="77777777" w:rsidR="008A21E4" w:rsidRDefault="008A21E4"/>
    <w:sectPr w:rsidR="008A21E4" w:rsidSect="001C79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22099"/>
    <w:multiLevelType w:val="multilevel"/>
    <w:tmpl w:val="682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C2EDA"/>
    <w:multiLevelType w:val="multilevel"/>
    <w:tmpl w:val="1B2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63410"/>
    <w:multiLevelType w:val="multilevel"/>
    <w:tmpl w:val="020CE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08A9"/>
    <w:multiLevelType w:val="multilevel"/>
    <w:tmpl w:val="DA04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74E9E"/>
    <w:multiLevelType w:val="multilevel"/>
    <w:tmpl w:val="8D5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748938">
    <w:abstractNumId w:val="1"/>
  </w:num>
  <w:num w:numId="2" w16cid:durableId="106197068">
    <w:abstractNumId w:val="3"/>
  </w:num>
  <w:num w:numId="3" w16cid:durableId="526019581">
    <w:abstractNumId w:val="2"/>
  </w:num>
  <w:num w:numId="4" w16cid:durableId="476387165">
    <w:abstractNumId w:val="0"/>
  </w:num>
  <w:num w:numId="5" w16cid:durableId="78526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A9"/>
    <w:rsid w:val="001C7937"/>
    <w:rsid w:val="003945E9"/>
    <w:rsid w:val="00401DAA"/>
    <w:rsid w:val="005F74A9"/>
    <w:rsid w:val="0088182B"/>
    <w:rsid w:val="008A21E4"/>
    <w:rsid w:val="00AE4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F2D5"/>
  <w15:chartTrackingRefBased/>
  <w15:docId w15:val="{E7DBCCA7-301F-4D3B-A436-1D17BD1E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7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7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4A9"/>
    <w:rPr>
      <w:rFonts w:eastAsiaTheme="majorEastAsia" w:cstheme="majorBidi"/>
      <w:color w:val="272727" w:themeColor="text1" w:themeTint="D8"/>
    </w:rPr>
  </w:style>
  <w:style w:type="paragraph" w:styleId="Title">
    <w:name w:val="Title"/>
    <w:basedOn w:val="Normal"/>
    <w:next w:val="Normal"/>
    <w:link w:val="TitleChar"/>
    <w:uiPriority w:val="10"/>
    <w:qFormat/>
    <w:rsid w:val="005F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4A9"/>
    <w:pPr>
      <w:spacing w:before="160"/>
      <w:jc w:val="center"/>
    </w:pPr>
    <w:rPr>
      <w:i/>
      <w:iCs/>
      <w:color w:val="404040" w:themeColor="text1" w:themeTint="BF"/>
    </w:rPr>
  </w:style>
  <w:style w:type="character" w:customStyle="1" w:styleId="QuoteChar">
    <w:name w:val="Quote Char"/>
    <w:basedOn w:val="DefaultParagraphFont"/>
    <w:link w:val="Quote"/>
    <w:uiPriority w:val="29"/>
    <w:rsid w:val="005F74A9"/>
    <w:rPr>
      <w:i/>
      <w:iCs/>
      <w:color w:val="404040" w:themeColor="text1" w:themeTint="BF"/>
    </w:rPr>
  </w:style>
  <w:style w:type="paragraph" w:styleId="ListParagraph">
    <w:name w:val="List Paragraph"/>
    <w:basedOn w:val="Normal"/>
    <w:uiPriority w:val="34"/>
    <w:qFormat/>
    <w:rsid w:val="005F74A9"/>
    <w:pPr>
      <w:ind w:left="720"/>
      <w:contextualSpacing/>
    </w:pPr>
  </w:style>
  <w:style w:type="character" w:styleId="IntenseEmphasis">
    <w:name w:val="Intense Emphasis"/>
    <w:basedOn w:val="DefaultParagraphFont"/>
    <w:uiPriority w:val="21"/>
    <w:qFormat/>
    <w:rsid w:val="005F74A9"/>
    <w:rPr>
      <w:i/>
      <w:iCs/>
      <w:color w:val="0F4761" w:themeColor="accent1" w:themeShade="BF"/>
    </w:rPr>
  </w:style>
  <w:style w:type="paragraph" w:styleId="IntenseQuote">
    <w:name w:val="Intense Quote"/>
    <w:basedOn w:val="Normal"/>
    <w:next w:val="Normal"/>
    <w:link w:val="IntenseQuoteChar"/>
    <w:uiPriority w:val="30"/>
    <w:qFormat/>
    <w:rsid w:val="005F7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4A9"/>
    <w:rPr>
      <w:i/>
      <w:iCs/>
      <w:color w:val="0F4761" w:themeColor="accent1" w:themeShade="BF"/>
    </w:rPr>
  </w:style>
  <w:style w:type="character" w:styleId="IntenseReference">
    <w:name w:val="Intense Reference"/>
    <w:basedOn w:val="DefaultParagraphFont"/>
    <w:uiPriority w:val="32"/>
    <w:qFormat/>
    <w:rsid w:val="005F74A9"/>
    <w:rPr>
      <w:b/>
      <w:bCs/>
      <w:smallCaps/>
      <w:color w:val="0F4761" w:themeColor="accent1" w:themeShade="BF"/>
      <w:spacing w:val="5"/>
    </w:rPr>
  </w:style>
  <w:style w:type="paragraph" w:styleId="NormalWeb">
    <w:name w:val="Normal (Web)"/>
    <w:basedOn w:val="Normal"/>
    <w:uiPriority w:val="99"/>
    <w:semiHidden/>
    <w:unhideWhenUsed/>
    <w:rsid w:val="005F74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74A9"/>
    <w:rPr>
      <w:b/>
      <w:bCs/>
    </w:rPr>
  </w:style>
  <w:style w:type="table" w:styleId="TableGrid">
    <w:name w:val="Table Grid"/>
    <w:basedOn w:val="TableNormal"/>
    <w:uiPriority w:val="39"/>
    <w:rsid w:val="005F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2668">
      <w:bodyDiv w:val="1"/>
      <w:marLeft w:val="0"/>
      <w:marRight w:val="0"/>
      <w:marTop w:val="0"/>
      <w:marBottom w:val="0"/>
      <w:divBdr>
        <w:top w:val="none" w:sz="0" w:space="0" w:color="auto"/>
        <w:left w:val="none" w:sz="0" w:space="0" w:color="auto"/>
        <w:bottom w:val="none" w:sz="0" w:space="0" w:color="auto"/>
        <w:right w:val="none" w:sz="0" w:space="0" w:color="auto"/>
      </w:divBdr>
    </w:div>
    <w:div w:id="203909322">
      <w:bodyDiv w:val="1"/>
      <w:marLeft w:val="0"/>
      <w:marRight w:val="0"/>
      <w:marTop w:val="0"/>
      <w:marBottom w:val="0"/>
      <w:divBdr>
        <w:top w:val="none" w:sz="0" w:space="0" w:color="auto"/>
        <w:left w:val="none" w:sz="0" w:space="0" w:color="auto"/>
        <w:bottom w:val="none" w:sz="0" w:space="0" w:color="auto"/>
        <w:right w:val="none" w:sz="0" w:space="0" w:color="auto"/>
      </w:divBdr>
    </w:div>
    <w:div w:id="207494384">
      <w:bodyDiv w:val="1"/>
      <w:marLeft w:val="0"/>
      <w:marRight w:val="0"/>
      <w:marTop w:val="0"/>
      <w:marBottom w:val="0"/>
      <w:divBdr>
        <w:top w:val="none" w:sz="0" w:space="0" w:color="auto"/>
        <w:left w:val="none" w:sz="0" w:space="0" w:color="auto"/>
        <w:bottom w:val="none" w:sz="0" w:space="0" w:color="auto"/>
        <w:right w:val="none" w:sz="0" w:space="0" w:color="auto"/>
      </w:divBdr>
    </w:div>
    <w:div w:id="234583447">
      <w:bodyDiv w:val="1"/>
      <w:marLeft w:val="0"/>
      <w:marRight w:val="0"/>
      <w:marTop w:val="0"/>
      <w:marBottom w:val="0"/>
      <w:divBdr>
        <w:top w:val="none" w:sz="0" w:space="0" w:color="auto"/>
        <w:left w:val="none" w:sz="0" w:space="0" w:color="auto"/>
        <w:bottom w:val="none" w:sz="0" w:space="0" w:color="auto"/>
        <w:right w:val="none" w:sz="0" w:space="0" w:color="auto"/>
      </w:divBdr>
    </w:div>
    <w:div w:id="260798150">
      <w:bodyDiv w:val="1"/>
      <w:marLeft w:val="0"/>
      <w:marRight w:val="0"/>
      <w:marTop w:val="0"/>
      <w:marBottom w:val="0"/>
      <w:divBdr>
        <w:top w:val="none" w:sz="0" w:space="0" w:color="auto"/>
        <w:left w:val="none" w:sz="0" w:space="0" w:color="auto"/>
        <w:bottom w:val="none" w:sz="0" w:space="0" w:color="auto"/>
        <w:right w:val="none" w:sz="0" w:space="0" w:color="auto"/>
      </w:divBdr>
    </w:div>
    <w:div w:id="472794959">
      <w:bodyDiv w:val="1"/>
      <w:marLeft w:val="0"/>
      <w:marRight w:val="0"/>
      <w:marTop w:val="0"/>
      <w:marBottom w:val="0"/>
      <w:divBdr>
        <w:top w:val="none" w:sz="0" w:space="0" w:color="auto"/>
        <w:left w:val="none" w:sz="0" w:space="0" w:color="auto"/>
        <w:bottom w:val="none" w:sz="0" w:space="0" w:color="auto"/>
        <w:right w:val="none" w:sz="0" w:space="0" w:color="auto"/>
      </w:divBdr>
    </w:div>
    <w:div w:id="495339734">
      <w:bodyDiv w:val="1"/>
      <w:marLeft w:val="0"/>
      <w:marRight w:val="0"/>
      <w:marTop w:val="0"/>
      <w:marBottom w:val="0"/>
      <w:divBdr>
        <w:top w:val="none" w:sz="0" w:space="0" w:color="auto"/>
        <w:left w:val="none" w:sz="0" w:space="0" w:color="auto"/>
        <w:bottom w:val="none" w:sz="0" w:space="0" w:color="auto"/>
        <w:right w:val="none" w:sz="0" w:space="0" w:color="auto"/>
      </w:divBdr>
    </w:div>
    <w:div w:id="879895825">
      <w:bodyDiv w:val="1"/>
      <w:marLeft w:val="0"/>
      <w:marRight w:val="0"/>
      <w:marTop w:val="0"/>
      <w:marBottom w:val="0"/>
      <w:divBdr>
        <w:top w:val="none" w:sz="0" w:space="0" w:color="auto"/>
        <w:left w:val="none" w:sz="0" w:space="0" w:color="auto"/>
        <w:bottom w:val="none" w:sz="0" w:space="0" w:color="auto"/>
        <w:right w:val="none" w:sz="0" w:space="0" w:color="auto"/>
      </w:divBdr>
    </w:div>
    <w:div w:id="901794124">
      <w:bodyDiv w:val="1"/>
      <w:marLeft w:val="0"/>
      <w:marRight w:val="0"/>
      <w:marTop w:val="0"/>
      <w:marBottom w:val="0"/>
      <w:divBdr>
        <w:top w:val="none" w:sz="0" w:space="0" w:color="auto"/>
        <w:left w:val="none" w:sz="0" w:space="0" w:color="auto"/>
        <w:bottom w:val="none" w:sz="0" w:space="0" w:color="auto"/>
        <w:right w:val="none" w:sz="0" w:space="0" w:color="auto"/>
      </w:divBdr>
    </w:div>
    <w:div w:id="1057319358">
      <w:bodyDiv w:val="1"/>
      <w:marLeft w:val="0"/>
      <w:marRight w:val="0"/>
      <w:marTop w:val="0"/>
      <w:marBottom w:val="0"/>
      <w:divBdr>
        <w:top w:val="none" w:sz="0" w:space="0" w:color="auto"/>
        <w:left w:val="none" w:sz="0" w:space="0" w:color="auto"/>
        <w:bottom w:val="none" w:sz="0" w:space="0" w:color="auto"/>
        <w:right w:val="none" w:sz="0" w:space="0" w:color="auto"/>
      </w:divBdr>
    </w:div>
    <w:div w:id="1340159125">
      <w:bodyDiv w:val="1"/>
      <w:marLeft w:val="0"/>
      <w:marRight w:val="0"/>
      <w:marTop w:val="0"/>
      <w:marBottom w:val="0"/>
      <w:divBdr>
        <w:top w:val="none" w:sz="0" w:space="0" w:color="auto"/>
        <w:left w:val="none" w:sz="0" w:space="0" w:color="auto"/>
        <w:bottom w:val="none" w:sz="0" w:space="0" w:color="auto"/>
        <w:right w:val="none" w:sz="0" w:space="0" w:color="auto"/>
      </w:divBdr>
    </w:div>
    <w:div w:id="208721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3</cp:revision>
  <cp:lastPrinted>2024-06-11T10:31:00Z</cp:lastPrinted>
  <dcterms:created xsi:type="dcterms:W3CDTF">2024-06-11T09:45:00Z</dcterms:created>
  <dcterms:modified xsi:type="dcterms:W3CDTF">2024-06-11T10:39:00Z</dcterms:modified>
</cp:coreProperties>
</file>