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2D451D" w14:textId="3B54ADE1" w:rsidR="00C732E5" w:rsidRPr="00C732E5" w:rsidRDefault="00C732E5" w:rsidP="00C732E5">
      <w:pPr>
        <w:pStyle w:val="Heading1"/>
        <w:jc w:val="center"/>
        <w:rPr>
          <w:rFonts w:eastAsia="Times New Roman"/>
          <w:b/>
          <w:bCs/>
          <w:sz w:val="36"/>
          <w:szCs w:val="36"/>
          <w:lang w:eastAsia="en-IN"/>
        </w:rPr>
      </w:pPr>
      <w:r w:rsidRPr="00C732E5">
        <w:rPr>
          <w:rFonts w:eastAsia="Times New Roman"/>
          <w:b/>
          <w:bCs/>
          <w:sz w:val="36"/>
          <w:szCs w:val="36"/>
          <w:lang w:eastAsia="en-IN"/>
        </w:rPr>
        <w:t xml:space="preserve">HOME EQUITY LOANS AND LINES OF CREDIT </w:t>
      </w:r>
    </w:p>
    <w:p w14:paraId="19C12628" w14:textId="77777777" w:rsidR="00C732E5" w:rsidRPr="00C732E5" w:rsidRDefault="00C732E5" w:rsidP="00C732E5">
      <w:pPr>
        <w:pStyle w:val="Heading1"/>
        <w:rPr>
          <w:rFonts w:eastAsia="Times New Roman"/>
          <w:lang w:eastAsia="en-IN"/>
        </w:rPr>
      </w:pPr>
      <w:r w:rsidRPr="00C732E5">
        <w:rPr>
          <w:rFonts w:eastAsia="Times New Roman"/>
          <w:lang w:eastAsia="en-IN"/>
        </w:rPr>
        <w:t>1. Introduction</w:t>
      </w:r>
    </w:p>
    <w:p w14:paraId="21E17DFC" w14:textId="77777777" w:rsidR="00C732E5" w:rsidRPr="00C732E5" w:rsidRDefault="00C732E5" w:rsidP="00C732E5">
      <w:pPr>
        <w:spacing w:before="100" w:beforeAutospacing="1" w:after="100" w:afterAutospacing="1" w:line="240" w:lineRule="auto"/>
        <w:rPr>
          <w:rFonts w:eastAsia="Times New Roman" w:cs="Times New Roman"/>
          <w:kern w:val="0"/>
          <w:sz w:val="24"/>
          <w:szCs w:val="24"/>
          <w:lang w:eastAsia="en-IN"/>
          <w14:ligatures w14:val="none"/>
        </w:rPr>
      </w:pPr>
      <w:r w:rsidRPr="00C732E5">
        <w:rPr>
          <w:rFonts w:eastAsia="Times New Roman" w:cs="Times New Roman"/>
          <w:kern w:val="0"/>
          <w:sz w:val="24"/>
          <w:szCs w:val="24"/>
          <w:lang w:eastAsia="en-IN"/>
          <w14:ligatures w14:val="none"/>
        </w:rPr>
        <w:t>Home equity loans and home equity lines of credit (HELOCs) are financial tools offered by banks and other financial institutions that enable homeowners to borrow against the equity in their homes. These products are often used to fund home improvements, consolidate debt, or cover major expenses, offering lower interest rates compared to other forms of credit. This assignment explores their key features, benefits, risks, and role within the US banking system.</w:t>
      </w:r>
    </w:p>
    <w:p w14:paraId="62AB01E3" w14:textId="77777777" w:rsidR="00C732E5" w:rsidRPr="00C732E5" w:rsidRDefault="00C732E5" w:rsidP="00C732E5">
      <w:pPr>
        <w:pStyle w:val="Heading2"/>
        <w:rPr>
          <w:rFonts w:eastAsia="Times New Roman"/>
          <w:lang w:eastAsia="en-IN"/>
        </w:rPr>
      </w:pPr>
      <w:r w:rsidRPr="00C732E5">
        <w:rPr>
          <w:rFonts w:eastAsia="Times New Roman"/>
          <w:lang w:eastAsia="en-IN"/>
        </w:rPr>
        <w:t>2. Home Equity Loans</w:t>
      </w:r>
    </w:p>
    <w:p w14:paraId="55745D65" w14:textId="77777777" w:rsidR="00C732E5" w:rsidRPr="00C732E5" w:rsidRDefault="00C732E5" w:rsidP="00C732E5">
      <w:pPr>
        <w:spacing w:before="100" w:beforeAutospacing="1" w:after="100" w:afterAutospacing="1" w:line="240" w:lineRule="auto"/>
        <w:outlineLvl w:val="4"/>
        <w:rPr>
          <w:rFonts w:eastAsia="Times New Roman" w:cs="Times New Roman"/>
          <w:b/>
          <w:bCs/>
          <w:kern w:val="0"/>
          <w:sz w:val="24"/>
          <w:szCs w:val="24"/>
          <w:lang w:eastAsia="en-IN"/>
          <w14:ligatures w14:val="none"/>
        </w:rPr>
      </w:pPr>
      <w:r w:rsidRPr="00C732E5">
        <w:rPr>
          <w:rFonts w:eastAsia="Times New Roman" w:cs="Times New Roman"/>
          <w:b/>
          <w:bCs/>
          <w:kern w:val="0"/>
          <w:sz w:val="24"/>
          <w:szCs w:val="24"/>
          <w:lang w:eastAsia="en-IN"/>
          <w14:ligatures w14:val="none"/>
        </w:rPr>
        <w:t>Key Features</w:t>
      </w:r>
    </w:p>
    <w:p w14:paraId="6C2FD62A" w14:textId="77777777" w:rsidR="00C732E5" w:rsidRPr="00C732E5" w:rsidRDefault="00C732E5" w:rsidP="00C732E5">
      <w:pPr>
        <w:spacing w:before="100" w:beforeAutospacing="1" w:after="100" w:afterAutospacing="1" w:line="240" w:lineRule="auto"/>
        <w:rPr>
          <w:rFonts w:eastAsia="Times New Roman" w:cs="Times New Roman"/>
          <w:kern w:val="0"/>
          <w:sz w:val="24"/>
          <w:szCs w:val="24"/>
          <w:lang w:eastAsia="en-IN"/>
          <w14:ligatures w14:val="none"/>
        </w:rPr>
      </w:pPr>
      <w:r w:rsidRPr="00C732E5">
        <w:rPr>
          <w:rFonts w:eastAsia="Times New Roman" w:cs="Times New Roman"/>
          <w:kern w:val="0"/>
          <w:sz w:val="24"/>
          <w:szCs w:val="24"/>
          <w:lang w:eastAsia="en-IN"/>
          <w14:ligatures w14:val="none"/>
        </w:rPr>
        <w:t>Home equity loans provide a lump sum disbursement with a fixed interest rate and fixed repayment schedule, typically ranging from 5 to 30 years. The loan amount is based on the home’s value and the borrower’s equity.</w:t>
      </w:r>
    </w:p>
    <w:p w14:paraId="0237E75F" w14:textId="77777777" w:rsidR="00C732E5" w:rsidRPr="00C732E5" w:rsidRDefault="00C732E5" w:rsidP="00C732E5">
      <w:pPr>
        <w:spacing w:before="100" w:beforeAutospacing="1" w:after="100" w:afterAutospacing="1" w:line="240" w:lineRule="auto"/>
        <w:outlineLvl w:val="4"/>
        <w:rPr>
          <w:rFonts w:eastAsia="Times New Roman" w:cs="Times New Roman"/>
          <w:b/>
          <w:bCs/>
          <w:kern w:val="0"/>
          <w:sz w:val="24"/>
          <w:szCs w:val="24"/>
          <w:lang w:eastAsia="en-IN"/>
          <w14:ligatures w14:val="none"/>
        </w:rPr>
      </w:pPr>
      <w:r w:rsidRPr="00C732E5">
        <w:rPr>
          <w:rFonts w:eastAsia="Times New Roman" w:cs="Times New Roman"/>
          <w:b/>
          <w:bCs/>
          <w:kern w:val="0"/>
          <w:sz w:val="24"/>
          <w:szCs w:val="24"/>
          <w:lang w:eastAsia="en-IN"/>
          <w14:ligatures w14:val="none"/>
        </w:rPr>
        <w:t>Advantages and Disadvantages</w:t>
      </w:r>
    </w:p>
    <w:p w14:paraId="35B3E062" w14:textId="77777777" w:rsidR="00C732E5" w:rsidRPr="00C732E5" w:rsidRDefault="00C732E5" w:rsidP="00C732E5">
      <w:pPr>
        <w:spacing w:before="100" w:beforeAutospacing="1" w:after="100" w:afterAutospacing="1" w:line="240" w:lineRule="auto"/>
        <w:rPr>
          <w:rFonts w:eastAsia="Times New Roman" w:cs="Times New Roman"/>
          <w:kern w:val="0"/>
          <w:sz w:val="24"/>
          <w:szCs w:val="24"/>
          <w:lang w:eastAsia="en-IN"/>
          <w14:ligatures w14:val="none"/>
        </w:rPr>
      </w:pPr>
      <w:r w:rsidRPr="00C732E5">
        <w:rPr>
          <w:rFonts w:eastAsia="Times New Roman" w:cs="Times New Roman"/>
          <w:b/>
          <w:bCs/>
          <w:kern w:val="0"/>
          <w:sz w:val="24"/>
          <w:szCs w:val="24"/>
          <w:lang w:eastAsia="en-IN"/>
          <w14:ligatures w14:val="none"/>
        </w:rPr>
        <w:t>Advantages:</w:t>
      </w:r>
    </w:p>
    <w:p w14:paraId="50B3E446" w14:textId="77777777" w:rsidR="00C732E5" w:rsidRPr="00C732E5" w:rsidRDefault="00C732E5" w:rsidP="00C732E5">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C732E5">
        <w:rPr>
          <w:rFonts w:eastAsia="Times New Roman" w:cs="Times New Roman"/>
          <w:kern w:val="0"/>
          <w:sz w:val="24"/>
          <w:szCs w:val="24"/>
          <w:lang w:eastAsia="en-IN"/>
          <w14:ligatures w14:val="none"/>
        </w:rPr>
        <w:t>Predictable monthly payments due to fixed interest rates.</w:t>
      </w:r>
    </w:p>
    <w:p w14:paraId="204925A7" w14:textId="77777777" w:rsidR="00C732E5" w:rsidRPr="00C732E5" w:rsidRDefault="00C732E5" w:rsidP="00C732E5">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C732E5">
        <w:rPr>
          <w:rFonts w:eastAsia="Times New Roman" w:cs="Times New Roman"/>
          <w:kern w:val="0"/>
          <w:sz w:val="24"/>
          <w:szCs w:val="24"/>
          <w:lang w:eastAsia="en-IN"/>
          <w14:ligatures w14:val="none"/>
        </w:rPr>
        <w:t>Useful for large, one-time expenses.</w:t>
      </w:r>
    </w:p>
    <w:p w14:paraId="31363170" w14:textId="77777777" w:rsidR="00C732E5" w:rsidRPr="00C732E5" w:rsidRDefault="00C732E5" w:rsidP="00C732E5">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C732E5">
        <w:rPr>
          <w:rFonts w:eastAsia="Times New Roman" w:cs="Times New Roman"/>
          <w:kern w:val="0"/>
          <w:sz w:val="24"/>
          <w:szCs w:val="24"/>
          <w:lang w:eastAsia="en-IN"/>
          <w14:ligatures w14:val="none"/>
        </w:rPr>
        <w:t>Interest payments may be tax-deductible (consult a tax advisor for current regulations).</w:t>
      </w:r>
    </w:p>
    <w:p w14:paraId="07137141" w14:textId="77777777" w:rsidR="00C732E5" w:rsidRPr="00C732E5" w:rsidRDefault="00C732E5" w:rsidP="00C732E5">
      <w:pPr>
        <w:spacing w:before="100" w:beforeAutospacing="1" w:after="100" w:afterAutospacing="1" w:line="240" w:lineRule="auto"/>
        <w:rPr>
          <w:rFonts w:eastAsia="Times New Roman" w:cs="Times New Roman"/>
          <w:kern w:val="0"/>
          <w:sz w:val="24"/>
          <w:szCs w:val="24"/>
          <w:lang w:eastAsia="en-IN"/>
          <w14:ligatures w14:val="none"/>
        </w:rPr>
      </w:pPr>
      <w:r w:rsidRPr="00C732E5">
        <w:rPr>
          <w:rFonts w:eastAsia="Times New Roman" w:cs="Times New Roman"/>
          <w:b/>
          <w:bCs/>
          <w:kern w:val="0"/>
          <w:sz w:val="24"/>
          <w:szCs w:val="24"/>
          <w:lang w:eastAsia="en-IN"/>
          <w14:ligatures w14:val="none"/>
        </w:rPr>
        <w:t>Disadvantages:</w:t>
      </w:r>
    </w:p>
    <w:p w14:paraId="0FEC7CBE" w14:textId="77777777" w:rsidR="00C732E5" w:rsidRPr="00C732E5" w:rsidRDefault="00C732E5" w:rsidP="00C732E5">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C732E5">
        <w:rPr>
          <w:rFonts w:eastAsia="Times New Roman" w:cs="Times New Roman"/>
          <w:kern w:val="0"/>
          <w:sz w:val="24"/>
          <w:szCs w:val="24"/>
          <w:lang w:eastAsia="en-IN"/>
          <w14:ligatures w14:val="none"/>
        </w:rPr>
        <w:t>Less flexibility compared to HELOCs.</w:t>
      </w:r>
    </w:p>
    <w:p w14:paraId="7E7A4C5A" w14:textId="77777777" w:rsidR="00C732E5" w:rsidRPr="00C732E5" w:rsidRDefault="00C732E5" w:rsidP="00C732E5">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C732E5">
        <w:rPr>
          <w:rFonts w:eastAsia="Times New Roman" w:cs="Times New Roman"/>
          <w:kern w:val="0"/>
          <w:sz w:val="24"/>
          <w:szCs w:val="24"/>
          <w:lang w:eastAsia="en-IN"/>
          <w14:ligatures w14:val="none"/>
        </w:rPr>
        <w:t>Higher overall interest costs if repaid slowly.</w:t>
      </w:r>
    </w:p>
    <w:p w14:paraId="34D015E7" w14:textId="77777777" w:rsidR="00C732E5" w:rsidRPr="00C732E5" w:rsidRDefault="00C732E5" w:rsidP="00C732E5">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C732E5">
        <w:rPr>
          <w:rFonts w:eastAsia="Times New Roman" w:cs="Times New Roman"/>
          <w:kern w:val="0"/>
          <w:sz w:val="24"/>
          <w:szCs w:val="24"/>
          <w:lang w:eastAsia="en-IN"/>
          <w14:ligatures w14:val="none"/>
        </w:rPr>
        <w:t>Risk of foreclosure if the borrower defaults.</w:t>
      </w:r>
    </w:p>
    <w:p w14:paraId="2DE5067A" w14:textId="77777777" w:rsidR="00C732E5" w:rsidRPr="00C732E5" w:rsidRDefault="00C732E5" w:rsidP="00C732E5">
      <w:pPr>
        <w:pStyle w:val="Heading2"/>
        <w:rPr>
          <w:rFonts w:eastAsia="Times New Roman"/>
          <w:lang w:eastAsia="en-IN"/>
        </w:rPr>
      </w:pPr>
      <w:r w:rsidRPr="00C732E5">
        <w:rPr>
          <w:rFonts w:eastAsia="Times New Roman"/>
          <w:lang w:eastAsia="en-IN"/>
        </w:rPr>
        <w:t>3. Home Equity Lines of Credit (HELOCs)</w:t>
      </w:r>
    </w:p>
    <w:p w14:paraId="46363BB4" w14:textId="77777777" w:rsidR="00C732E5" w:rsidRPr="00C732E5" w:rsidRDefault="00C732E5" w:rsidP="00C732E5">
      <w:pPr>
        <w:spacing w:before="100" w:beforeAutospacing="1" w:after="100" w:afterAutospacing="1" w:line="240" w:lineRule="auto"/>
        <w:outlineLvl w:val="4"/>
        <w:rPr>
          <w:rFonts w:eastAsia="Times New Roman" w:cs="Times New Roman"/>
          <w:b/>
          <w:bCs/>
          <w:kern w:val="0"/>
          <w:sz w:val="24"/>
          <w:szCs w:val="24"/>
          <w:lang w:eastAsia="en-IN"/>
          <w14:ligatures w14:val="none"/>
        </w:rPr>
      </w:pPr>
      <w:r w:rsidRPr="00C732E5">
        <w:rPr>
          <w:rFonts w:eastAsia="Times New Roman" w:cs="Times New Roman"/>
          <w:b/>
          <w:bCs/>
          <w:kern w:val="0"/>
          <w:sz w:val="24"/>
          <w:szCs w:val="24"/>
          <w:lang w:eastAsia="en-IN"/>
          <w14:ligatures w14:val="none"/>
        </w:rPr>
        <w:t>Key Features</w:t>
      </w:r>
    </w:p>
    <w:p w14:paraId="299D49E0" w14:textId="77777777" w:rsidR="00C732E5" w:rsidRPr="00C732E5" w:rsidRDefault="00C732E5" w:rsidP="00C732E5">
      <w:pPr>
        <w:spacing w:before="100" w:beforeAutospacing="1" w:after="100" w:afterAutospacing="1" w:line="240" w:lineRule="auto"/>
        <w:rPr>
          <w:rFonts w:eastAsia="Times New Roman" w:cs="Times New Roman"/>
          <w:kern w:val="0"/>
          <w:sz w:val="24"/>
          <w:szCs w:val="24"/>
          <w:lang w:eastAsia="en-IN"/>
          <w14:ligatures w14:val="none"/>
        </w:rPr>
      </w:pPr>
      <w:r w:rsidRPr="00C732E5">
        <w:rPr>
          <w:rFonts w:eastAsia="Times New Roman" w:cs="Times New Roman"/>
          <w:kern w:val="0"/>
          <w:sz w:val="24"/>
          <w:szCs w:val="24"/>
          <w:lang w:eastAsia="en-IN"/>
          <w14:ligatures w14:val="none"/>
        </w:rPr>
        <w:t>HELOCs provide a revolving line of credit, allowing borrowers to draw funds as needed up to a maximum limit during a draw period, followed by a repayment period. Interest rates are often variable.</w:t>
      </w:r>
    </w:p>
    <w:p w14:paraId="1227D5EB" w14:textId="77777777" w:rsidR="00C732E5" w:rsidRPr="00C732E5" w:rsidRDefault="00C732E5" w:rsidP="00C732E5">
      <w:pPr>
        <w:spacing w:before="100" w:beforeAutospacing="1" w:after="100" w:afterAutospacing="1" w:line="240" w:lineRule="auto"/>
        <w:outlineLvl w:val="4"/>
        <w:rPr>
          <w:rFonts w:eastAsia="Times New Roman" w:cs="Times New Roman"/>
          <w:b/>
          <w:bCs/>
          <w:kern w:val="0"/>
          <w:sz w:val="24"/>
          <w:szCs w:val="24"/>
          <w:lang w:eastAsia="en-IN"/>
          <w14:ligatures w14:val="none"/>
        </w:rPr>
      </w:pPr>
      <w:r w:rsidRPr="00C732E5">
        <w:rPr>
          <w:rFonts w:eastAsia="Times New Roman" w:cs="Times New Roman"/>
          <w:b/>
          <w:bCs/>
          <w:kern w:val="0"/>
          <w:sz w:val="24"/>
          <w:szCs w:val="24"/>
          <w:lang w:eastAsia="en-IN"/>
          <w14:ligatures w14:val="none"/>
        </w:rPr>
        <w:t>Advantages and Disadvantages</w:t>
      </w:r>
    </w:p>
    <w:p w14:paraId="1D464D0C" w14:textId="77777777" w:rsidR="00C732E5" w:rsidRPr="00C732E5" w:rsidRDefault="00C732E5" w:rsidP="00C732E5">
      <w:pPr>
        <w:spacing w:before="100" w:beforeAutospacing="1" w:after="100" w:afterAutospacing="1" w:line="240" w:lineRule="auto"/>
        <w:rPr>
          <w:rFonts w:eastAsia="Times New Roman" w:cs="Times New Roman"/>
          <w:kern w:val="0"/>
          <w:sz w:val="24"/>
          <w:szCs w:val="24"/>
          <w:lang w:eastAsia="en-IN"/>
          <w14:ligatures w14:val="none"/>
        </w:rPr>
      </w:pPr>
      <w:r w:rsidRPr="00C732E5">
        <w:rPr>
          <w:rFonts w:eastAsia="Times New Roman" w:cs="Times New Roman"/>
          <w:b/>
          <w:bCs/>
          <w:kern w:val="0"/>
          <w:sz w:val="24"/>
          <w:szCs w:val="24"/>
          <w:lang w:eastAsia="en-IN"/>
          <w14:ligatures w14:val="none"/>
        </w:rPr>
        <w:lastRenderedPageBreak/>
        <w:t>Advantages:</w:t>
      </w:r>
    </w:p>
    <w:p w14:paraId="2D069370" w14:textId="77777777" w:rsidR="00C732E5" w:rsidRPr="00C732E5" w:rsidRDefault="00C732E5" w:rsidP="00C732E5">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C732E5">
        <w:rPr>
          <w:rFonts w:eastAsia="Times New Roman" w:cs="Times New Roman"/>
          <w:kern w:val="0"/>
          <w:sz w:val="24"/>
          <w:szCs w:val="24"/>
          <w:lang w:eastAsia="en-IN"/>
          <w14:ligatures w14:val="none"/>
        </w:rPr>
        <w:t>Flexibility to borrow as needed.</w:t>
      </w:r>
    </w:p>
    <w:p w14:paraId="7052ED80" w14:textId="77777777" w:rsidR="00C732E5" w:rsidRPr="00C732E5" w:rsidRDefault="00C732E5" w:rsidP="00C732E5">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C732E5">
        <w:rPr>
          <w:rFonts w:eastAsia="Times New Roman" w:cs="Times New Roman"/>
          <w:kern w:val="0"/>
          <w:sz w:val="24"/>
          <w:szCs w:val="24"/>
          <w:lang w:eastAsia="en-IN"/>
          <w14:ligatures w14:val="none"/>
        </w:rPr>
        <w:t>Potentially lower initial interest rates.</w:t>
      </w:r>
    </w:p>
    <w:p w14:paraId="386E4215" w14:textId="77777777" w:rsidR="00C732E5" w:rsidRPr="00C732E5" w:rsidRDefault="00C732E5" w:rsidP="00C732E5">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C732E5">
        <w:rPr>
          <w:rFonts w:eastAsia="Times New Roman" w:cs="Times New Roman"/>
          <w:kern w:val="0"/>
          <w:sz w:val="24"/>
          <w:szCs w:val="24"/>
          <w:lang w:eastAsia="en-IN"/>
          <w14:ligatures w14:val="none"/>
        </w:rPr>
        <w:t>Interest-only payments during the draw period.</w:t>
      </w:r>
    </w:p>
    <w:p w14:paraId="78E9FFC2" w14:textId="77777777" w:rsidR="00C732E5" w:rsidRPr="00C732E5" w:rsidRDefault="00C732E5" w:rsidP="00C732E5">
      <w:pPr>
        <w:spacing w:before="100" w:beforeAutospacing="1" w:after="100" w:afterAutospacing="1" w:line="240" w:lineRule="auto"/>
        <w:rPr>
          <w:rFonts w:eastAsia="Times New Roman" w:cs="Times New Roman"/>
          <w:kern w:val="0"/>
          <w:sz w:val="24"/>
          <w:szCs w:val="24"/>
          <w:lang w:eastAsia="en-IN"/>
          <w14:ligatures w14:val="none"/>
        </w:rPr>
      </w:pPr>
      <w:r w:rsidRPr="00C732E5">
        <w:rPr>
          <w:rFonts w:eastAsia="Times New Roman" w:cs="Times New Roman"/>
          <w:b/>
          <w:bCs/>
          <w:kern w:val="0"/>
          <w:sz w:val="24"/>
          <w:szCs w:val="24"/>
          <w:lang w:eastAsia="en-IN"/>
          <w14:ligatures w14:val="none"/>
        </w:rPr>
        <w:t>Disadvantages:</w:t>
      </w:r>
    </w:p>
    <w:p w14:paraId="4405B767" w14:textId="77777777" w:rsidR="00C732E5" w:rsidRPr="00C732E5" w:rsidRDefault="00C732E5" w:rsidP="00C732E5">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C732E5">
        <w:rPr>
          <w:rFonts w:eastAsia="Times New Roman" w:cs="Times New Roman"/>
          <w:kern w:val="0"/>
          <w:sz w:val="24"/>
          <w:szCs w:val="24"/>
          <w:lang w:eastAsia="en-IN"/>
          <w14:ligatures w14:val="none"/>
        </w:rPr>
        <w:t>Variable rates can lead to unpredictable payments.</w:t>
      </w:r>
    </w:p>
    <w:p w14:paraId="2A59C30F" w14:textId="77777777" w:rsidR="00C732E5" w:rsidRPr="00C732E5" w:rsidRDefault="00C732E5" w:rsidP="00C732E5">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C732E5">
        <w:rPr>
          <w:rFonts w:eastAsia="Times New Roman" w:cs="Times New Roman"/>
          <w:kern w:val="0"/>
          <w:sz w:val="24"/>
          <w:szCs w:val="24"/>
          <w:lang w:eastAsia="en-IN"/>
          <w14:ligatures w14:val="none"/>
        </w:rPr>
        <w:t>Risk of over-borrowing due to the revolving credit nature.</w:t>
      </w:r>
    </w:p>
    <w:p w14:paraId="509CEBB8" w14:textId="77777777" w:rsidR="00C732E5" w:rsidRPr="00C732E5" w:rsidRDefault="00C732E5" w:rsidP="00C732E5">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C732E5">
        <w:rPr>
          <w:rFonts w:eastAsia="Times New Roman" w:cs="Times New Roman"/>
          <w:kern w:val="0"/>
          <w:sz w:val="24"/>
          <w:szCs w:val="24"/>
          <w:lang w:eastAsia="en-IN"/>
          <w14:ligatures w14:val="none"/>
        </w:rPr>
        <w:t>Potential for increased debt if not managed properly.</w:t>
      </w:r>
    </w:p>
    <w:p w14:paraId="2F0BC072" w14:textId="77777777" w:rsidR="00C732E5" w:rsidRPr="00C732E5" w:rsidRDefault="00C732E5" w:rsidP="00C732E5">
      <w:pPr>
        <w:pStyle w:val="Heading2"/>
        <w:rPr>
          <w:rFonts w:eastAsia="Times New Roman"/>
          <w:lang w:eastAsia="en-IN"/>
        </w:rPr>
      </w:pPr>
      <w:r w:rsidRPr="00C732E5">
        <w:rPr>
          <w:rFonts w:eastAsia="Times New Roman"/>
          <w:lang w:eastAsia="en-IN"/>
        </w:rPr>
        <w:t>4. Comparison between Home Equity Loans and HELOCs</w:t>
      </w:r>
    </w:p>
    <w:p w14:paraId="70E29DA4" w14:textId="77777777" w:rsidR="00C732E5" w:rsidRPr="00C732E5" w:rsidRDefault="00C732E5" w:rsidP="00C732E5">
      <w:pPr>
        <w:spacing w:before="100" w:beforeAutospacing="1" w:after="100" w:afterAutospacing="1" w:line="240" w:lineRule="auto"/>
        <w:rPr>
          <w:rFonts w:eastAsia="Times New Roman" w:cs="Times New Roman"/>
          <w:kern w:val="0"/>
          <w:sz w:val="24"/>
          <w:szCs w:val="24"/>
          <w:lang w:eastAsia="en-IN"/>
          <w14:ligatures w14:val="none"/>
        </w:rPr>
      </w:pPr>
      <w:r w:rsidRPr="00C732E5">
        <w:rPr>
          <w:rFonts w:eastAsia="Times New Roman" w:cs="Times New Roman"/>
          <w:kern w:val="0"/>
          <w:sz w:val="24"/>
          <w:szCs w:val="24"/>
          <w:lang w:eastAsia="en-IN"/>
          <w14:ligatures w14:val="none"/>
        </w:rPr>
        <w:t>Home equity loans and HELOCs serve different financial needs. Home equity loans offer stability with fixed rates and payments, making them ideal for large, one-time expenses. HELOCs provide flexibility for ongoing expenses, with the ability to draw and repay funds as needed.</w:t>
      </w:r>
    </w:p>
    <w:tbl>
      <w:tblPr>
        <w:tblStyle w:val="TableGrid"/>
        <w:tblW w:w="0" w:type="auto"/>
        <w:tblLook w:val="04A0" w:firstRow="1" w:lastRow="0" w:firstColumn="1" w:lastColumn="0" w:noHBand="0" w:noVBand="1"/>
      </w:tblPr>
      <w:tblGrid>
        <w:gridCol w:w="2301"/>
        <w:gridCol w:w="2489"/>
        <w:gridCol w:w="4226"/>
      </w:tblGrid>
      <w:tr w:rsidR="00C732E5" w:rsidRPr="00C732E5" w14:paraId="77293FF0" w14:textId="77777777" w:rsidTr="00C732E5">
        <w:tc>
          <w:tcPr>
            <w:tcW w:w="0" w:type="auto"/>
            <w:hideMark/>
          </w:tcPr>
          <w:p w14:paraId="40C6A0AD" w14:textId="77777777" w:rsidR="00C732E5" w:rsidRPr="00C732E5" w:rsidRDefault="00C732E5" w:rsidP="00C732E5">
            <w:pPr>
              <w:jc w:val="center"/>
              <w:rPr>
                <w:rFonts w:eastAsia="Times New Roman" w:cs="Times New Roman"/>
                <w:b/>
                <w:bCs/>
                <w:kern w:val="0"/>
                <w:sz w:val="24"/>
                <w:szCs w:val="24"/>
                <w:lang w:eastAsia="en-IN"/>
                <w14:ligatures w14:val="none"/>
              </w:rPr>
            </w:pPr>
            <w:r w:rsidRPr="00C732E5">
              <w:rPr>
                <w:rFonts w:eastAsia="Times New Roman" w:cs="Times New Roman"/>
                <w:b/>
                <w:bCs/>
                <w:kern w:val="0"/>
                <w:sz w:val="24"/>
                <w:szCs w:val="24"/>
                <w:lang w:eastAsia="en-IN"/>
                <w14:ligatures w14:val="none"/>
              </w:rPr>
              <w:t>Feature</w:t>
            </w:r>
          </w:p>
        </w:tc>
        <w:tc>
          <w:tcPr>
            <w:tcW w:w="0" w:type="auto"/>
            <w:hideMark/>
          </w:tcPr>
          <w:p w14:paraId="1F0EEFAE" w14:textId="77777777" w:rsidR="00C732E5" w:rsidRPr="00C732E5" w:rsidRDefault="00C732E5" w:rsidP="00C732E5">
            <w:pPr>
              <w:jc w:val="center"/>
              <w:rPr>
                <w:rFonts w:eastAsia="Times New Roman" w:cs="Times New Roman"/>
                <w:b/>
                <w:bCs/>
                <w:kern w:val="0"/>
                <w:sz w:val="24"/>
                <w:szCs w:val="24"/>
                <w:lang w:eastAsia="en-IN"/>
                <w14:ligatures w14:val="none"/>
              </w:rPr>
            </w:pPr>
            <w:r w:rsidRPr="00C732E5">
              <w:rPr>
                <w:rFonts w:eastAsia="Times New Roman" w:cs="Times New Roman"/>
                <w:b/>
                <w:bCs/>
                <w:kern w:val="0"/>
                <w:sz w:val="24"/>
                <w:szCs w:val="24"/>
                <w:lang w:eastAsia="en-IN"/>
                <w14:ligatures w14:val="none"/>
              </w:rPr>
              <w:t>Home Equity Loan</w:t>
            </w:r>
          </w:p>
        </w:tc>
        <w:tc>
          <w:tcPr>
            <w:tcW w:w="0" w:type="auto"/>
            <w:hideMark/>
          </w:tcPr>
          <w:p w14:paraId="1B0DB018" w14:textId="77777777" w:rsidR="00C732E5" w:rsidRPr="00C732E5" w:rsidRDefault="00C732E5" w:rsidP="00C732E5">
            <w:pPr>
              <w:jc w:val="center"/>
              <w:rPr>
                <w:rFonts w:eastAsia="Times New Roman" w:cs="Times New Roman"/>
                <w:b/>
                <w:bCs/>
                <w:kern w:val="0"/>
                <w:sz w:val="24"/>
                <w:szCs w:val="24"/>
                <w:lang w:eastAsia="en-IN"/>
                <w14:ligatures w14:val="none"/>
              </w:rPr>
            </w:pPr>
            <w:r w:rsidRPr="00C732E5">
              <w:rPr>
                <w:rFonts w:eastAsia="Times New Roman" w:cs="Times New Roman"/>
                <w:b/>
                <w:bCs/>
                <w:kern w:val="0"/>
                <w:sz w:val="24"/>
                <w:szCs w:val="24"/>
                <w:lang w:eastAsia="en-IN"/>
                <w14:ligatures w14:val="none"/>
              </w:rPr>
              <w:t>HELOC</w:t>
            </w:r>
          </w:p>
        </w:tc>
      </w:tr>
      <w:tr w:rsidR="00C732E5" w:rsidRPr="00C732E5" w14:paraId="1AE0A1F8" w14:textId="77777777" w:rsidTr="00C732E5">
        <w:tc>
          <w:tcPr>
            <w:tcW w:w="0" w:type="auto"/>
            <w:hideMark/>
          </w:tcPr>
          <w:p w14:paraId="0486D560" w14:textId="77777777" w:rsidR="00C732E5" w:rsidRPr="00C732E5" w:rsidRDefault="00C732E5" w:rsidP="00C732E5">
            <w:pPr>
              <w:rPr>
                <w:rFonts w:eastAsia="Times New Roman" w:cs="Times New Roman"/>
                <w:kern w:val="0"/>
                <w:sz w:val="24"/>
                <w:szCs w:val="24"/>
                <w:lang w:eastAsia="en-IN"/>
                <w14:ligatures w14:val="none"/>
              </w:rPr>
            </w:pPr>
            <w:r w:rsidRPr="00C732E5">
              <w:rPr>
                <w:rFonts w:eastAsia="Times New Roman" w:cs="Times New Roman"/>
                <w:kern w:val="0"/>
                <w:sz w:val="24"/>
                <w:szCs w:val="24"/>
                <w:lang w:eastAsia="en-IN"/>
                <w14:ligatures w14:val="none"/>
              </w:rPr>
              <w:t>Disbursement</w:t>
            </w:r>
          </w:p>
        </w:tc>
        <w:tc>
          <w:tcPr>
            <w:tcW w:w="0" w:type="auto"/>
            <w:hideMark/>
          </w:tcPr>
          <w:p w14:paraId="43B468AA" w14:textId="77777777" w:rsidR="00C732E5" w:rsidRPr="00C732E5" w:rsidRDefault="00C732E5" w:rsidP="00C732E5">
            <w:pPr>
              <w:rPr>
                <w:rFonts w:eastAsia="Times New Roman" w:cs="Times New Roman"/>
                <w:kern w:val="0"/>
                <w:sz w:val="24"/>
                <w:szCs w:val="24"/>
                <w:lang w:eastAsia="en-IN"/>
                <w14:ligatures w14:val="none"/>
              </w:rPr>
            </w:pPr>
            <w:r w:rsidRPr="00C732E5">
              <w:rPr>
                <w:rFonts w:eastAsia="Times New Roman" w:cs="Times New Roman"/>
                <w:kern w:val="0"/>
                <w:sz w:val="24"/>
                <w:szCs w:val="24"/>
                <w:lang w:eastAsia="en-IN"/>
                <w14:ligatures w14:val="none"/>
              </w:rPr>
              <w:t>Lump sum</w:t>
            </w:r>
          </w:p>
        </w:tc>
        <w:tc>
          <w:tcPr>
            <w:tcW w:w="0" w:type="auto"/>
            <w:hideMark/>
          </w:tcPr>
          <w:p w14:paraId="7B2022B6" w14:textId="77777777" w:rsidR="00C732E5" w:rsidRPr="00C732E5" w:rsidRDefault="00C732E5" w:rsidP="00C732E5">
            <w:pPr>
              <w:rPr>
                <w:rFonts w:eastAsia="Times New Roman" w:cs="Times New Roman"/>
                <w:kern w:val="0"/>
                <w:sz w:val="24"/>
                <w:szCs w:val="24"/>
                <w:lang w:eastAsia="en-IN"/>
                <w14:ligatures w14:val="none"/>
              </w:rPr>
            </w:pPr>
            <w:r w:rsidRPr="00C732E5">
              <w:rPr>
                <w:rFonts w:eastAsia="Times New Roman" w:cs="Times New Roman"/>
                <w:kern w:val="0"/>
                <w:sz w:val="24"/>
                <w:szCs w:val="24"/>
                <w:lang w:eastAsia="en-IN"/>
                <w14:ligatures w14:val="none"/>
              </w:rPr>
              <w:t>As needed, up to credit limit</w:t>
            </w:r>
          </w:p>
        </w:tc>
      </w:tr>
      <w:tr w:rsidR="00C732E5" w:rsidRPr="00C732E5" w14:paraId="6A970209" w14:textId="77777777" w:rsidTr="00C732E5">
        <w:tc>
          <w:tcPr>
            <w:tcW w:w="0" w:type="auto"/>
            <w:hideMark/>
          </w:tcPr>
          <w:p w14:paraId="36B278B1" w14:textId="77777777" w:rsidR="00C732E5" w:rsidRPr="00C732E5" w:rsidRDefault="00C732E5" w:rsidP="00C732E5">
            <w:pPr>
              <w:rPr>
                <w:rFonts w:eastAsia="Times New Roman" w:cs="Times New Roman"/>
                <w:kern w:val="0"/>
                <w:sz w:val="24"/>
                <w:szCs w:val="24"/>
                <w:lang w:eastAsia="en-IN"/>
                <w14:ligatures w14:val="none"/>
              </w:rPr>
            </w:pPr>
            <w:r w:rsidRPr="00C732E5">
              <w:rPr>
                <w:rFonts w:eastAsia="Times New Roman" w:cs="Times New Roman"/>
                <w:kern w:val="0"/>
                <w:sz w:val="24"/>
                <w:szCs w:val="24"/>
                <w:lang w:eastAsia="en-IN"/>
                <w14:ligatures w14:val="none"/>
              </w:rPr>
              <w:t>Interest Rate</w:t>
            </w:r>
          </w:p>
        </w:tc>
        <w:tc>
          <w:tcPr>
            <w:tcW w:w="0" w:type="auto"/>
            <w:hideMark/>
          </w:tcPr>
          <w:p w14:paraId="77CCF0B8" w14:textId="77777777" w:rsidR="00C732E5" w:rsidRPr="00C732E5" w:rsidRDefault="00C732E5" w:rsidP="00C732E5">
            <w:pPr>
              <w:rPr>
                <w:rFonts w:eastAsia="Times New Roman" w:cs="Times New Roman"/>
                <w:kern w:val="0"/>
                <w:sz w:val="24"/>
                <w:szCs w:val="24"/>
                <w:lang w:eastAsia="en-IN"/>
                <w14:ligatures w14:val="none"/>
              </w:rPr>
            </w:pPr>
            <w:r w:rsidRPr="00C732E5">
              <w:rPr>
                <w:rFonts w:eastAsia="Times New Roman" w:cs="Times New Roman"/>
                <w:kern w:val="0"/>
                <w:sz w:val="24"/>
                <w:szCs w:val="24"/>
                <w:lang w:eastAsia="en-IN"/>
                <w14:ligatures w14:val="none"/>
              </w:rPr>
              <w:t>Fixed</w:t>
            </w:r>
          </w:p>
        </w:tc>
        <w:tc>
          <w:tcPr>
            <w:tcW w:w="0" w:type="auto"/>
            <w:hideMark/>
          </w:tcPr>
          <w:p w14:paraId="0C3BBB8F" w14:textId="77777777" w:rsidR="00C732E5" w:rsidRPr="00C732E5" w:rsidRDefault="00C732E5" w:rsidP="00C732E5">
            <w:pPr>
              <w:rPr>
                <w:rFonts w:eastAsia="Times New Roman" w:cs="Times New Roman"/>
                <w:kern w:val="0"/>
                <w:sz w:val="24"/>
                <w:szCs w:val="24"/>
                <w:lang w:eastAsia="en-IN"/>
                <w14:ligatures w14:val="none"/>
              </w:rPr>
            </w:pPr>
            <w:r w:rsidRPr="00C732E5">
              <w:rPr>
                <w:rFonts w:eastAsia="Times New Roman" w:cs="Times New Roman"/>
                <w:kern w:val="0"/>
                <w:sz w:val="24"/>
                <w:szCs w:val="24"/>
                <w:lang w:eastAsia="en-IN"/>
                <w14:ligatures w14:val="none"/>
              </w:rPr>
              <w:t>Variable</w:t>
            </w:r>
          </w:p>
        </w:tc>
      </w:tr>
      <w:tr w:rsidR="00C732E5" w:rsidRPr="00C732E5" w14:paraId="70C30BD6" w14:textId="77777777" w:rsidTr="00C732E5">
        <w:tc>
          <w:tcPr>
            <w:tcW w:w="0" w:type="auto"/>
            <w:hideMark/>
          </w:tcPr>
          <w:p w14:paraId="3E36101A" w14:textId="77777777" w:rsidR="00C732E5" w:rsidRPr="00C732E5" w:rsidRDefault="00C732E5" w:rsidP="00C732E5">
            <w:pPr>
              <w:rPr>
                <w:rFonts w:eastAsia="Times New Roman" w:cs="Times New Roman"/>
                <w:kern w:val="0"/>
                <w:sz w:val="24"/>
                <w:szCs w:val="24"/>
                <w:lang w:eastAsia="en-IN"/>
                <w14:ligatures w14:val="none"/>
              </w:rPr>
            </w:pPr>
            <w:r w:rsidRPr="00C732E5">
              <w:rPr>
                <w:rFonts w:eastAsia="Times New Roman" w:cs="Times New Roman"/>
                <w:kern w:val="0"/>
                <w:sz w:val="24"/>
                <w:szCs w:val="24"/>
                <w:lang w:eastAsia="en-IN"/>
                <w14:ligatures w14:val="none"/>
              </w:rPr>
              <w:t>Repayment Schedule</w:t>
            </w:r>
          </w:p>
        </w:tc>
        <w:tc>
          <w:tcPr>
            <w:tcW w:w="0" w:type="auto"/>
            <w:hideMark/>
          </w:tcPr>
          <w:p w14:paraId="3B148073" w14:textId="77777777" w:rsidR="00C732E5" w:rsidRPr="00C732E5" w:rsidRDefault="00C732E5" w:rsidP="00C732E5">
            <w:pPr>
              <w:rPr>
                <w:rFonts w:eastAsia="Times New Roman" w:cs="Times New Roman"/>
                <w:kern w:val="0"/>
                <w:sz w:val="24"/>
                <w:szCs w:val="24"/>
                <w:lang w:eastAsia="en-IN"/>
                <w14:ligatures w14:val="none"/>
              </w:rPr>
            </w:pPr>
            <w:r w:rsidRPr="00C732E5">
              <w:rPr>
                <w:rFonts w:eastAsia="Times New Roman" w:cs="Times New Roman"/>
                <w:kern w:val="0"/>
                <w:sz w:val="24"/>
                <w:szCs w:val="24"/>
                <w:lang w:eastAsia="en-IN"/>
                <w14:ligatures w14:val="none"/>
              </w:rPr>
              <w:t>Fixed monthly payments</w:t>
            </w:r>
          </w:p>
        </w:tc>
        <w:tc>
          <w:tcPr>
            <w:tcW w:w="0" w:type="auto"/>
            <w:hideMark/>
          </w:tcPr>
          <w:p w14:paraId="1C908ECD" w14:textId="77777777" w:rsidR="00C732E5" w:rsidRPr="00C732E5" w:rsidRDefault="00C732E5" w:rsidP="00C732E5">
            <w:pPr>
              <w:rPr>
                <w:rFonts w:eastAsia="Times New Roman" w:cs="Times New Roman"/>
                <w:kern w:val="0"/>
                <w:sz w:val="24"/>
                <w:szCs w:val="24"/>
                <w:lang w:eastAsia="en-IN"/>
                <w14:ligatures w14:val="none"/>
              </w:rPr>
            </w:pPr>
            <w:r w:rsidRPr="00C732E5">
              <w:rPr>
                <w:rFonts w:eastAsia="Times New Roman" w:cs="Times New Roman"/>
                <w:kern w:val="0"/>
                <w:sz w:val="24"/>
                <w:szCs w:val="24"/>
                <w:lang w:eastAsia="en-IN"/>
                <w14:ligatures w14:val="none"/>
              </w:rPr>
              <w:t>Varies, often interest-only during draw period</w:t>
            </w:r>
          </w:p>
        </w:tc>
      </w:tr>
      <w:tr w:rsidR="00C732E5" w:rsidRPr="00C732E5" w14:paraId="6CAD8B92" w14:textId="77777777" w:rsidTr="00C732E5">
        <w:tc>
          <w:tcPr>
            <w:tcW w:w="0" w:type="auto"/>
            <w:hideMark/>
          </w:tcPr>
          <w:p w14:paraId="05AA07E2" w14:textId="77777777" w:rsidR="00C732E5" w:rsidRPr="00C732E5" w:rsidRDefault="00C732E5" w:rsidP="00C732E5">
            <w:pPr>
              <w:rPr>
                <w:rFonts w:eastAsia="Times New Roman" w:cs="Times New Roman"/>
                <w:kern w:val="0"/>
                <w:sz w:val="24"/>
                <w:szCs w:val="24"/>
                <w:lang w:eastAsia="en-IN"/>
                <w14:ligatures w14:val="none"/>
              </w:rPr>
            </w:pPr>
            <w:r w:rsidRPr="00C732E5">
              <w:rPr>
                <w:rFonts w:eastAsia="Times New Roman" w:cs="Times New Roman"/>
                <w:kern w:val="0"/>
                <w:sz w:val="24"/>
                <w:szCs w:val="24"/>
                <w:lang w:eastAsia="en-IN"/>
                <w14:ligatures w14:val="none"/>
              </w:rPr>
              <w:t>Flexibility</w:t>
            </w:r>
          </w:p>
        </w:tc>
        <w:tc>
          <w:tcPr>
            <w:tcW w:w="0" w:type="auto"/>
            <w:hideMark/>
          </w:tcPr>
          <w:p w14:paraId="66FD1562" w14:textId="77777777" w:rsidR="00C732E5" w:rsidRPr="00C732E5" w:rsidRDefault="00C732E5" w:rsidP="00C732E5">
            <w:pPr>
              <w:rPr>
                <w:rFonts w:eastAsia="Times New Roman" w:cs="Times New Roman"/>
                <w:kern w:val="0"/>
                <w:sz w:val="24"/>
                <w:szCs w:val="24"/>
                <w:lang w:eastAsia="en-IN"/>
                <w14:ligatures w14:val="none"/>
              </w:rPr>
            </w:pPr>
            <w:r w:rsidRPr="00C732E5">
              <w:rPr>
                <w:rFonts w:eastAsia="Times New Roman" w:cs="Times New Roman"/>
                <w:kern w:val="0"/>
                <w:sz w:val="24"/>
                <w:szCs w:val="24"/>
                <w:lang w:eastAsia="en-IN"/>
                <w14:ligatures w14:val="none"/>
              </w:rPr>
              <w:t>Less flexible</w:t>
            </w:r>
          </w:p>
        </w:tc>
        <w:tc>
          <w:tcPr>
            <w:tcW w:w="0" w:type="auto"/>
            <w:hideMark/>
          </w:tcPr>
          <w:p w14:paraId="162A37DB" w14:textId="77777777" w:rsidR="00C732E5" w:rsidRPr="00C732E5" w:rsidRDefault="00C732E5" w:rsidP="00C732E5">
            <w:pPr>
              <w:rPr>
                <w:rFonts w:eastAsia="Times New Roman" w:cs="Times New Roman"/>
                <w:kern w:val="0"/>
                <w:sz w:val="24"/>
                <w:szCs w:val="24"/>
                <w:lang w:eastAsia="en-IN"/>
                <w14:ligatures w14:val="none"/>
              </w:rPr>
            </w:pPr>
            <w:r w:rsidRPr="00C732E5">
              <w:rPr>
                <w:rFonts w:eastAsia="Times New Roman" w:cs="Times New Roman"/>
                <w:kern w:val="0"/>
                <w:sz w:val="24"/>
                <w:szCs w:val="24"/>
                <w:lang w:eastAsia="en-IN"/>
                <w14:ligatures w14:val="none"/>
              </w:rPr>
              <w:t>More flexible</w:t>
            </w:r>
          </w:p>
        </w:tc>
      </w:tr>
      <w:tr w:rsidR="00C732E5" w:rsidRPr="00C732E5" w14:paraId="02DF03E0" w14:textId="77777777" w:rsidTr="00C732E5">
        <w:tc>
          <w:tcPr>
            <w:tcW w:w="0" w:type="auto"/>
            <w:hideMark/>
          </w:tcPr>
          <w:p w14:paraId="58D05706" w14:textId="77777777" w:rsidR="00C732E5" w:rsidRPr="00C732E5" w:rsidRDefault="00C732E5" w:rsidP="00C732E5">
            <w:pPr>
              <w:rPr>
                <w:rFonts w:eastAsia="Times New Roman" w:cs="Times New Roman"/>
                <w:kern w:val="0"/>
                <w:sz w:val="24"/>
                <w:szCs w:val="24"/>
                <w:lang w:eastAsia="en-IN"/>
                <w14:ligatures w14:val="none"/>
              </w:rPr>
            </w:pPr>
            <w:r w:rsidRPr="00C732E5">
              <w:rPr>
                <w:rFonts w:eastAsia="Times New Roman" w:cs="Times New Roman"/>
                <w:kern w:val="0"/>
                <w:sz w:val="24"/>
                <w:szCs w:val="24"/>
                <w:lang w:eastAsia="en-IN"/>
                <w14:ligatures w14:val="none"/>
              </w:rPr>
              <w:t>Risk of Foreclosure</w:t>
            </w:r>
          </w:p>
        </w:tc>
        <w:tc>
          <w:tcPr>
            <w:tcW w:w="0" w:type="auto"/>
            <w:hideMark/>
          </w:tcPr>
          <w:p w14:paraId="4BA76C1A" w14:textId="77777777" w:rsidR="00C732E5" w:rsidRPr="00C732E5" w:rsidRDefault="00C732E5" w:rsidP="00C732E5">
            <w:pPr>
              <w:rPr>
                <w:rFonts w:eastAsia="Times New Roman" w:cs="Times New Roman"/>
                <w:kern w:val="0"/>
                <w:sz w:val="24"/>
                <w:szCs w:val="24"/>
                <w:lang w:eastAsia="en-IN"/>
                <w14:ligatures w14:val="none"/>
              </w:rPr>
            </w:pPr>
            <w:r w:rsidRPr="00C732E5">
              <w:rPr>
                <w:rFonts w:eastAsia="Times New Roman" w:cs="Times New Roman"/>
                <w:kern w:val="0"/>
                <w:sz w:val="24"/>
                <w:szCs w:val="24"/>
                <w:lang w:eastAsia="en-IN"/>
                <w14:ligatures w14:val="none"/>
              </w:rPr>
              <w:t>Yes</w:t>
            </w:r>
          </w:p>
        </w:tc>
        <w:tc>
          <w:tcPr>
            <w:tcW w:w="0" w:type="auto"/>
            <w:hideMark/>
          </w:tcPr>
          <w:p w14:paraId="70EB0300" w14:textId="77777777" w:rsidR="00C732E5" w:rsidRPr="00C732E5" w:rsidRDefault="00C732E5" w:rsidP="00C732E5">
            <w:pPr>
              <w:rPr>
                <w:rFonts w:eastAsia="Times New Roman" w:cs="Times New Roman"/>
                <w:kern w:val="0"/>
                <w:sz w:val="24"/>
                <w:szCs w:val="24"/>
                <w:lang w:eastAsia="en-IN"/>
                <w14:ligatures w14:val="none"/>
              </w:rPr>
            </w:pPr>
            <w:r w:rsidRPr="00C732E5">
              <w:rPr>
                <w:rFonts w:eastAsia="Times New Roman" w:cs="Times New Roman"/>
                <w:kern w:val="0"/>
                <w:sz w:val="24"/>
                <w:szCs w:val="24"/>
                <w:lang w:eastAsia="en-IN"/>
                <w14:ligatures w14:val="none"/>
              </w:rPr>
              <w:t>Yes</w:t>
            </w:r>
          </w:p>
        </w:tc>
      </w:tr>
    </w:tbl>
    <w:p w14:paraId="40A45901" w14:textId="77777777" w:rsidR="00C732E5" w:rsidRPr="00C732E5" w:rsidRDefault="00C732E5" w:rsidP="00C732E5">
      <w:pPr>
        <w:pStyle w:val="Heading2"/>
        <w:rPr>
          <w:rFonts w:eastAsia="Times New Roman"/>
          <w:lang w:eastAsia="en-IN"/>
        </w:rPr>
      </w:pPr>
      <w:r w:rsidRPr="00C732E5">
        <w:rPr>
          <w:rFonts w:eastAsia="Times New Roman"/>
          <w:lang w:eastAsia="en-IN"/>
        </w:rPr>
        <w:t>5. Usage and Applications</w:t>
      </w:r>
    </w:p>
    <w:p w14:paraId="7BF750C8" w14:textId="77777777" w:rsidR="00C732E5" w:rsidRPr="00C732E5" w:rsidRDefault="00C732E5" w:rsidP="00C732E5">
      <w:pPr>
        <w:spacing w:before="100" w:beforeAutospacing="1" w:after="100" w:afterAutospacing="1" w:line="240" w:lineRule="auto"/>
        <w:rPr>
          <w:rFonts w:eastAsia="Times New Roman" w:cs="Times New Roman"/>
          <w:kern w:val="0"/>
          <w:sz w:val="24"/>
          <w:szCs w:val="24"/>
          <w:lang w:eastAsia="en-IN"/>
          <w14:ligatures w14:val="none"/>
        </w:rPr>
      </w:pPr>
      <w:r w:rsidRPr="00C732E5">
        <w:rPr>
          <w:rFonts w:eastAsia="Times New Roman" w:cs="Times New Roman"/>
          <w:kern w:val="0"/>
          <w:sz w:val="24"/>
          <w:szCs w:val="24"/>
          <w:lang w:eastAsia="en-IN"/>
          <w14:ligatures w14:val="none"/>
        </w:rPr>
        <w:t>Home equity loans and HELOCs are commonly used for home improvements, debt consolidation, major expenses like medical bills or education costs, and investment opportunities. Their lower interest rates make them attractive alternatives to personal loans and credit cards.</w:t>
      </w:r>
    </w:p>
    <w:p w14:paraId="59E2FC32" w14:textId="77777777" w:rsidR="00C732E5" w:rsidRPr="00C732E5" w:rsidRDefault="00C732E5" w:rsidP="00C732E5">
      <w:pPr>
        <w:pStyle w:val="Heading2"/>
        <w:rPr>
          <w:rFonts w:eastAsia="Times New Roman"/>
          <w:lang w:eastAsia="en-IN"/>
        </w:rPr>
      </w:pPr>
      <w:r w:rsidRPr="00C732E5">
        <w:rPr>
          <w:rFonts w:eastAsia="Times New Roman"/>
          <w:lang w:eastAsia="en-IN"/>
        </w:rPr>
        <w:t>6. Risks and Considerations</w:t>
      </w:r>
    </w:p>
    <w:p w14:paraId="73F1E799" w14:textId="77777777" w:rsidR="00C732E5" w:rsidRPr="00C732E5" w:rsidRDefault="00C732E5" w:rsidP="00C732E5">
      <w:pPr>
        <w:spacing w:before="100" w:beforeAutospacing="1" w:after="100" w:afterAutospacing="1" w:line="240" w:lineRule="auto"/>
        <w:rPr>
          <w:rFonts w:eastAsia="Times New Roman" w:cs="Times New Roman"/>
          <w:kern w:val="0"/>
          <w:sz w:val="24"/>
          <w:szCs w:val="24"/>
          <w:lang w:eastAsia="en-IN"/>
          <w14:ligatures w14:val="none"/>
        </w:rPr>
      </w:pPr>
      <w:r w:rsidRPr="00C732E5">
        <w:rPr>
          <w:rFonts w:eastAsia="Times New Roman" w:cs="Times New Roman"/>
          <w:kern w:val="0"/>
          <w:sz w:val="24"/>
          <w:szCs w:val="24"/>
          <w:lang w:eastAsia="en-IN"/>
          <w14:ligatures w14:val="none"/>
        </w:rPr>
        <w:t>The primary risk is foreclosure if the borrower defaults. Additional risks include variable interest rates for HELOCs, which can lead to higher payments, and the potential for over-borrowing due to the revolving nature of HELOCs. Economic downturns can also impact home values and equity levels.</w:t>
      </w:r>
    </w:p>
    <w:p w14:paraId="224EC5D4" w14:textId="77777777" w:rsidR="00C732E5" w:rsidRPr="00C732E5" w:rsidRDefault="00C732E5" w:rsidP="00C732E5">
      <w:pPr>
        <w:pStyle w:val="Heading2"/>
        <w:rPr>
          <w:rFonts w:eastAsia="Times New Roman"/>
          <w:lang w:eastAsia="en-IN"/>
        </w:rPr>
      </w:pPr>
      <w:r w:rsidRPr="00C732E5">
        <w:rPr>
          <w:rFonts w:eastAsia="Times New Roman"/>
          <w:lang w:eastAsia="en-IN"/>
        </w:rPr>
        <w:t>7. Regulatory Environment</w:t>
      </w:r>
    </w:p>
    <w:p w14:paraId="43082990" w14:textId="77777777" w:rsidR="00C732E5" w:rsidRPr="00C732E5" w:rsidRDefault="00C732E5" w:rsidP="00C732E5">
      <w:pPr>
        <w:spacing w:before="100" w:beforeAutospacing="1" w:after="100" w:afterAutospacing="1" w:line="240" w:lineRule="auto"/>
        <w:rPr>
          <w:rFonts w:eastAsia="Times New Roman" w:cs="Times New Roman"/>
          <w:kern w:val="0"/>
          <w:sz w:val="24"/>
          <w:szCs w:val="24"/>
          <w:lang w:eastAsia="en-IN"/>
          <w14:ligatures w14:val="none"/>
        </w:rPr>
      </w:pPr>
      <w:r w:rsidRPr="00C732E5">
        <w:rPr>
          <w:rFonts w:eastAsia="Times New Roman" w:cs="Times New Roman"/>
          <w:kern w:val="0"/>
          <w:sz w:val="24"/>
          <w:szCs w:val="24"/>
          <w:lang w:eastAsia="en-IN"/>
          <w14:ligatures w14:val="none"/>
        </w:rPr>
        <w:t xml:space="preserve">Home equity loans and HELOCs are regulated to protect consumers. Key regulations include the Truth in Lending Act (TILA), ensuring clear disclosure of loan terms and costs, and the Real Estate Settlement Procedures Act (RESPA), providing accurate </w:t>
      </w:r>
      <w:r w:rsidRPr="00C732E5">
        <w:rPr>
          <w:rFonts w:eastAsia="Times New Roman" w:cs="Times New Roman"/>
          <w:kern w:val="0"/>
          <w:sz w:val="24"/>
          <w:szCs w:val="24"/>
          <w:lang w:eastAsia="en-IN"/>
          <w14:ligatures w14:val="none"/>
        </w:rPr>
        <w:lastRenderedPageBreak/>
        <w:t>information about transaction costs. The Dodd-Frank Wall Street Reform and Consumer Protection Act enhances consumer protections and oversight.</w:t>
      </w:r>
    </w:p>
    <w:p w14:paraId="2B2F4118" w14:textId="77777777" w:rsidR="00C732E5" w:rsidRPr="00C732E5" w:rsidRDefault="00C732E5" w:rsidP="00C732E5">
      <w:pPr>
        <w:pStyle w:val="Heading2"/>
        <w:rPr>
          <w:rFonts w:eastAsia="Times New Roman"/>
          <w:lang w:eastAsia="en-IN"/>
        </w:rPr>
      </w:pPr>
      <w:r w:rsidRPr="00C732E5">
        <w:rPr>
          <w:rFonts w:eastAsia="Times New Roman"/>
          <w:lang w:eastAsia="en-IN"/>
        </w:rPr>
        <w:t>8. Market Trends and Statistics</w:t>
      </w:r>
    </w:p>
    <w:p w14:paraId="4EE11002" w14:textId="77777777" w:rsidR="00C732E5" w:rsidRPr="00C732E5" w:rsidRDefault="00C732E5" w:rsidP="00C732E5">
      <w:pPr>
        <w:spacing w:before="100" w:beforeAutospacing="1" w:after="100" w:afterAutospacing="1" w:line="240" w:lineRule="auto"/>
        <w:rPr>
          <w:rFonts w:eastAsia="Times New Roman" w:cs="Times New Roman"/>
          <w:kern w:val="0"/>
          <w:sz w:val="24"/>
          <w:szCs w:val="24"/>
          <w:lang w:eastAsia="en-IN"/>
          <w14:ligatures w14:val="none"/>
        </w:rPr>
      </w:pPr>
      <w:r w:rsidRPr="00C732E5">
        <w:rPr>
          <w:rFonts w:eastAsia="Times New Roman" w:cs="Times New Roman"/>
          <w:kern w:val="0"/>
          <w:sz w:val="24"/>
          <w:szCs w:val="24"/>
          <w:lang w:eastAsia="en-IN"/>
          <w14:ligatures w14:val="none"/>
        </w:rPr>
        <w:t>Rising home values have led to greater home equity, increasing the popularity of home equity loans and HELOCs. Interest rate trends and economic conditions also influence their demand. For example, low-interest environments make these products more attractive to borrowers.</w:t>
      </w:r>
    </w:p>
    <w:p w14:paraId="2B2FF1D9" w14:textId="77777777" w:rsidR="00C732E5" w:rsidRPr="00C732E5" w:rsidRDefault="00C732E5" w:rsidP="00C732E5">
      <w:pPr>
        <w:pStyle w:val="Heading2"/>
        <w:rPr>
          <w:rFonts w:eastAsia="Times New Roman"/>
          <w:lang w:eastAsia="en-IN"/>
        </w:rPr>
      </w:pPr>
      <w:r w:rsidRPr="00C732E5">
        <w:rPr>
          <w:rFonts w:eastAsia="Times New Roman"/>
          <w:lang w:eastAsia="en-IN"/>
        </w:rPr>
        <w:t>9. Impact of Economic Factors</w:t>
      </w:r>
    </w:p>
    <w:p w14:paraId="695DD27E" w14:textId="77777777" w:rsidR="00C732E5" w:rsidRPr="00C732E5" w:rsidRDefault="00C732E5" w:rsidP="00C732E5">
      <w:pPr>
        <w:spacing w:before="100" w:beforeAutospacing="1" w:after="100" w:afterAutospacing="1" w:line="240" w:lineRule="auto"/>
        <w:rPr>
          <w:rFonts w:eastAsia="Times New Roman" w:cs="Times New Roman"/>
          <w:kern w:val="0"/>
          <w:sz w:val="24"/>
          <w:szCs w:val="24"/>
          <w:lang w:eastAsia="en-IN"/>
          <w14:ligatures w14:val="none"/>
        </w:rPr>
      </w:pPr>
      <w:r w:rsidRPr="00C732E5">
        <w:rPr>
          <w:rFonts w:eastAsia="Times New Roman" w:cs="Times New Roman"/>
          <w:kern w:val="0"/>
          <w:sz w:val="24"/>
          <w:szCs w:val="24"/>
          <w:lang w:eastAsia="en-IN"/>
          <w14:ligatures w14:val="none"/>
        </w:rPr>
        <w:t>Economic factors significantly impact home equity loans and HELOCs. Federal Reserve policies and market conditions affect interest rates, influencing borrowing costs. Fluctuations in home prices affect equity levels and loan-to-value ratios, while employment rates impact borrowers' ability to qualify for and repay loans.</w:t>
      </w:r>
    </w:p>
    <w:p w14:paraId="4F61229C" w14:textId="77777777" w:rsidR="00C732E5" w:rsidRPr="00C732E5" w:rsidRDefault="00C732E5" w:rsidP="00C732E5">
      <w:pPr>
        <w:pStyle w:val="Heading2"/>
        <w:rPr>
          <w:rFonts w:eastAsia="Times New Roman"/>
          <w:lang w:eastAsia="en-IN"/>
        </w:rPr>
      </w:pPr>
      <w:r w:rsidRPr="00C732E5">
        <w:rPr>
          <w:rFonts w:eastAsia="Times New Roman"/>
          <w:lang w:eastAsia="en-IN"/>
        </w:rPr>
        <w:t>10. Case Studies and Examples</w:t>
      </w:r>
    </w:p>
    <w:p w14:paraId="5C7997A8" w14:textId="77777777" w:rsidR="00C732E5" w:rsidRPr="00C732E5" w:rsidRDefault="00C732E5" w:rsidP="00C732E5">
      <w:pPr>
        <w:spacing w:before="100" w:beforeAutospacing="1" w:after="100" w:afterAutospacing="1" w:line="240" w:lineRule="auto"/>
        <w:outlineLvl w:val="4"/>
        <w:rPr>
          <w:rFonts w:eastAsia="Times New Roman" w:cs="Times New Roman"/>
          <w:b/>
          <w:bCs/>
          <w:kern w:val="0"/>
          <w:sz w:val="24"/>
          <w:szCs w:val="24"/>
          <w:lang w:eastAsia="en-IN"/>
          <w14:ligatures w14:val="none"/>
        </w:rPr>
      </w:pPr>
      <w:r w:rsidRPr="00C732E5">
        <w:rPr>
          <w:rFonts w:eastAsia="Times New Roman" w:cs="Times New Roman"/>
          <w:b/>
          <w:bCs/>
          <w:kern w:val="0"/>
          <w:sz w:val="24"/>
          <w:szCs w:val="24"/>
          <w:lang w:eastAsia="en-IN"/>
          <w14:ligatures w14:val="none"/>
        </w:rPr>
        <w:t>Case Study 1: Kitchen Renovation with a Home Equity Loan</w:t>
      </w:r>
    </w:p>
    <w:p w14:paraId="3FBBF1D5" w14:textId="77777777" w:rsidR="00C732E5" w:rsidRPr="00C732E5" w:rsidRDefault="00C732E5" w:rsidP="00C732E5">
      <w:pPr>
        <w:spacing w:before="100" w:beforeAutospacing="1" w:after="100" w:afterAutospacing="1" w:line="240" w:lineRule="auto"/>
        <w:rPr>
          <w:rFonts w:eastAsia="Times New Roman" w:cs="Times New Roman"/>
          <w:kern w:val="0"/>
          <w:sz w:val="24"/>
          <w:szCs w:val="24"/>
          <w:lang w:eastAsia="en-IN"/>
          <w14:ligatures w14:val="none"/>
        </w:rPr>
      </w:pPr>
      <w:r w:rsidRPr="00C732E5">
        <w:rPr>
          <w:rFonts w:eastAsia="Times New Roman" w:cs="Times New Roman"/>
          <w:kern w:val="0"/>
          <w:sz w:val="24"/>
          <w:szCs w:val="24"/>
          <w:lang w:eastAsia="en-IN"/>
          <w14:ligatures w14:val="none"/>
        </w:rPr>
        <w:t>John and Lisa, a married couple from Ohio, decided to renovate their outdated kitchen. They estimated the renovation would cost around $50,000. Instead of using high-interest credit cards, they opted for a home equity loan. With their home's market value at $300,000 and an outstanding mortgage balance of $150,000, they had $150,000 in equity. They secured a home equity loan for $50,000 at a fixed interest rate of 4.5% over 15 years. The fixed monthly payments and lower interest rate made it a cost-effective way to finance their renovation. The renovation increased their home's value by approximately $75,000, making the investment worthwhile.</w:t>
      </w:r>
    </w:p>
    <w:p w14:paraId="28393E24" w14:textId="77777777" w:rsidR="00C732E5" w:rsidRPr="00C732E5" w:rsidRDefault="00C732E5" w:rsidP="00C732E5">
      <w:pPr>
        <w:spacing w:before="100" w:beforeAutospacing="1" w:after="100" w:afterAutospacing="1" w:line="240" w:lineRule="auto"/>
        <w:outlineLvl w:val="4"/>
        <w:rPr>
          <w:rFonts w:eastAsia="Times New Roman" w:cs="Times New Roman"/>
          <w:b/>
          <w:bCs/>
          <w:kern w:val="0"/>
          <w:sz w:val="24"/>
          <w:szCs w:val="24"/>
          <w:lang w:eastAsia="en-IN"/>
          <w14:ligatures w14:val="none"/>
        </w:rPr>
      </w:pPr>
      <w:r w:rsidRPr="00C732E5">
        <w:rPr>
          <w:rFonts w:eastAsia="Times New Roman" w:cs="Times New Roman"/>
          <w:b/>
          <w:bCs/>
          <w:kern w:val="0"/>
          <w:sz w:val="24"/>
          <w:szCs w:val="24"/>
          <w:lang w:eastAsia="en-IN"/>
          <w14:ligatures w14:val="none"/>
        </w:rPr>
        <w:t>Case Study 2: Debt Consolidation with a HELOC</w:t>
      </w:r>
    </w:p>
    <w:p w14:paraId="3711A2AD" w14:textId="77777777" w:rsidR="00C732E5" w:rsidRPr="00C732E5" w:rsidRDefault="00C732E5" w:rsidP="00C732E5">
      <w:pPr>
        <w:spacing w:before="100" w:beforeAutospacing="1" w:after="100" w:afterAutospacing="1" w:line="240" w:lineRule="auto"/>
        <w:rPr>
          <w:rFonts w:eastAsia="Times New Roman" w:cs="Times New Roman"/>
          <w:kern w:val="0"/>
          <w:sz w:val="24"/>
          <w:szCs w:val="24"/>
          <w:lang w:eastAsia="en-IN"/>
          <w14:ligatures w14:val="none"/>
        </w:rPr>
      </w:pPr>
      <w:r w:rsidRPr="00C732E5">
        <w:rPr>
          <w:rFonts w:eastAsia="Times New Roman" w:cs="Times New Roman"/>
          <w:kern w:val="0"/>
          <w:sz w:val="24"/>
          <w:szCs w:val="24"/>
          <w:lang w:eastAsia="en-IN"/>
          <w14:ligatures w14:val="none"/>
        </w:rPr>
        <w:t>Sarah, a single mother from California, had accumulated $30,000 in credit card debt with interest rates averaging 18%. Struggling to manage multiple payments, she looked for a solution. With her home valued at $400,000 and a remaining mortgage balance of $250,000, she had $150,000 in equity. Sarah opened a HELOC with a $40,000 limit at a variable interest rate starting at 3.75%. She used $30,000 from the HELOC to pay off her credit card debt. By consolidating her debt, Sarah reduced her monthly payments and interest expenses, helping her gain financial stability.</w:t>
      </w:r>
    </w:p>
    <w:p w14:paraId="464B6818" w14:textId="77777777" w:rsidR="001B293F" w:rsidRDefault="001B293F">
      <w:pPr>
        <w:rPr>
          <w:rFonts w:eastAsia="Times New Roman" w:cs="Times New Roman"/>
          <w:b/>
          <w:bCs/>
          <w:kern w:val="0"/>
          <w:sz w:val="24"/>
          <w:szCs w:val="24"/>
          <w:lang w:eastAsia="en-IN"/>
          <w14:ligatures w14:val="none"/>
        </w:rPr>
      </w:pPr>
      <w:r>
        <w:rPr>
          <w:rFonts w:eastAsia="Times New Roman" w:cs="Times New Roman"/>
          <w:b/>
          <w:bCs/>
          <w:kern w:val="0"/>
          <w:sz w:val="24"/>
          <w:szCs w:val="24"/>
          <w:lang w:eastAsia="en-IN"/>
          <w14:ligatures w14:val="none"/>
        </w:rPr>
        <w:br w:type="page"/>
      </w:r>
    </w:p>
    <w:p w14:paraId="3A9A9825" w14:textId="5D70AA8A" w:rsidR="00C732E5" w:rsidRPr="00C732E5" w:rsidRDefault="00C732E5" w:rsidP="00C732E5">
      <w:pPr>
        <w:spacing w:before="100" w:beforeAutospacing="1" w:after="100" w:afterAutospacing="1" w:line="240" w:lineRule="auto"/>
        <w:outlineLvl w:val="4"/>
        <w:rPr>
          <w:rFonts w:eastAsia="Times New Roman" w:cs="Times New Roman"/>
          <w:b/>
          <w:bCs/>
          <w:kern w:val="0"/>
          <w:sz w:val="24"/>
          <w:szCs w:val="24"/>
          <w:lang w:eastAsia="en-IN"/>
          <w14:ligatures w14:val="none"/>
        </w:rPr>
      </w:pPr>
      <w:r w:rsidRPr="00C732E5">
        <w:rPr>
          <w:rFonts w:eastAsia="Times New Roman" w:cs="Times New Roman"/>
          <w:b/>
          <w:bCs/>
          <w:kern w:val="0"/>
          <w:sz w:val="24"/>
          <w:szCs w:val="24"/>
          <w:lang w:eastAsia="en-IN"/>
          <w14:ligatures w14:val="none"/>
        </w:rPr>
        <w:lastRenderedPageBreak/>
        <w:t>Case Study 3: Business Startup with a HELOC</w:t>
      </w:r>
    </w:p>
    <w:p w14:paraId="57CBA05A" w14:textId="77777777" w:rsidR="00C732E5" w:rsidRDefault="00C732E5" w:rsidP="00C732E5">
      <w:pPr>
        <w:spacing w:before="100" w:beforeAutospacing="1" w:after="100" w:afterAutospacing="1" w:line="240" w:lineRule="auto"/>
        <w:rPr>
          <w:rFonts w:eastAsia="Times New Roman" w:cs="Times New Roman"/>
          <w:kern w:val="0"/>
          <w:sz w:val="24"/>
          <w:szCs w:val="24"/>
          <w:lang w:eastAsia="en-IN"/>
          <w14:ligatures w14:val="none"/>
        </w:rPr>
      </w:pPr>
      <w:r w:rsidRPr="00C732E5">
        <w:rPr>
          <w:rFonts w:eastAsia="Times New Roman" w:cs="Times New Roman"/>
          <w:kern w:val="0"/>
          <w:sz w:val="24"/>
          <w:szCs w:val="24"/>
          <w:lang w:eastAsia="en-IN"/>
          <w14:ligatures w14:val="none"/>
        </w:rPr>
        <w:t>Mike, an aspiring entrepreneur from Texas, wanted to start a small tech company but needed $100,000 in initial capital. His home was valued at $500,000 with a mortgage balance of $200,000, giving him $300,000 in equity. Mike opted for a HELOC with a $150,000 limit at an initial variable interest rate of 4%. He used $100,000 from the HELOC to fund his startup. The flexibility of the HELOC allowed him to draw funds as needed, and the interest-only payments during the draw period helped him manage cash flow in the early stages of his business. The business grew, and within five years, Mike was able to repay the HELOC from his profits.</w:t>
      </w:r>
    </w:p>
    <w:p w14:paraId="350EDFBA" w14:textId="187D6CD0" w:rsidR="001B293F" w:rsidRDefault="001B293F" w:rsidP="001B293F">
      <w:pPr>
        <w:pStyle w:val="Heading1"/>
        <w:rPr>
          <w:rFonts w:eastAsia="Times New Roman"/>
          <w:lang w:eastAsia="en-IN"/>
        </w:rPr>
      </w:pPr>
      <w:r>
        <w:rPr>
          <w:rFonts w:eastAsia="Times New Roman"/>
          <w:lang w:eastAsia="en-IN"/>
        </w:rPr>
        <w:t xml:space="preserve">Data tables related to </w:t>
      </w:r>
      <w:r w:rsidRPr="001B293F">
        <w:rPr>
          <w:rFonts w:eastAsia="Times New Roman"/>
          <w:lang w:eastAsia="en-IN"/>
        </w:rPr>
        <w:t>Home Equity Loans and Lines of Credit</w:t>
      </w:r>
    </w:p>
    <w:p w14:paraId="2C440070" w14:textId="63F4E5BF" w:rsidR="001B293F" w:rsidRPr="001B293F" w:rsidRDefault="001B293F" w:rsidP="001B293F">
      <w:pPr>
        <w:pStyle w:val="Heading2"/>
        <w:rPr>
          <w:rFonts w:eastAsia="Times New Roman"/>
          <w:lang w:eastAsia="en-IN"/>
        </w:rPr>
      </w:pPr>
      <w:r w:rsidRPr="001B293F">
        <w:rPr>
          <w:rFonts w:eastAsia="Times New Roman"/>
          <w:lang w:eastAsia="en-IN"/>
        </w:rPr>
        <w:t>Usage of Home Equity Loans and HELOCs by Purpose (2023)</w:t>
      </w:r>
    </w:p>
    <w:tbl>
      <w:tblPr>
        <w:tblStyle w:val="TableGrid"/>
        <w:tblW w:w="5451" w:type="dxa"/>
        <w:tblLook w:val="04A0" w:firstRow="1" w:lastRow="0" w:firstColumn="1" w:lastColumn="0" w:noHBand="0" w:noVBand="1"/>
      </w:tblPr>
      <w:tblGrid>
        <w:gridCol w:w="1999"/>
        <w:gridCol w:w="1726"/>
        <w:gridCol w:w="1726"/>
      </w:tblGrid>
      <w:tr w:rsidR="001B293F" w:rsidRPr="001B293F" w14:paraId="188F389B" w14:textId="77777777" w:rsidTr="001B293F">
        <w:trPr>
          <w:trHeight w:val="746"/>
        </w:trPr>
        <w:tc>
          <w:tcPr>
            <w:tcW w:w="1999" w:type="dxa"/>
            <w:hideMark/>
          </w:tcPr>
          <w:p w14:paraId="2ED1497B" w14:textId="19B7A94B" w:rsidR="001B293F" w:rsidRPr="001B293F" w:rsidRDefault="001B293F" w:rsidP="001B293F">
            <w:pPr>
              <w:jc w:val="center"/>
              <w:rPr>
                <w:rFonts w:ascii="Aptos Narrow" w:eastAsia="Times New Roman" w:hAnsi="Aptos Narrow" w:cs="Times New Roman"/>
                <w:b/>
                <w:bCs/>
                <w:color w:val="000000"/>
                <w:kern w:val="0"/>
                <w:sz w:val="24"/>
                <w:szCs w:val="24"/>
                <w:lang w:eastAsia="en-IN"/>
                <w14:ligatures w14:val="none"/>
              </w:rPr>
            </w:pPr>
            <w:r w:rsidRPr="001B293F">
              <w:rPr>
                <w:rFonts w:ascii="Aptos Narrow" w:eastAsia="Times New Roman" w:hAnsi="Aptos Narrow" w:cs="Times New Roman"/>
                <w:b/>
                <w:bCs/>
                <w:color w:val="000000"/>
                <w:kern w:val="0"/>
                <w:sz w:val="24"/>
                <w:szCs w:val="24"/>
                <w:lang w:eastAsia="en-IN"/>
                <w14:ligatures w14:val="none"/>
              </w:rPr>
              <w:t>Purpose</w:t>
            </w:r>
          </w:p>
        </w:tc>
        <w:tc>
          <w:tcPr>
            <w:tcW w:w="1726" w:type="dxa"/>
            <w:hideMark/>
          </w:tcPr>
          <w:p w14:paraId="2DFCAFB4" w14:textId="77777777" w:rsidR="001B293F" w:rsidRPr="001B293F" w:rsidRDefault="001B293F" w:rsidP="001B293F">
            <w:pPr>
              <w:jc w:val="center"/>
              <w:rPr>
                <w:rFonts w:ascii="Aptos Narrow" w:eastAsia="Times New Roman" w:hAnsi="Aptos Narrow" w:cs="Times New Roman"/>
                <w:b/>
                <w:bCs/>
                <w:color w:val="000000"/>
                <w:kern w:val="0"/>
                <w:sz w:val="24"/>
                <w:szCs w:val="24"/>
                <w:lang w:eastAsia="en-IN"/>
                <w14:ligatures w14:val="none"/>
              </w:rPr>
            </w:pPr>
            <w:r w:rsidRPr="001B293F">
              <w:rPr>
                <w:rFonts w:ascii="Aptos Narrow" w:eastAsia="Times New Roman" w:hAnsi="Aptos Narrow" w:cs="Times New Roman"/>
                <w:b/>
                <w:bCs/>
                <w:color w:val="000000"/>
                <w:kern w:val="0"/>
                <w:sz w:val="24"/>
                <w:szCs w:val="24"/>
                <w:lang w:eastAsia="en-IN"/>
                <w14:ligatures w14:val="none"/>
              </w:rPr>
              <w:t>Percentage of Home Equity Loans (%)</w:t>
            </w:r>
          </w:p>
        </w:tc>
        <w:tc>
          <w:tcPr>
            <w:tcW w:w="1726" w:type="dxa"/>
            <w:hideMark/>
          </w:tcPr>
          <w:p w14:paraId="51ED52D3" w14:textId="77777777" w:rsidR="001B293F" w:rsidRPr="001B293F" w:rsidRDefault="001B293F" w:rsidP="001B293F">
            <w:pPr>
              <w:jc w:val="center"/>
              <w:rPr>
                <w:rFonts w:ascii="Aptos Narrow" w:eastAsia="Times New Roman" w:hAnsi="Aptos Narrow" w:cs="Times New Roman"/>
                <w:b/>
                <w:bCs/>
                <w:color w:val="000000"/>
                <w:kern w:val="0"/>
                <w:sz w:val="24"/>
                <w:szCs w:val="24"/>
                <w:lang w:eastAsia="en-IN"/>
                <w14:ligatures w14:val="none"/>
              </w:rPr>
            </w:pPr>
            <w:r w:rsidRPr="001B293F">
              <w:rPr>
                <w:rFonts w:ascii="Aptos Narrow" w:eastAsia="Times New Roman" w:hAnsi="Aptos Narrow" w:cs="Times New Roman"/>
                <w:b/>
                <w:bCs/>
                <w:color w:val="000000"/>
                <w:kern w:val="0"/>
                <w:sz w:val="24"/>
                <w:szCs w:val="24"/>
                <w:lang w:eastAsia="en-IN"/>
                <w14:ligatures w14:val="none"/>
              </w:rPr>
              <w:t>Percentage of HELOCs (%)</w:t>
            </w:r>
          </w:p>
        </w:tc>
      </w:tr>
      <w:tr w:rsidR="001B293F" w:rsidRPr="001B293F" w14:paraId="44DB3CDC" w14:textId="77777777" w:rsidTr="001B293F">
        <w:trPr>
          <w:trHeight w:val="373"/>
        </w:trPr>
        <w:tc>
          <w:tcPr>
            <w:tcW w:w="1999" w:type="dxa"/>
            <w:hideMark/>
          </w:tcPr>
          <w:p w14:paraId="497B3E84" w14:textId="62BAB8B2" w:rsidR="001B293F" w:rsidRPr="001B293F" w:rsidRDefault="001B293F" w:rsidP="001B293F">
            <w:pPr>
              <w:rPr>
                <w:rFonts w:ascii="Aptos Narrow" w:eastAsia="Times New Roman" w:hAnsi="Aptos Narrow" w:cs="Times New Roman"/>
                <w:color w:val="000000"/>
                <w:kern w:val="0"/>
                <w:sz w:val="24"/>
                <w:szCs w:val="24"/>
                <w:lang w:eastAsia="en-IN"/>
                <w14:ligatures w14:val="none"/>
              </w:rPr>
            </w:pPr>
            <w:r w:rsidRPr="001B293F">
              <w:rPr>
                <w:rFonts w:ascii="Aptos Narrow" w:eastAsia="Times New Roman" w:hAnsi="Aptos Narrow" w:cs="Times New Roman"/>
                <w:color w:val="000000"/>
                <w:kern w:val="0"/>
                <w:sz w:val="24"/>
                <w:szCs w:val="24"/>
                <w:lang w:eastAsia="en-IN"/>
                <w14:ligatures w14:val="none"/>
              </w:rPr>
              <w:t>Home Improvement</w:t>
            </w:r>
          </w:p>
        </w:tc>
        <w:tc>
          <w:tcPr>
            <w:tcW w:w="1726" w:type="dxa"/>
            <w:hideMark/>
          </w:tcPr>
          <w:p w14:paraId="181A2E3D" w14:textId="77777777" w:rsidR="001B293F" w:rsidRPr="001B293F" w:rsidRDefault="001B293F" w:rsidP="001B293F">
            <w:pPr>
              <w:jc w:val="right"/>
              <w:rPr>
                <w:rFonts w:ascii="Aptos Narrow" w:eastAsia="Times New Roman" w:hAnsi="Aptos Narrow" w:cs="Times New Roman"/>
                <w:color w:val="000000"/>
                <w:kern w:val="0"/>
                <w:sz w:val="24"/>
                <w:szCs w:val="24"/>
                <w:lang w:eastAsia="en-IN"/>
                <w14:ligatures w14:val="none"/>
              </w:rPr>
            </w:pPr>
            <w:r w:rsidRPr="001B293F">
              <w:rPr>
                <w:rFonts w:ascii="Aptos Narrow" w:eastAsia="Times New Roman" w:hAnsi="Aptos Narrow" w:cs="Times New Roman"/>
                <w:color w:val="000000"/>
                <w:kern w:val="0"/>
                <w:sz w:val="24"/>
                <w:szCs w:val="24"/>
                <w:lang w:eastAsia="en-IN"/>
                <w14:ligatures w14:val="none"/>
              </w:rPr>
              <w:t>40</w:t>
            </w:r>
          </w:p>
        </w:tc>
        <w:tc>
          <w:tcPr>
            <w:tcW w:w="1726" w:type="dxa"/>
            <w:hideMark/>
          </w:tcPr>
          <w:p w14:paraId="3F6C9D4C" w14:textId="77777777" w:rsidR="001B293F" w:rsidRPr="001B293F" w:rsidRDefault="001B293F" w:rsidP="001B293F">
            <w:pPr>
              <w:jc w:val="right"/>
              <w:rPr>
                <w:rFonts w:ascii="Aptos Narrow" w:eastAsia="Times New Roman" w:hAnsi="Aptos Narrow" w:cs="Times New Roman"/>
                <w:color w:val="000000"/>
                <w:kern w:val="0"/>
                <w:sz w:val="24"/>
                <w:szCs w:val="24"/>
                <w:lang w:eastAsia="en-IN"/>
                <w14:ligatures w14:val="none"/>
              </w:rPr>
            </w:pPr>
            <w:r w:rsidRPr="001B293F">
              <w:rPr>
                <w:rFonts w:ascii="Aptos Narrow" w:eastAsia="Times New Roman" w:hAnsi="Aptos Narrow" w:cs="Times New Roman"/>
                <w:color w:val="000000"/>
                <w:kern w:val="0"/>
                <w:sz w:val="24"/>
                <w:szCs w:val="24"/>
                <w:lang w:eastAsia="en-IN"/>
                <w14:ligatures w14:val="none"/>
              </w:rPr>
              <w:t>45</w:t>
            </w:r>
          </w:p>
        </w:tc>
      </w:tr>
      <w:tr w:rsidR="001B293F" w:rsidRPr="001B293F" w14:paraId="1025685B" w14:textId="77777777" w:rsidTr="001B293F">
        <w:trPr>
          <w:trHeight w:val="373"/>
        </w:trPr>
        <w:tc>
          <w:tcPr>
            <w:tcW w:w="1999" w:type="dxa"/>
            <w:hideMark/>
          </w:tcPr>
          <w:p w14:paraId="29BA8C01" w14:textId="68CB1C34" w:rsidR="001B293F" w:rsidRPr="001B293F" w:rsidRDefault="001B293F" w:rsidP="001B293F">
            <w:pPr>
              <w:rPr>
                <w:rFonts w:ascii="Aptos Narrow" w:eastAsia="Times New Roman" w:hAnsi="Aptos Narrow" w:cs="Times New Roman"/>
                <w:color w:val="000000"/>
                <w:kern w:val="0"/>
                <w:sz w:val="24"/>
                <w:szCs w:val="24"/>
                <w:lang w:eastAsia="en-IN"/>
                <w14:ligatures w14:val="none"/>
              </w:rPr>
            </w:pPr>
            <w:r w:rsidRPr="001B293F">
              <w:rPr>
                <w:rFonts w:ascii="Aptos Narrow" w:eastAsia="Times New Roman" w:hAnsi="Aptos Narrow" w:cs="Times New Roman"/>
                <w:color w:val="000000"/>
                <w:kern w:val="0"/>
                <w:sz w:val="24"/>
                <w:szCs w:val="24"/>
                <w:lang w:eastAsia="en-IN"/>
                <w14:ligatures w14:val="none"/>
              </w:rPr>
              <w:t>Debt Consolidation</w:t>
            </w:r>
          </w:p>
        </w:tc>
        <w:tc>
          <w:tcPr>
            <w:tcW w:w="1726" w:type="dxa"/>
            <w:hideMark/>
          </w:tcPr>
          <w:p w14:paraId="7499D229" w14:textId="77777777" w:rsidR="001B293F" w:rsidRPr="001B293F" w:rsidRDefault="001B293F" w:rsidP="001B293F">
            <w:pPr>
              <w:jc w:val="right"/>
              <w:rPr>
                <w:rFonts w:ascii="Aptos Narrow" w:eastAsia="Times New Roman" w:hAnsi="Aptos Narrow" w:cs="Times New Roman"/>
                <w:color w:val="000000"/>
                <w:kern w:val="0"/>
                <w:sz w:val="24"/>
                <w:szCs w:val="24"/>
                <w:lang w:eastAsia="en-IN"/>
                <w14:ligatures w14:val="none"/>
              </w:rPr>
            </w:pPr>
            <w:r w:rsidRPr="001B293F">
              <w:rPr>
                <w:rFonts w:ascii="Aptos Narrow" w:eastAsia="Times New Roman" w:hAnsi="Aptos Narrow" w:cs="Times New Roman"/>
                <w:color w:val="000000"/>
                <w:kern w:val="0"/>
                <w:sz w:val="24"/>
                <w:szCs w:val="24"/>
                <w:lang w:eastAsia="en-IN"/>
                <w14:ligatures w14:val="none"/>
              </w:rPr>
              <w:t>35</w:t>
            </w:r>
          </w:p>
        </w:tc>
        <w:tc>
          <w:tcPr>
            <w:tcW w:w="1726" w:type="dxa"/>
            <w:hideMark/>
          </w:tcPr>
          <w:p w14:paraId="4C2059E4" w14:textId="77777777" w:rsidR="001B293F" w:rsidRPr="001B293F" w:rsidRDefault="001B293F" w:rsidP="001B293F">
            <w:pPr>
              <w:jc w:val="right"/>
              <w:rPr>
                <w:rFonts w:ascii="Aptos Narrow" w:eastAsia="Times New Roman" w:hAnsi="Aptos Narrow" w:cs="Times New Roman"/>
                <w:color w:val="000000"/>
                <w:kern w:val="0"/>
                <w:sz w:val="24"/>
                <w:szCs w:val="24"/>
                <w:lang w:eastAsia="en-IN"/>
                <w14:ligatures w14:val="none"/>
              </w:rPr>
            </w:pPr>
            <w:r w:rsidRPr="001B293F">
              <w:rPr>
                <w:rFonts w:ascii="Aptos Narrow" w:eastAsia="Times New Roman" w:hAnsi="Aptos Narrow" w:cs="Times New Roman"/>
                <w:color w:val="000000"/>
                <w:kern w:val="0"/>
                <w:sz w:val="24"/>
                <w:szCs w:val="24"/>
                <w:lang w:eastAsia="en-IN"/>
                <w14:ligatures w14:val="none"/>
              </w:rPr>
              <w:t>30</w:t>
            </w:r>
          </w:p>
        </w:tc>
      </w:tr>
      <w:tr w:rsidR="001B293F" w:rsidRPr="001B293F" w14:paraId="7BEB34A0" w14:textId="77777777" w:rsidTr="001B293F">
        <w:trPr>
          <w:trHeight w:val="746"/>
        </w:trPr>
        <w:tc>
          <w:tcPr>
            <w:tcW w:w="1999" w:type="dxa"/>
            <w:hideMark/>
          </w:tcPr>
          <w:p w14:paraId="06212D73" w14:textId="2397454B" w:rsidR="001B293F" w:rsidRPr="001B293F" w:rsidRDefault="001B293F" w:rsidP="001B293F">
            <w:pPr>
              <w:rPr>
                <w:rFonts w:ascii="Aptos Narrow" w:eastAsia="Times New Roman" w:hAnsi="Aptos Narrow" w:cs="Times New Roman"/>
                <w:color w:val="000000"/>
                <w:kern w:val="0"/>
                <w:sz w:val="24"/>
                <w:szCs w:val="24"/>
                <w:lang w:eastAsia="en-IN"/>
                <w14:ligatures w14:val="none"/>
              </w:rPr>
            </w:pPr>
            <w:r w:rsidRPr="001B293F">
              <w:rPr>
                <w:rFonts w:ascii="Aptos Narrow" w:eastAsia="Times New Roman" w:hAnsi="Aptos Narrow" w:cs="Times New Roman"/>
                <w:color w:val="000000"/>
                <w:kern w:val="0"/>
                <w:sz w:val="24"/>
                <w:szCs w:val="24"/>
                <w:lang w:eastAsia="en-IN"/>
                <w14:ligatures w14:val="none"/>
              </w:rPr>
              <w:t>Major Expenses (e.g., Education, Medical)</w:t>
            </w:r>
          </w:p>
        </w:tc>
        <w:tc>
          <w:tcPr>
            <w:tcW w:w="1726" w:type="dxa"/>
            <w:hideMark/>
          </w:tcPr>
          <w:p w14:paraId="41D945B5" w14:textId="77777777" w:rsidR="001B293F" w:rsidRPr="001B293F" w:rsidRDefault="001B293F" w:rsidP="001B293F">
            <w:pPr>
              <w:jc w:val="right"/>
              <w:rPr>
                <w:rFonts w:ascii="Aptos Narrow" w:eastAsia="Times New Roman" w:hAnsi="Aptos Narrow" w:cs="Times New Roman"/>
                <w:color w:val="000000"/>
                <w:kern w:val="0"/>
                <w:sz w:val="24"/>
                <w:szCs w:val="24"/>
                <w:lang w:eastAsia="en-IN"/>
                <w14:ligatures w14:val="none"/>
              </w:rPr>
            </w:pPr>
            <w:r w:rsidRPr="001B293F">
              <w:rPr>
                <w:rFonts w:ascii="Aptos Narrow" w:eastAsia="Times New Roman" w:hAnsi="Aptos Narrow" w:cs="Times New Roman"/>
                <w:color w:val="000000"/>
                <w:kern w:val="0"/>
                <w:sz w:val="24"/>
                <w:szCs w:val="24"/>
                <w:lang w:eastAsia="en-IN"/>
                <w14:ligatures w14:val="none"/>
              </w:rPr>
              <w:t>15</w:t>
            </w:r>
          </w:p>
        </w:tc>
        <w:tc>
          <w:tcPr>
            <w:tcW w:w="1726" w:type="dxa"/>
            <w:hideMark/>
          </w:tcPr>
          <w:p w14:paraId="4753FBAF" w14:textId="77777777" w:rsidR="001B293F" w:rsidRPr="001B293F" w:rsidRDefault="001B293F" w:rsidP="001B293F">
            <w:pPr>
              <w:jc w:val="right"/>
              <w:rPr>
                <w:rFonts w:ascii="Aptos Narrow" w:eastAsia="Times New Roman" w:hAnsi="Aptos Narrow" w:cs="Times New Roman"/>
                <w:color w:val="000000"/>
                <w:kern w:val="0"/>
                <w:sz w:val="24"/>
                <w:szCs w:val="24"/>
                <w:lang w:eastAsia="en-IN"/>
                <w14:ligatures w14:val="none"/>
              </w:rPr>
            </w:pPr>
            <w:r w:rsidRPr="001B293F">
              <w:rPr>
                <w:rFonts w:ascii="Aptos Narrow" w:eastAsia="Times New Roman" w:hAnsi="Aptos Narrow" w:cs="Times New Roman"/>
                <w:color w:val="000000"/>
                <w:kern w:val="0"/>
                <w:sz w:val="24"/>
                <w:szCs w:val="24"/>
                <w:lang w:eastAsia="en-IN"/>
                <w14:ligatures w14:val="none"/>
              </w:rPr>
              <w:t>10</w:t>
            </w:r>
          </w:p>
        </w:tc>
      </w:tr>
      <w:tr w:rsidR="001B293F" w:rsidRPr="001B293F" w14:paraId="7E50351F" w14:textId="77777777" w:rsidTr="001B293F">
        <w:trPr>
          <w:trHeight w:val="373"/>
        </w:trPr>
        <w:tc>
          <w:tcPr>
            <w:tcW w:w="1999" w:type="dxa"/>
            <w:hideMark/>
          </w:tcPr>
          <w:p w14:paraId="094EC5FB" w14:textId="3E911C55" w:rsidR="001B293F" w:rsidRPr="001B293F" w:rsidRDefault="001B293F" w:rsidP="001B293F">
            <w:pPr>
              <w:rPr>
                <w:rFonts w:ascii="Aptos Narrow" w:eastAsia="Times New Roman" w:hAnsi="Aptos Narrow" w:cs="Times New Roman"/>
                <w:color w:val="000000"/>
                <w:kern w:val="0"/>
                <w:sz w:val="24"/>
                <w:szCs w:val="24"/>
                <w:lang w:eastAsia="en-IN"/>
                <w14:ligatures w14:val="none"/>
              </w:rPr>
            </w:pPr>
            <w:r w:rsidRPr="001B293F">
              <w:rPr>
                <w:rFonts w:ascii="Aptos Narrow" w:eastAsia="Times New Roman" w:hAnsi="Aptos Narrow" w:cs="Times New Roman"/>
                <w:color w:val="000000"/>
                <w:kern w:val="0"/>
                <w:sz w:val="24"/>
                <w:szCs w:val="24"/>
                <w:lang w:eastAsia="en-IN"/>
                <w14:ligatures w14:val="none"/>
              </w:rPr>
              <w:t>Investment (e.g., Business)</w:t>
            </w:r>
          </w:p>
        </w:tc>
        <w:tc>
          <w:tcPr>
            <w:tcW w:w="1726" w:type="dxa"/>
            <w:hideMark/>
          </w:tcPr>
          <w:p w14:paraId="2E0DD85F" w14:textId="77777777" w:rsidR="001B293F" w:rsidRPr="001B293F" w:rsidRDefault="001B293F" w:rsidP="001B293F">
            <w:pPr>
              <w:jc w:val="right"/>
              <w:rPr>
                <w:rFonts w:ascii="Aptos Narrow" w:eastAsia="Times New Roman" w:hAnsi="Aptos Narrow" w:cs="Times New Roman"/>
                <w:color w:val="000000"/>
                <w:kern w:val="0"/>
                <w:sz w:val="24"/>
                <w:szCs w:val="24"/>
                <w:lang w:eastAsia="en-IN"/>
                <w14:ligatures w14:val="none"/>
              </w:rPr>
            </w:pPr>
            <w:r w:rsidRPr="001B293F">
              <w:rPr>
                <w:rFonts w:ascii="Aptos Narrow" w:eastAsia="Times New Roman" w:hAnsi="Aptos Narrow" w:cs="Times New Roman"/>
                <w:color w:val="000000"/>
                <w:kern w:val="0"/>
                <w:sz w:val="24"/>
                <w:szCs w:val="24"/>
                <w:lang w:eastAsia="en-IN"/>
                <w14:ligatures w14:val="none"/>
              </w:rPr>
              <w:t>10</w:t>
            </w:r>
          </w:p>
        </w:tc>
        <w:tc>
          <w:tcPr>
            <w:tcW w:w="1726" w:type="dxa"/>
            <w:hideMark/>
          </w:tcPr>
          <w:p w14:paraId="6432721A" w14:textId="77777777" w:rsidR="001B293F" w:rsidRPr="001B293F" w:rsidRDefault="001B293F" w:rsidP="001B293F">
            <w:pPr>
              <w:jc w:val="right"/>
              <w:rPr>
                <w:rFonts w:ascii="Aptos Narrow" w:eastAsia="Times New Roman" w:hAnsi="Aptos Narrow" w:cs="Times New Roman"/>
                <w:color w:val="000000"/>
                <w:kern w:val="0"/>
                <w:sz w:val="24"/>
                <w:szCs w:val="24"/>
                <w:lang w:eastAsia="en-IN"/>
                <w14:ligatures w14:val="none"/>
              </w:rPr>
            </w:pPr>
            <w:r w:rsidRPr="001B293F">
              <w:rPr>
                <w:rFonts w:ascii="Aptos Narrow" w:eastAsia="Times New Roman" w:hAnsi="Aptos Narrow" w:cs="Times New Roman"/>
                <w:color w:val="000000"/>
                <w:kern w:val="0"/>
                <w:sz w:val="24"/>
                <w:szCs w:val="24"/>
                <w:lang w:eastAsia="en-IN"/>
                <w14:ligatures w14:val="none"/>
              </w:rPr>
              <w:t>15</w:t>
            </w:r>
          </w:p>
        </w:tc>
      </w:tr>
    </w:tbl>
    <w:p w14:paraId="6778BBD5" w14:textId="451EC619" w:rsidR="001B293F" w:rsidRPr="001B293F" w:rsidRDefault="001B293F" w:rsidP="001B293F">
      <w:pPr>
        <w:rPr>
          <w:lang w:eastAsia="en-IN"/>
        </w:rPr>
      </w:pPr>
      <w:r>
        <w:rPr>
          <w:noProof/>
        </w:rPr>
        <w:drawing>
          <wp:anchor distT="0" distB="0" distL="114300" distR="114300" simplePos="0" relativeHeight="251658240" behindDoc="0" locked="0" layoutInCell="1" allowOverlap="1" wp14:anchorId="514867E6" wp14:editId="7724E522">
            <wp:simplePos x="0" y="0"/>
            <wp:positionH relativeFrom="margin">
              <wp:align>right</wp:align>
            </wp:positionH>
            <wp:positionV relativeFrom="paragraph">
              <wp:posOffset>10341</wp:posOffset>
            </wp:positionV>
            <wp:extent cx="5725886" cy="3189515"/>
            <wp:effectExtent l="0" t="0" r="8255" b="11430"/>
            <wp:wrapNone/>
            <wp:docPr id="989447259" name="Chart 1">
              <a:extLst xmlns:a="http://schemas.openxmlformats.org/drawingml/2006/main">
                <a:ext uri="{FF2B5EF4-FFF2-40B4-BE49-F238E27FC236}">
                  <a16:creationId xmlns:a16="http://schemas.microsoft.com/office/drawing/2014/main" id="{B2958AB9-B941-62C6-7CD7-590BEAA69E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p>
    <w:p w14:paraId="4A431C9F" w14:textId="77777777" w:rsidR="001B293F" w:rsidRDefault="001B293F">
      <w:pPr>
        <w:rPr>
          <w:rFonts w:eastAsia="Times New Roman" w:cs="Times New Roman"/>
          <w:b/>
          <w:bCs/>
          <w:kern w:val="0"/>
          <w:sz w:val="24"/>
          <w:szCs w:val="24"/>
          <w:lang w:eastAsia="en-IN"/>
          <w14:ligatures w14:val="none"/>
        </w:rPr>
      </w:pPr>
      <w:r>
        <w:rPr>
          <w:rFonts w:eastAsia="Times New Roman" w:cs="Times New Roman"/>
          <w:b/>
          <w:bCs/>
          <w:kern w:val="0"/>
          <w:sz w:val="24"/>
          <w:szCs w:val="24"/>
          <w:lang w:eastAsia="en-IN"/>
          <w14:ligatures w14:val="none"/>
        </w:rPr>
        <w:br w:type="page"/>
      </w:r>
    </w:p>
    <w:p w14:paraId="01819BDF" w14:textId="160EA0FF" w:rsidR="001B293F" w:rsidRPr="001B293F" w:rsidRDefault="001B293F" w:rsidP="001B293F">
      <w:pPr>
        <w:spacing w:before="100" w:beforeAutospacing="1" w:after="100" w:afterAutospacing="1" w:line="240" w:lineRule="auto"/>
        <w:rPr>
          <w:rFonts w:eastAsia="Times New Roman" w:cs="Times New Roman"/>
          <w:b/>
          <w:bCs/>
          <w:kern w:val="0"/>
          <w:sz w:val="24"/>
          <w:szCs w:val="24"/>
          <w:lang w:eastAsia="en-IN"/>
          <w14:ligatures w14:val="none"/>
        </w:rPr>
      </w:pPr>
      <w:r w:rsidRPr="001B293F">
        <w:rPr>
          <w:rFonts w:eastAsia="Times New Roman" w:cs="Times New Roman"/>
          <w:b/>
          <w:bCs/>
          <w:kern w:val="0"/>
          <w:sz w:val="24"/>
          <w:szCs w:val="24"/>
          <w:lang w:eastAsia="en-IN"/>
          <w14:ligatures w14:val="none"/>
        </w:rPr>
        <w:lastRenderedPageBreak/>
        <w:t>I</w:t>
      </w:r>
      <w:r w:rsidRPr="001B293F">
        <w:rPr>
          <w:rFonts w:eastAsia="Times New Roman" w:cs="Times New Roman"/>
          <w:b/>
          <w:bCs/>
          <w:kern w:val="0"/>
          <w:sz w:val="24"/>
          <w:szCs w:val="24"/>
          <w:lang w:eastAsia="en-IN"/>
          <w14:ligatures w14:val="none"/>
        </w:rPr>
        <w:t>nterpretation of the provided table on the purposes of Home Equity Loans (HELs) and Home Equity Lines of Credit (HELOCs):</w:t>
      </w:r>
    </w:p>
    <w:p w14:paraId="64456C10" w14:textId="77777777" w:rsidR="001B293F" w:rsidRPr="001B293F" w:rsidRDefault="001B293F" w:rsidP="001B293F">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1B293F">
        <w:rPr>
          <w:rFonts w:eastAsia="Times New Roman" w:cs="Times New Roman"/>
          <w:b/>
          <w:bCs/>
          <w:kern w:val="0"/>
          <w:sz w:val="24"/>
          <w:szCs w:val="24"/>
          <w:lang w:eastAsia="en-IN"/>
          <w14:ligatures w14:val="none"/>
        </w:rPr>
        <w:t>Home Improvement:</w:t>
      </w:r>
    </w:p>
    <w:p w14:paraId="564F9F89" w14:textId="77777777" w:rsidR="001B293F" w:rsidRPr="001B293F" w:rsidRDefault="001B293F" w:rsidP="001B293F">
      <w:pPr>
        <w:numPr>
          <w:ilvl w:val="1"/>
          <w:numId w:val="5"/>
        </w:numPr>
        <w:spacing w:before="100" w:beforeAutospacing="1" w:after="100" w:afterAutospacing="1" w:line="240" w:lineRule="auto"/>
        <w:rPr>
          <w:rFonts w:eastAsia="Times New Roman" w:cs="Times New Roman"/>
          <w:kern w:val="0"/>
          <w:sz w:val="24"/>
          <w:szCs w:val="24"/>
          <w:lang w:eastAsia="en-IN"/>
          <w14:ligatures w14:val="none"/>
        </w:rPr>
      </w:pPr>
      <w:r w:rsidRPr="001B293F">
        <w:rPr>
          <w:rFonts w:eastAsia="Times New Roman" w:cs="Times New Roman"/>
          <w:kern w:val="0"/>
          <w:sz w:val="24"/>
          <w:szCs w:val="24"/>
          <w:lang w:eastAsia="en-IN"/>
          <w14:ligatures w14:val="none"/>
        </w:rPr>
        <w:t>HELs: 40%</w:t>
      </w:r>
    </w:p>
    <w:p w14:paraId="47A82FEC" w14:textId="77777777" w:rsidR="001B293F" w:rsidRPr="001B293F" w:rsidRDefault="001B293F" w:rsidP="001B293F">
      <w:pPr>
        <w:numPr>
          <w:ilvl w:val="1"/>
          <w:numId w:val="5"/>
        </w:numPr>
        <w:spacing w:before="100" w:beforeAutospacing="1" w:after="100" w:afterAutospacing="1" w:line="240" w:lineRule="auto"/>
        <w:rPr>
          <w:rFonts w:eastAsia="Times New Roman" w:cs="Times New Roman"/>
          <w:kern w:val="0"/>
          <w:sz w:val="24"/>
          <w:szCs w:val="24"/>
          <w:lang w:eastAsia="en-IN"/>
          <w14:ligatures w14:val="none"/>
        </w:rPr>
      </w:pPr>
      <w:r w:rsidRPr="001B293F">
        <w:rPr>
          <w:rFonts w:eastAsia="Times New Roman" w:cs="Times New Roman"/>
          <w:kern w:val="0"/>
          <w:sz w:val="24"/>
          <w:szCs w:val="24"/>
          <w:lang w:eastAsia="en-IN"/>
          <w14:ligatures w14:val="none"/>
        </w:rPr>
        <w:t>HELOCs: 45%</w:t>
      </w:r>
    </w:p>
    <w:p w14:paraId="1A4352D1" w14:textId="77777777" w:rsidR="001B293F" w:rsidRPr="001B293F" w:rsidRDefault="001B293F" w:rsidP="001B293F">
      <w:pPr>
        <w:numPr>
          <w:ilvl w:val="1"/>
          <w:numId w:val="5"/>
        </w:numPr>
        <w:spacing w:before="100" w:beforeAutospacing="1" w:after="100" w:afterAutospacing="1" w:line="240" w:lineRule="auto"/>
        <w:rPr>
          <w:rFonts w:eastAsia="Times New Roman" w:cs="Times New Roman"/>
          <w:kern w:val="0"/>
          <w:sz w:val="24"/>
          <w:szCs w:val="24"/>
          <w:lang w:eastAsia="en-IN"/>
          <w14:ligatures w14:val="none"/>
        </w:rPr>
      </w:pPr>
      <w:r w:rsidRPr="001B293F">
        <w:rPr>
          <w:rFonts w:eastAsia="Times New Roman" w:cs="Times New Roman"/>
          <w:b/>
          <w:bCs/>
          <w:kern w:val="0"/>
          <w:sz w:val="24"/>
          <w:szCs w:val="24"/>
          <w:lang w:eastAsia="en-IN"/>
          <w14:ligatures w14:val="none"/>
        </w:rPr>
        <w:t>Interpretation:</w:t>
      </w:r>
      <w:r w:rsidRPr="001B293F">
        <w:rPr>
          <w:rFonts w:eastAsia="Times New Roman" w:cs="Times New Roman"/>
          <w:kern w:val="0"/>
          <w:sz w:val="24"/>
          <w:szCs w:val="24"/>
          <w:lang w:eastAsia="en-IN"/>
          <w14:ligatures w14:val="none"/>
        </w:rPr>
        <w:t xml:space="preserve"> Both HELs and HELOCs are commonly used for home improvement projects, with HELOCs slightly more </w:t>
      </w:r>
      <w:proofErr w:type="spellStart"/>
      <w:r w:rsidRPr="001B293F">
        <w:rPr>
          <w:rFonts w:eastAsia="Times New Roman" w:cs="Times New Roman"/>
          <w:kern w:val="0"/>
          <w:sz w:val="24"/>
          <w:szCs w:val="24"/>
          <w:lang w:eastAsia="en-IN"/>
          <w14:ligatures w14:val="none"/>
        </w:rPr>
        <w:t>favored</w:t>
      </w:r>
      <w:proofErr w:type="spellEnd"/>
      <w:r w:rsidRPr="001B293F">
        <w:rPr>
          <w:rFonts w:eastAsia="Times New Roman" w:cs="Times New Roman"/>
          <w:kern w:val="0"/>
          <w:sz w:val="24"/>
          <w:szCs w:val="24"/>
          <w:lang w:eastAsia="en-IN"/>
          <w14:ligatures w14:val="none"/>
        </w:rPr>
        <w:t>.</w:t>
      </w:r>
    </w:p>
    <w:p w14:paraId="23CCECDA" w14:textId="77777777" w:rsidR="001B293F" w:rsidRPr="001B293F" w:rsidRDefault="001B293F" w:rsidP="001B293F">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1B293F">
        <w:rPr>
          <w:rFonts w:eastAsia="Times New Roman" w:cs="Times New Roman"/>
          <w:b/>
          <w:bCs/>
          <w:kern w:val="0"/>
          <w:sz w:val="24"/>
          <w:szCs w:val="24"/>
          <w:lang w:eastAsia="en-IN"/>
          <w14:ligatures w14:val="none"/>
        </w:rPr>
        <w:t>Debt Consolidation:</w:t>
      </w:r>
    </w:p>
    <w:p w14:paraId="07A72145" w14:textId="77777777" w:rsidR="001B293F" w:rsidRPr="001B293F" w:rsidRDefault="001B293F" w:rsidP="001B293F">
      <w:pPr>
        <w:numPr>
          <w:ilvl w:val="1"/>
          <w:numId w:val="5"/>
        </w:numPr>
        <w:spacing w:before="100" w:beforeAutospacing="1" w:after="100" w:afterAutospacing="1" w:line="240" w:lineRule="auto"/>
        <w:rPr>
          <w:rFonts w:eastAsia="Times New Roman" w:cs="Times New Roman"/>
          <w:kern w:val="0"/>
          <w:sz w:val="24"/>
          <w:szCs w:val="24"/>
          <w:lang w:eastAsia="en-IN"/>
          <w14:ligatures w14:val="none"/>
        </w:rPr>
      </w:pPr>
      <w:r w:rsidRPr="001B293F">
        <w:rPr>
          <w:rFonts w:eastAsia="Times New Roman" w:cs="Times New Roman"/>
          <w:kern w:val="0"/>
          <w:sz w:val="24"/>
          <w:szCs w:val="24"/>
          <w:lang w:eastAsia="en-IN"/>
          <w14:ligatures w14:val="none"/>
        </w:rPr>
        <w:t>HELs: 35%</w:t>
      </w:r>
    </w:p>
    <w:p w14:paraId="31B3FEC7" w14:textId="77777777" w:rsidR="001B293F" w:rsidRPr="001B293F" w:rsidRDefault="001B293F" w:rsidP="001B293F">
      <w:pPr>
        <w:numPr>
          <w:ilvl w:val="1"/>
          <w:numId w:val="5"/>
        </w:numPr>
        <w:spacing w:before="100" w:beforeAutospacing="1" w:after="100" w:afterAutospacing="1" w:line="240" w:lineRule="auto"/>
        <w:rPr>
          <w:rFonts w:eastAsia="Times New Roman" w:cs="Times New Roman"/>
          <w:kern w:val="0"/>
          <w:sz w:val="24"/>
          <w:szCs w:val="24"/>
          <w:lang w:eastAsia="en-IN"/>
          <w14:ligatures w14:val="none"/>
        </w:rPr>
      </w:pPr>
      <w:r w:rsidRPr="001B293F">
        <w:rPr>
          <w:rFonts w:eastAsia="Times New Roman" w:cs="Times New Roman"/>
          <w:kern w:val="0"/>
          <w:sz w:val="24"/>
          <w:szCs w:val="24"/>
          <w:lang w:eastAsia="en-IN"/>
          <w14:ligatures w14:val="none"/>
        </w:rPr>
        <w:t>HELOCs: 30%</w:t>
      </w:r>
    </w:p>
    <w:p w14:paraId="6141E04C" w14:textId="77777777" w:rsidR="001B293F" w:rsidRPr="001B293F" w:rsidRDefault="001B293F" w:rsidP="001B293F">
      <w:pPr>
        <w:numPr>
          <w:ilvl w:val="1"/>
          <w:numId w:val="5"/>
        </w:numPr>
        <w:spacing w:before="100" w:beforeAutospacing="1" w:after="100" w:afterAutospacing="1" w:line="240" w:lineRule="auto"/>
        <w:rPr>
          <w:rFonts w:eastAsia="Times New Roman" w:cs="Times New Roman"/>
          <w:kern w:val="0"/>
          <w:sz w:val="24"/>
          <w:szCs w:val="24"/>
          <w:lang w:eastAsia="en-IN"/>
          <w14:ligatures w14:val="none"/>
        </w:rPr>
      </w:pPr>
      <w:r w:rsidRPr="001B293F">
        <w:rPr>
          <w:rFonts w:eastAsia="Times New Roman" w:cs="Times New Roman"/>
          <w:b/>
          <w:bCs/>
          <w:kern w:val="0"/>
          <w:sz w:val="24"/>
          <w:szCs w:val="24"/>
          <w:lang w:eastAsia="en-IN"/>
          <w14:ligatures w14:val="none"/>
        </w:rPr>
        <w:t>Interpretation:</w:t>
      </w:r>
      <w:r w:rsidRPr="001B293F">
        <w:rPr>
          <w:rFonts w:eastAsia="Times New Roman" w:cs="Times New Roman"/>
          <w:kern w:val="0"/>
          <w:sz w:val="24"/>
          <w:szCs w:val="24"/>
          <w:lang w:eastAsia="en-IN"/>
          <w14:ligatures w14:val="none"/>
        </w:rPr>
        <w:t xml:space="preserve"> HELs are often used slightly more than HELOCs for consolidating debts into a single payment.</w:t>
      </w:r>
    </w:p>
    <w:p w14:paraId="3746B2CE" w14:textId="77777777" w:rsidR="001B293F" w:rsidRPr="001B293F" w:rsidRDefault="001B293F" w:rsidP="001B293F">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1B293F">
        <w:rPr>
          <w:rFonts w:eastAsia="Times New Roman" w:cs="Times New Roman"/>
          <w:b/>
          <w:bCs/>
          <w:kern w:val="0"/>
          <w:sz w:val="24"/>
          <w:szCs w:val="24"/>
          <w:lang w:eastAsia="en-IN"/>
          <w14:ligatures w14:val="none"/>
        </w:rPr>
        <w:t>Major Expenses (e.g., Education, Medical):</w:t>
      </w:r>
    </w:p>
    <w:p w14:paraId="2E465198" w14:textId="77777777" w:rsidR="001B293F" w:rsidRPr="001B293F" w:rsidRDefault="001B293F" w:rsidP="001B293F">
      <w:pPr>
        <w:numPr>
          <w:ilvl w:val="1"/>
          <w:numId w:val="5"/>
        </w:numPr>
        <w:spacing w:before="100" w:beforeAutospacing="1" w:after="100" w:afterAutospacing="1" w:line="240" w:lineRule="auto"/>
        <w:rPr>
          <w:rFonts w:eastAsia="Times New Roman" w:cs="Times New Roman"/>
          <w:kern w:val="0"/>
          <w:sz w:val="24"/>
          <w:szCs w:val="24"/>
          <w:lang w:eastAsia="en-IN"/>
          <w14:ligatures w14:val="none"/>
        </w:rPr>
      </w:pPr>
      <w:r w:rsidRPr="001B293F">
        <w:rPr>
          <w:rFonts w:eastAsia="Times New Roman" w:cs="Times New Roman"/>
          <w:kern w:val="0"/>
          <w:sz w:val="24"/>
          <w:szCs w:val="24"/>
          <w:lang w:eastAsia="en-IN"/>
          <w14:ligatures w14:val="none"/>
        </w:rPr>
        <w:t>HELs: 15%</w:t>
      </w:r>
    </w:p>
    <w:p w14:paraId="5AB4F601" w14:textId="77777777" w:rsidR="001B293F" w:rsidRPr="001B293F" w:rsidRDefault="001B293F" w:rsidP="001B293F">
      <w:pPr>
        <w:numPr>
          <w:ilvl w:val="1"/>
          <w:numId w:val="5"/>
        </w:numPr>
        <w:spacing w:before="100" w:beforeAutospacing="1" w:after="100" w:afterAutospacing="1" w:line="240" w:lineRule="auto"/>
        <w:rPr>
          <w:rFonts w:eastAsia="Times New Roman" w:cs="Times New Roman"/>
          <w:kern w:val="0"/>
          <w:sz w:val="24"/>
          <w:szCs w:val="24"/>
          <w:lang w:eastAsia="en-IN"/>
          <w14:ligatures w14:val="none"/>
        </w:rPr>
      </w:pPr>
      <w:r w:rsidRPr="001B293F">
        <w:rPr>
          <w:rFonts w:eastAsia="Times New Roman" w:cs="Times New Roman"/>
          <w:kern w:val="0"/>
          <w:sz w:val="24"/>
          <w:szCs w:val="24"/>
          <w:lang w:eastAsia="en-IN"/>
          <w14:ligatures w14:val="none"/>
        </w:rPr>
        <w:t>HELOCs: 10%</w:t>
      </w:r>
    </w:p>
    <w:p w14:paraId="6B4E70A2" w14:textId="77777777" w:rsidR="001B293F" w:rsidRPr="001B293F" w:rsidRDefault="001B293F" w:rsidP="001B293F">
      <w:pPr>
        <w:numPr>
          <w:ilvl w:val="1"/>
          <w:numId w:val="5"/>
        </w:numPr>
        <w:spacing w:before="100" w:beforeAutospacing="1" w:after="100" w:afterAutospacing="1" w:line="240" w:lineRule="auto"/>
        <w:rPr>
          <w:rFonts w:eastAsia="Times New Roman" w:cs="Times New Roman"/>
          <w:kern w:val="0"/>
          <w:sz w:val="24"/>
          <w:szCs w:val="24"/>
          <w:lang w:eastAsia="en-IN"/>
          <w14:ligatures w14:val="none"/>
        </w:rPr>
      </w:pPr>
      <w:r w:rsidRPr="001B293F">
        <w:rPr>
          <w:rFonts w:eastAsia="Times New Roman" w:cs="Times New Roman"/>
          <w:b/>
          <w:bCs/>
          <w:kern w:val="0"/>
          <w:sz w:val="24"/>
          <w:szCs w:val="24"/>
          <w:lang w:eastAsia="en-IN"/>
          <w14:ligatures w14:val="none"/>
        </w:rPr>
        <w:t>Interpretation:</w:t>
      </w:r>
      <w:r w:rsidRPr="001B293F">
        <w:rPr>
          <w:rFonts w:eastAsia="Times New Roman" w:cs="Times New Roman"/>
          <w:kern w:val="0"/>
          <w:sz w:val="24"/>
          <w:szCs w:val="24"/>
          <w:lang w:eastAsia="en-IN"/>
          <w14:ligatures w14:val="none"/>
        </w:rPr>
        <w:t xml:space="preserve"> HELs are preferred over HELOCs for financing major expenses such as education or medical bills.</w:t>
      </w:r>
    </w:p>
    <w:p w14:paraId="3B43E2C0" w14:textId="77777777" w:rsidR="001B293F" w:rsidRPr="001B293F" w:rsidRDefault="001B293F" w:rsidP="001B293F">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1B293F">
        <w:rPr>
          <w:rFonts w:eastAsia="Times New Roman" w:cs="Times New Roman"/>
          <w:b/>
          <w:bCs/>
          <w:kern w:val="0"/>
          <w:sz w:val="24"/>
          <w:szCs w:val="24"/>
          <w:lang w:eastAsia="en-IN"/>
          <w14:ligatures w14:val="none"/>
        </w:rPr>
        <w:t>Investment (e.g., Business):</w:t>
      </w:r>
    </w:p>
    <w:p w14:paraId="365EA8CE" w14:textId="77777777" w:rsidR="001B293F" w:rsidRPr="001B293F" w:rsidRDefault="001B293F" w:rsidP="001B293F">
      <w:pPr>
        <w:numPr>
          <w:ilvl w:val="1"/>
          <w:numId w:val="5"/>
        </w:numPr>
        <w:spacing w:before="100" w:beforeAutospacing="1" w:after="100" w:afterAutospacing="1" w:line="240" w:lineRule="auto"/>
        <w:rPr>
          <w:rFonts w:eastAsia="Times New Roman" w:cs="Times New Roman"/>
          <w:kern w:val="0"/>
          <w:sz w:val="24"/>
          <w:szCs w:val="24"/>
          <w:lang w:eastAsia="en-IN"/>
          <w14:ligatures w14:val="none"/>
        </w:rPr>
      </w:pPr>
      <w:r w:rsidRPr="001B293F">
        <w:rPr>
          <w:rFonts w:eastAsia="Times New Roman" w:cs="Times New Roman"/>
          <w:kern w:val="0"/>
          <w:sz w:val="24"/>
          <w:szCs w:val="24"/>
          <w:lang w:eastAsia="en-IN"/>
          <w14:ligatures w14:val="none"/>
        </w:rPr>
        <w:t>HELs: 10%</w:t>
      </w:r>
    </w:p>
    <w:p w14:paraId="687EC47F" w14:textId="77777777" w:rsidR="001B293F" w:rsidRPr="001B293F" w:rsidRDefault="001B293F" w:rsidP="001B293F">
      <w:pPr>
        <w:numPr>
          <w:ilvl w:val="1"/>
          <w:numId w:val="5"/>
        </w:numPr>
        <w:spacing w:before="100" w:beforeAutospacing="1" w:after="100" w:afterAutospacing="1" w:line="240" w:lineRule="auto"/>
        <w:rPr>
          <w:rFonts w:eastAsia="Times New Roman" w:cs="Times New Roman"/>
          <w:kern w:val="0"/>
          <w:sz w:val="24"/>
          <w:szCs w:val="24"/>
          <w:lang w:eastAsia="en-IN"/>
          <w14:ligatures w14:val="none"/>
        </w:rPr>
      </w:pPr>
      <w:r w:rsidRPr="001B293F">
        <w:rPr>
          <w:rFonts w:eastAsia="Times New Roman" w:cs="Times New Roman"/>
          <w:kern w:val="0"/>
          <w:sz w:val="24"/>
          <w:szCs w:val="24"/>
          <w:lang w:eastAsia="en-IN"/>
          <w14:ligatures w14:val="none"/>
        </w:rPr>
        <w:t>HELOCs: 15%</w:t>
      </w:r>
    </w:p>
    <w:p w14:paraId="624517EC" w14:textId="77777777" w:rsidR="001B293F" w:rsidRPr="001B293F" w:rsidRDefault="001B293F" w:rsidP="001B293F">
      <w:pPr>
        <w:numPr>
          <w:ilvl w:val="1"/>
          <w:numId w:val="5"/>
        </w:numPr>
        <w:spacing w:before="100" w:beforeAutospacing="1" w:after="100" w:afterAutospacing="1" w:line="240" w:lineRule="auto"/>
        <w:rPr>
          <w:rFonts w:eastAsia="Times New Roman" w:cs="Times New Roman"/>
          <w:kern w:val="0"/>
          <w:sz w:val="24"/>
          <w:szCs w:val="24"/>
          <w:lang w:eastAsia="en-IN"/>
          <w14:ligatures w14:val="none"/>
        </w:rPr>
      </w:pPr>
      <w:r w:rsidRPr="001B293F">
        <w:rPr>
          <w:rFonts w:eastAsia="Times New Roman" w:cs="Times New Roman"/>
          <w:b/>
          <w:bCs/>
          <w:kern w:val="0"/>
          <w:sz w:val="24"/>
          <w:szCs w:val="24"/>
          <w:lang w:eastAsia="en-IN"/>
          <w14:ligatures w14:val="none"/>
        </w:rPr>
        <w:t>Interpretation:</w:t>
      </w:r>
      <w:r w:rsidRPr="001B293F">
        <w:rPr>
          <w:rFonts w:eastAsia="Times New Roman" w:cs="Times New Roman"/>
          <w:kern w:val="0"/>
          <w:sz w:val="24"/>
          <w:szCs w:val="24"/>
          <w:lang w:eastAsia="en-IN"/>
          <w14:ligatures w14:val="none"/>
        </w:rPr>
        <w:t xml:space="preserve"> HELOCs are more commonly used than HELs for investment purposes like starting a business.</w:t>
      </w:r>
    </w:p>
    <w:p w14:paraId="0FB3A622" w14:textId="77777777" w:rsidR="001B293F" w:rsidRPr="001B293F" w:rsidRDefault="001B293F" w:rsidP="001B293F">
      <w:pPr>
        <w:spacing w:before="100" w:beforeAutospacing="1" w:after="100" w:afterAutospacing="1" w:line="240" w:lineRule="auto"/>
        <w:rPr>
          <w:rFonts w:eastAsia="Times New Roman" w:cs="Times New Roman"/>
          <w:kern w:val="0"/>
          <w:sz w:val="24"/>
          <w:szCs w:val="24"/>
          <w:lang w:eastAsia="en-IN"/>
          <w14:ligatures w14:val="none"/>
        </w:rPr>
      </w:pPr>
      <w:r w:rsidRPr="001B293F">
        <w:rPr>
          <w:rFonts w:eastAsia="Times New Roman" w:cs="Times New Roman"/>
          <w:kern w:val="0"/>
          <w:sz w:val="24"/>
          <w:szCs w:val="24"/>
          <w:lang w:eastAsia="en-IN"/>
          <w14:ligatures w14:val="none"/>
        </w:rPr>
        <w:t>These percentages indicate the relative popularity of using HELs versus HELOCs for various financial purposes among borrowers.</w:t>
      </w:r>
    </w:p>
    <w:p w14:paraId="2BF8071B" w14:textId="77777777" w:rsidR="001B293F" w:rsidRDefault="001B293F" w:rsidP="001B293F">
      <w:pPr>
        <w:pStyle w:val="Heading2"/>
        <w:rPr>
          <w:rFonts w:eastAsia="Times New Roman"/>
          <w:lang w:eastAsia="en-IN"/>
        </w:rPr>
      </w:pPr>
      <w:r w:rsidRPr="001B293F">
        <w:rPr>
          <w:rFonts w:eastAsia="Times New Roman"/>
          <w:lang w:eastAsia="en-IN"/>
        </w:rPr>
        <w:t>Demographic Distribution of Home Equity Loan and HELOC Borrowers (2023)</w:t>
      </w:r>
    </w:p>
    <w:tbl>
      <w:tblPr>
        <w:tblStyle w:val="TableGrid"/>
        <w:tblW w:w="5352" w:type="dxa"/>
        <w:tblLook w:val="04A0" w:firstRow="1" w:lastRow="0" w:firstColumn="1" w:lastColumn="0" w:noHBand="0" w:noVBand="1"/>
      </w:tblPr>
      <w:tblGrid>
        <w:gridCol w:w="1956"/>
        <w:gridCol w:w="1698"/>
        <w:gridCol w:w="1698"/>
      </w:tblGrid>
      <w:tr w:rsidR="001B293F" w:rsidRPr="001B293F" w14:paraId="273773C3" w14:textId="77777777" w:rsidTr="001B293F">
        <w:trPr>
          <w:trHeight w:val="1340"/>
        </w:trPr>
        <w:tc>
          <w:tcPr>
            <w:tcW w:w="1956" w:type="dxa"/>
            <w:hideMark/>
          </w:tcPr>
          <w:p w14:paraId="234E7275" w14:textId="77777777" w:rsidR="001B293F" w:rsidRPr="001B293F" w:rsidRDefault="001B293F" w:rsidP="001B293F">
            <w:pPr>
              <w:jc w:val="center"/>
              <w:rPr>
                <w:rFonts w:ascii="Aptos Narrow" w:eastAsia="Times New Roman" w:hAnsi="Aptos Narrow" w:cs="Times New Roman"/>
                <w:b/>
                <w:bCs/>
                <w:color w:val="000000"/>
                <w:kern w:val="0"/>
                <w:sz w:val="24"/>
                <w:szCs w:val="24"/>
                <w:lang w:eastAsia="en-IN"/>
                <w14:ligatures w14:val="none"/>
              </w:rPr>
            </w:pPr>
            <w:r w:rsidRPr="001B293F">
              <w:rPr>
                <w:rFonts w:ascii="Aptos Narrow" w:eastAsia="Times New Roman" w:hAnsi="Aptos Narrow" w:cs="Times New Roman"/>
                <w:b/>
                <w:bCs/>
                <w:color w:val="000000"/>
                <w:kern w:val="0"/>
                <w:sz w:val="24"/>
                <w:szCs w:val="24"/>
                <w:lang w:eastAsia="en-IN"/>
                <w14:ligatures w14:val="none"/>
              </w:rPr>
              <w:t>Demographic</w:t>
            </w:r>
          </w:p>
        </w:tc>
        <w:tc>
          <w:tcPr>
            <w:tcW w:w="1698" w:type="dxa"/>
            <w:hideMark/>
          </w:tcPr>
          <w:p w14:paraId="1389A77B" w14:textId="77777777" w:rsidR="001B293F" w:rsidRPr="001B293F" w:rsidRDefault="001B293F" w:rsidP="001B293F">
            <w:pPr>
              <w:jc w:val="center"/>
              <w:rPr>
                <w:rFonts w:ascii="Aptos Narrow" w:eastAsia="Times New Roman" w:hAnsi="Aptos Narrow" w:cs="Times New Roman"/>
                <w:b/>
                <w:bCs/>
                <w:color w:val="000000"/>
                <w:kern w:val="0"/>
                <w:sz w:val="24"/>
                <w:szCs w:val="24"/>
                <w:lang w:eastAsia="en-IN"/>
                <w14:ligatures w14:val="none"/>
              </w:rPr>
            </w:pPr>
            <w:r w:rsidRPr="001B293F">
              <w:rPr>
                <w:rFonts w:ascii="Aptos Narrow" w:eastAsia="Times New Roman" w:hAnsi="Aptos Narrow" w:cs="Times New Roman"/>
                <w:b/>
                <w:bCs/>
                <w:color w:val="000000"/>
                <w:kern w:val="0"/>
                <w:sz w:val="24"/>
                <w:szCs w:val="24"/>
                <w:lang w:eastAsia="en-IN"/>
                <w14:ligatures w14:val="none"/>
              </w:rPr>
              <w:t>Percentage of Home Equity Loan Borrowers (%)</w:t>
            </w:r>
          </w:p>
        </w:tc>
        <w:tc>
          <w:tcPr>
            <w:tcW w:w="1698" w:type="dxa"/>
            <w:hideMark/>
          </w:tcPr>
          <w:p w14:paraId="22EADD45" w14:textId="77777777" w:rsidR="001B293F" w:rsidRPr="001B293F" w:rsidRDefault="001B293F" w:rsidP="001B293F">
            <w:pPr>
              <w:jc w:val="center"/>
              <w:rPr>
                <w:rFonts w:ascii="Aptos Narrow" w:eastAsia="Times New Roman" w:hAnsi="Aptos Narrow" w:cs="Times New Roman"/>
                <w:b/>
                <w:bCs/>
                <w:color w:val="000000"/>
                <w:kern w:val="0"/>
                <w:sz w:val="24"/>
                <w:szCs w:val="24"/>
                <w:lang w:eastAsia="en-IN"/>
                <w14:ligatures w14:val="none"/>
              </w:rPr>
            </w:pPr>
            <w:r w:rsidRPr="001B293F">
              <w:rPr>
                <w:rFonts w:ascii="Aptos Narrow" w:eastAsia="Times New Roman" w:hAnsi="Aptos Narrow" w:cs="Times New Roman"/>
                <w:b/>
                <w:bCs/>
                <w:color w:val="000000"/>
                <w:kern w:val="0"/>
                <w:sz w:val="24"/>
                <w:szCs w:val="24"/>
                <w:lang w:eastAsia="en-IN"/>
                <w14:ligatures w14:val="none"/>
              </w:rPr>
              <w:t>Percentage of HELOC Borrowers (%)</w:t>
            </w:r>
          </w:p>
        </w:tc>
      </w:tr>
      <w:tr w:rsidR="001B293F" w:rsidRPr="001B293F" w14:paraId="482630D9" w14:textId="77777777" w:rsidTr="001B293F">
        <w:trPr>
          <w:trHeight w:val="557"/>
        </w:trPr>
        <w:tc>
          <w:tcPr>
            <w:tcW w:w="1956" w:type="dxa"/>
            <w:hideMark/>
          </w:tcPr>
          <w:p w14:paraId="1560D590" w14:textId="77777777" w:rsidR="001B293F" w:rsidRPr="001B293F" w:rsidRDefault="001B293F" w:rsidP="001B293F">
            <w:pPr>
              <w:rPr>
                <w:rFonts w:ascii="Aptos Narrow" w:eastAsia="Times New Roman" w:hAnsi="Aptos Narrow" w:cs="Times New Roman"/>
                <w:color w:val="000000"/>
                <w:kern w:val="0"/>
                <w:sz w:val="24"/>
                <w:szCs w:val="24"/>
                <w:lang w:eastAsia="en-IN"/>
                <w14:ligatures w14:val="none"/>
              </w:rPr>
            </w:pPr>
            <w:r w:rsidRPr="001B293F">
              <w:rPr>
                <w:rFonts w:ascii="Aptos Narrow" w:eastAsia="Times New Roman" w:hAnsi="Aptos Narrow" w:cs="Times New Roman"/>
                <w:color w:val="000000"/>
                <w:kern w:val="0"/>
                <w:sz w:val="24"/>
                <w:szCs w:val="24"/>
                <w:lang w:eastAsia="en-IN"/>
                <w14:ligatures w14:val="none"/>
              </w:rPr>
              <w:t>Age 25-34</w:t>
            </w:r>
          </w:p>
        </w:tc>
        <w:tc>
          <w:tcPr>
            <w:tcW w:w="1698" w:type="dxa"/>
            <w:hideMark/>
          </w:tcPr>
          <w:p w14:paraId="3EEDA0FF" w14:textId="77777777" w:rsidR="001B293F" w:rsidRPr="001B293F" w:rsidRDefault="001B293F" w:rsidP="001B293F">
            <w:pPr>
              <w:jc w:val="right"/>
              <w:rPr>
                <w:rFonts w:ascii="Aptos Narrow" w:eastAsia="Times New Roman" w:hAnsi="Aptos Narrow" w:cs="Times New Roman"/>
                <w:color w:val="000000"/>
                <w:kern w:val="0"/>
                <w:sz w:val="24"/>
                <w:szCs w:val="24"/>
                <w:lang w:eastAsia="en-IN"/>
                <w14:ligatures w14:val="none"/>
              </w:rPr>
            </w:pPr>
            <w:r w:rsidRPr="001B293F">
              <w:rPr>
                <w:rFonts w:ascii="Aptos Narrow" w:eastAsia="Times New Roman" w:hAnsi="Aptos Narrow" w:cs="Times New Roman"/>
                <w:color w:val="000000"/>
                <w:kern w:val="0"/>
                <w:sz w:val="24"/>
                <w:szCs w:val="24"/>
                <w:lang w:eastAsia="en-IN"/>
                <w14:ligatures w14:val="none"/>
              </w:rPr>
              <w:t>15</w:t>
            </w:r>
          </w:p>
        </w:tc>
        <w:tc>
          <w:tcPr>
            <w:tcW w:w="1698" w:type="dxa"/>
            <w:hideMark/>
          </w:tcPr>
          <w:p w14:paraId="3D462C81" w14:textId="77777777" w:rsidR="001B293F" w:rsidRPr="001B293F" w:rsidRDefault="001B293F" w:rsidP="001B293F">
            <w:pPr>
              <w:jc w:val="right"/>
              <w:rPr>
                <w:rFonts w:ascii="Aptos Narrow" w:eastAsia="Times New Roman" w:hAnsi="Aptos Narrow" w:cs="Times New Roman"/>
                <w:color w:val="000000"/>
                <w:kern w:val="0"/>
                <w:sz w:val="24"/>
                <w:szCs w:val="24"/>
                <w:lang w:eastAsia="en-IN"/>
                <w14:ligatures w14:val="none"/>
              </w:rPr>
            </w:pPr>
            <w:r w:rsidRPr="001B293F">
              <w:rPr>
                <w:rFonts w:ascii="Aptos Narrow" w:eastAsia="Times New Roman" w:hAnsi="Aptos Narrow" w:cs="Times New Roman"/>
                <w:color w:val="000000"/>
                <w:kern w:val="0"/>
                <w:sz w:val="24"/>
                <w:szCs w:val="24"/>
                <w:lang w:eastAsia="en-IN"/>
                <w14:ligatures w14:val="none"/>
              </w:rPr>
              <w:t>10</w:t>
            </w:r>
          </w:p>
        </w:tc>
      </w:tr>
      <w:tr w:rsidR="001B293F" w:rsidRPr="001B293F" w14:paraId="12B373C8" w14:textId="77777777" w:rsidTr="001B293F">
        <w:trPr>
          <w:trHeight w:val="557"/>
        </w:trPr>
        <w:tc>
          <w:tcPr>
            <w:tcW w:w="1956" w:type="dxa"/>
            <w:hideMark/>
          </w:tcPr>
          <w:p w14:paraId="7C2CC274" w14:textId="77777777" w:rsidR="001B293F" w:rsidRPr="001B293F" w:rsidRDefault="001B293F" w:rsidP="001B293F">
            <w:pPr>
              <w:rPr>
                <w:rFonts w:ascii="Aptos Narrow" w:eastAsia="Times New Roman" w:hAnsi="Aptos Narrow" w:cs="Times New Roman"/>
                <w:color w:val="000000"/>
                <w:kern w:val="0"/>
                <w:sz w:val="24"/>
                <w:szCs w:val="24"/>
                <w:lang w:eastAsia="en-IN"/>
                <w14:ligatures w14:val="none"/>
              </w:rPr>
            </w:pPr>
            <w:r w:rsidRPr="001B293F">
              <w:rPr>
                <w:rFonts w:ascii="Aptos Narrow" w:eastAsia="Times New Roman" w:hAnsi="Aptos Narrow" w:cs="Times New Roman"/>
                <w:color w:val="000000"/>
                <w:kern w:val="0"/>
                <w:sz w:val="24"/>
                <w:szCs w:val="24"/>
                <w:lang w:eastAsia="en-IN"/>
                <w14:ligatures w14:val="none"/>
              </w:rPr>
              <w:t>Age 35-44</w:t>
            </w:r>
          </w:p>
        </w:tc>
        <w:tc>
          <w:tcPr>
            <w:tcW w:w="1698" w:type="dxa"/>
            <w:hideMark/>
          </w:tcPr>
          <w:p w14:paraId="5C2CE33C" w14:textId="77777777" w:rsidR="001B293F" w:rsidRPr="001B293F" w:rsidRDefault="001B293F" w:rsidP="001B293F">
            <w:pPr>
              <w:jc w:val="right"/>
              <w:rPr>
                <w:rFonts w:ascii="Aptos Narrow" w:eastAsia="Times New Roman" w:hAnsi="Aptos Narrow" w:cs="Times New Roman"/>
                <w:color w:val="000000"/>
                <w:kern w:val="0"/>
                <w:sz w:val="24"/>
                <w:szCs w:val="24"/>
                <w:lang w:eastAsia="en-IN"/>
                <w14:ligatures w14:val="none"/>
              </w:rPr>
            </w:pPr>
            <w:r w:rsidRPr="001B293F">
              <w:rPr>
                <w:rFonts w:ascii="Aptos Narrow" w:eastAsia="Times New Roman" w:hAnsi="Aptos Narrow" w:cs="Times New Roman"/>
                <w:color w:val="000000"/>
                <w:kern w:val="0"/>
                <w:sz w:val="24"/>
                <w:szCs w:val="24"/>
                <w:lang w:eastAsia="en-IN"/>
                <w14:ligatures w14:val="none"/>
              </w:rPr>
              <w:t>25</w:t>
            </w:r>
          </w:p>
        </w:tc>
        <w:tc>
          <w:tcPr>
            <w:tcW w:w="1698" w:type="dxa"/>
            <w:hideMark/>
          </w:tcPr>
          <w:p w14:paraId="411661D1" w14:textId="77777777" w:rsidR="001B293F" w:rsidRPr="001B293F" w:rsidRDefault="001B293F" w:rsidP="001B293F">
            <w:pPr>
              <w:jc w:val="right"/>
              <w:rPr>
                <w:rFonts w:ascii="Aptos Narrow" w:eastAsia="Times New Roman" w:hAnsi="Aptos Narrow" w:cs="Times New Roman"/>
                <w:color w:val="000000"/>
                <w:kern w:val="0"/>
                <w:sz w:val="24"/>
                <w:szCs w:val="24"/>
                <w:lang w:eastAsia="en-IN"/>
                <w14:ligatures w14:val="none"/>
              </w:rPr>
            </w:pPr>
            <w:r w:rsidRPr="001B293F">
              <w:rPr>
                <w:rFonts w:ascii="Aptos Narrow" w:eastAsia="Times New Roman" w:hAnsi="Aptos Narrow" w:cs="Times New Roman"/>
                <w:color w:val="000000"/>
                <w:kern w:val="0"/>
                <w:sz w:val="24"/>
                <w:szCs w:val="24"/>
                <w:lang w:eastAsia="en-IN"/>
                <w14:ligatures w14:val="none"/>
              </w:rPr>
              <w:t>30</w:t>
            </w:r>
          </w:p>
        </w:tc>
      </w:tr>
      <w:tr w:rsidR="001B293F" w:rsidRPr="001B293F" w14:paraId="3CCF5DF5" w14:textId="77777777" w:rsidTr="001B293F">
        <w:trPr>
          <w:trHeight w:val="557"/>
        </w:trPr>
        <w:tc>
          <w:tcPr>
            <w:tcW w:w="1956" w:type="dxa"/>
            <w:hideMark/>
          </w:tcPr>
          <w:p w14:paraId="096D85DE" w14:textId="77777777" w:rsidR="001B293F" w:rsidRPr="001B293F" w:rsidRDefault="001B293F" w:rsidP="001B293F">
            <w:pPr>
              <w:rPr>
                <w:rFonts w:ascii="Aptos Narrow" w:eastAsia="Times New Roman" w:hAnsi="Aptos Narrow" w:cs="Times New Roman"/>
                <w:color w:val="000000"/>
                <w:kern w:val="0"/>
                <w:sz w:val="24"/>
                <w:szCs w:val="24"/>
                <w:lang w:eastAsia="en-IN"/>
                <w14:ligatures w14:val="none"/>
              </w:rPr>
            </w:pPr>
            <w:r w:rsidRPr="001B293F">
              <w:rPr>
                <w:rFonts w:ascii="Aptos Narrow" w:eastAsia="Times New Roman" w:hAnsi="Aptos Narrow" w:cs="Times New Roman"/>
                <w:color w:val="000000"/>
                <w:kern w:val="0"/>
                <w:sz w:val="24"/>
                <w:szCs w:val="24"/>
                <w:lang w:eastAsia="en-IN"/>
                <w14:ligatures w14:val="none"/>
              </w:rPr>
              <w:t>Age 45-54</w:t>
            </w:r>
          </w:p>
        </w:tc>
        <w:tc>
          <w:tcPr>
            <w:tcW w:w="1698" w:type="dxa"/>
            <w:hideMark/>
          </w:tcPr>
          <w:p w14:paraId="49B550B1" w14:textId="77777777" w:rsidR="001B293F" w:rsidRPr="001B293F" w:rsidRDefault="001B293F" w:rsidP="001B293F">
            <w:pPr>
              <w:jc w:val="right"/>
              <w:rPr>
                <w:rFonts w:ascii="Aptos Narrow" w:eastAsia="Times New Roman" w:hAnsi="Aptos Narrow" w:cs="Times New Roman"/>
                <w:color w:val="000000"/>
                <w:kern w:val="0"/>
                <w:sz w:val="24"/>
                <w:szCs w:val="24"/>
                <w:lang w:eastAsia="en-IN"/>
                <w14:ligatures w14:val="none"/>
              </w:rPr>
            </w:pPr>
            <w:r w:rsidRPr="001B293F">
              <w:rPr>
                <w:rFonts w:ascii="Aptos Narrow" w:eastAsia="Times New Roman" w:hAnsi="Aptos Narrow" w:cs="Times New Roman"/>
                <w:color w:val="000000"/>
                <w:kern w:val="0"/>
                <w:sz w:val="24"/>
                <w:szCs w:val="24"/>
                <w:lang w:eastAsia="en-IN"/>
                <w14:ligatures w14:val="none"/>
              </w:rPr>
              <w:t>30</w:t>
            </w:r>
          </w:p>
        </w:tc>
        <w:tc>
          <w:tcPr>
            <w:tcW w:w="1698" w:type="dxa"/>
            <w:hideMark/>
          </w:tcPr>
          <w:p w14:paraId="4BE5753C" w14:textId="77777777" w:rsidR="001B293F" w:rsidRPr="001B293F" w:rsidRDefault="001B293F" w:rsidP="001B293F">
            <w:pPr>
              <w:jc w:val="right"/>
              <w:rPr>
                <w:rFonts w:ascii="Aptos Narrow" w:eastAsia="Times New Roman" w:hAnsi="Aptos Narrow" w:cs="Times New Roman"/>
                <w:color w:val="000000"/>
                <w:kern w:val="0"/>
                <w:sz w:val="24"/>
                <w:szCs w:val="24"/>
                <w:lang w:eastAsia="en-IN"/>
                <w14:ligatures w14:val="none"/>
              </w:rPr>
            </w:pPr>
            <w:r w:rsidRPr="001B293F">
              <w:rPr>
                <w:rFonts w:ascii="Aptos Narrow" w:eastAsia="Times New Roman" w:hAnsi="Aptos Narrow" w:cs="Times New Roman"/>
                <w:color w:val="000000"/>
                <w:kern w:val="0"/>
                <w:sz w:val="24"/>
                <w:szCs w:val="24"/>
                <w:lang w:eastAsia="en-IN"/>
                <w14:ligatures w14:val="none"/>
              </w:rPr>
              <w:t>35</w:t>
            </w:r>
          </w:p>
        </w:tc>
      </w:tr>
      <w:tr w:rsidR="001B293F" w:rsidRPr="001B293F" w14:paraId="36C0FBF9" w14:textId="77777777" w:rsidTr="001B293F">
        <w:trPr>
          <w:trHeight w:val="557"/>
        </w:trPr>
        <w:tc>
          <w:tcPr>
            <w:tcW w:w="1956" w:type="dxa"/>
            <w:hideMark/>
          </w:tcPr>
          <w:p w14:paraId="7A544DB4" w14:textId="77777777" w:rsidR="001B293F" w:rsidRPr="001B293F" w:rsidRDefault="001B293F" w:rsidP="001B293F">
            <w:pPr>
              <w:rPr>
                <w:rFonts w:ascii="Aptos Narrow" w:eastAsia="Times New Roman" w:hAnsi="Aptos Narrow" w:cs="Times New Roman"/>
                <w:color w:val="000000"/>
                <w:kern w:val="0"/>
                <w:sz w:val="24"/>
                <w:szCs w:val="24"/>
                <w:lang w:eastAsia="en-IN"/>
                <w14:ligatures w14:val="none"/>
              </w:rPr>
            </w:pPr>
            <w:r w:rsidRPr="001B293F">
              <w:rPr>
                <w:rFonts w:ascii="Aptos Narrow" w:eastAsia="Times New Roman" w:hAnsi="Aptos Narrow" w:cs="Times New Roman"/>
                <w:color w:val="000000"/>
                <w:kern w:val="0"/>
                <w:sz w:val="24"/>
                <w:szCs w:val="24"/>
                <w:lang w:eastAsia="en-IN"/>
                <w14:ligatures w14:val="none"/>
              </w:rPr>
              <w:t>Age 55-64</w:t>
            </w:r>
          </w:p>
        </w:tc>
        <w:tc>
          <w:tcPr>
            <w:tcW w:w="1698" w:type="dxa"/>
            <w:hideMark/>
          </w:tcPr>
          <w:p w14:paraId="0F35DA18" w14:textId="77777777" w:rsidR="001B293F" w:rsidRPr="001B293F" w:rsidRDefault="001B293F" w:rsidP="001B293F">
            <w:pPr>
              <w:jc w:val="right"/>
              <w:rPr>
                <w:rFonts w:ascii="Aptos Narrow" w:eastAsia="Times New Roman" w:hAnsi="Aptos Narrow" w:cs="Times New Roman"/>
                <w:color w:val="000000"/>
                <w:kern w:val="0"/>
                <w:sz w:val="24"/>
                <w:szCs w:val="24"/>
                <w:lang w:eastAsia="en-IN"/>
                <w14:ligatures w14:val="none"/>
              </w:rPr>
            </w:pPr>
            <w:r w:rsidRPr="001B293F">
              <w:rPr>
                <w:rFonts w:ascii="Aptos Narrow" w:eastAsia="Times New Roman" w:hAnsi="Aptos Narrow" w:cs="Times New Roman"/>
                <w:color w:val="000000"/>
                <w:kern w:val="0"/>
                <w:sz w:val="24"/>
                <w:szCs w:val="24"/>
                <w:lang w:eastAsia="en-IN"/>
                <w14:ligatures w14:val="none"/>
              </w:rPr>
              <w:t>20</w:t>
            </w:r>
          </w:p>
        </w:tc>
        <w:tc>
          <w:tcPr>
            <w:tcW w:w="1698" w:type="dxa"/>
            <w:hideMark/>
          </w:tcPr>
          <w:p w14:paraId="1FFC8D2F" w14:textId="77777777" w:rsidR="001B293F" w:rsidRPr="001B293F" w:rsidRDefault="001B293F" w:rsidP="001B293F">
            <w:pPr>
              <w:jc w:val="right"/>
              <w:rPr>
                <w:rFonts w:ascii="Aptos Narrow" w:eastAsia="Times New Roman" w:hAnsi="Aptos Narrow" w:cs="Times New Roman"/>
                <w:color w:val="000000"/>
                <w:kern w:val="0"/>
                <w:sz w:val="24"/>
                <w:szCs w:val="24"/>
                <w:lang w:eastAsia="en-IN"/>
                <w14:ligatures w14:val="none"/>
              </w:rPr>
            </w:pPr>
            <w:r w:rsidRPr="001B293F">
              <w:rPr>
                <w:rFonts w:ascii="Aptos Narrow" w:eastAsia="Times New Roman" w:hAnsi="Aptos Narrow" w:cs="Times New Roman"/>
                <w:color w:val="000000"/>
                <w:kern w:val="0"/>
                <w:sz w:val="24"/>
                <w:szCs w:val="24"/>
                <w:lang w:eastAsia="en-IN"/>
                <w14:ligatures w14:val="none"/>
              </w:rPr>
              <w:t>15</w:t>
            </w:r>
          </w:p>
        </w:tc>
      </w:tr>
      <w:tr w:rsidR="001B293F" w:rsidRPr="001B293F" w14:paraId="6EA9C694" w14:textId="77777777" w:rsidTr="001B293F">
        <w:trPr>
          <w:trHeight w:val="278"/>
        </w:trPr>
        <w:tc>
          <w:tcPr>
            <w:tcW w:w="1956" w:type="dxa"/>
            <w:hideMark/>
          </w:tcPr>
          <w:p w14:paraId="248F4644" w14:textId="77777777" w:rsidR="001B293F" w:rsidRPr="001B293F" w:rsidRDefault="001B293F" w:rsidP="001B293F">
            <w:pPr>
              <w:rPr>
                <w:rFonts w:ascii="Aptos Narrow" w:eastAsia="Times New Roman" w:hAnsi="Aptos Narrow" w:cs="Times New Roman"/>
                <w:color w:val="000000"/>
                <w:kern w:val="0"/>
                <w:sz w:val="24"/>
                <w:szCs w:val="24"/>
                <w:lang w:eastAsia="en-IN"/>
                <w14:ligatures w14:val="none"/>
              </w:rPr>
            </w:pPr>
            <w:r w:rsidRPr="001B293F">
              <w:rPr>
                <w:rFonts w:ascii="Aptos Narrow" w:eastAsia="Times New Roman" w:hAnsi="Aptos Narrow" w:cs="Times New Roman"/>
                <w:color w:val="000000"/>
                <w:kern w:val="0"/>
                <w:sz w:val="24"/>
                <w:szCs w:val="24"/>
                <w:lang w:eastAsia="en-IN"/>
                <w14:ligatures w14:val="none"/>
              </w:rPr>
              <w:t>Age 65+</w:t>
            </w:r>
          </w:p>
        </w:tc>
        <w:tc>
          <w:tcPr>
            <w:tcW w:w="1698" w:type="dxa"/>
            <w:hideMark/>
          </w:tcPr>
          <w:p w14:paraId="27876B22" w14:textId="77777777" w:rsidR="001B293F" w:rsidRPr="001B293F" w:rsidRDefault="001B293F" w:rsidP="001B293F">
            <w:pPr>
              <w:jc w:val="right"/>
              <w:rPr>
                <w:rFonts w:ascii="Aptos Narrow" w:eastAsia="Times New Roman" w:hAnsi="Aptos Narrow" w:cs="Times New Roman"/>
                <w:color w:val="000000"/>
                <w:kern w:val="0"/>
                <w:sz w:val="24"/>
                <w:szCs w:val="24"/>
                <w:lang w:eastAsia="en-IN"/>
                <w14:ligatures w14:val="none"/>
              </w:rPr>
            </w:pPr>
            <w:r w:rsidRPr="001B293F">
              <w:rPr>
                <w:rFonts w:ascii="Aptos Narrow" w:eastAsia="Times New Roman" w:hAnsi="Aptos Narrow" w:cs="Times New Roman"/>
                <w:color w:val="000000"/>
                <w:kern w:val="0"/>
                <w:sz w:val="24"/>
                <w:szCs w:val="24"/>
                <w:lang w:eastAsia="en-IN"/>
                <w14:ligatures w14:val="none"/>
              </w:rPr>
              <w:t>10</w:t>
            </w:r>
          </w:p>
        </w:tc>
        <w:tc>
          <w:tcPr>
            <w:tcW w:w="1698" w:type="dxa"/>
            <w:hideMark/>
          </w:tcPr>
          <w:p w14:paraId="1125B552" w14:textId="77777777" w:rsidR="001B293F" w:rsidRPr="001B293F" w:rsidRDefault="001B293F" w:rsidP="001B293F">
            <w:pPr>
              <w:jc w:val="right"/>
              <w:rPr>
                <w:rFonts w:ascii="Aptos Narrow" w:eastAsia="Times New Roman" w:hAnsi="Aptos Narrow" w:cs="Times New Roman"/>
                <w:color w:val="000000"/>
                <w:kern w:val="0"/>
                <w:sz w:val="24"/>
                <w:szCs w:val="24"/>
                <w:lang w:eastAsia="en-IN"/>
                <w14:ligatures w14:val="none"/>
              </w:rPr>
            </w:pPr>
            <w:r w:rsidRPr="001B293F">
              <w:rPr>
                <w:rFonts w:ascii="Aptos Narrow" w:eastAsia="Times New Roman" w:hAnsi="Aptos Narrow" w:cs="Times New Roman"/>
                <w:color w:val="000000"/>
                <w:kern w:val="0"/>
                <w:sz w:val="24"/>
                <w:szCs w:val="24"/>
                <w:lang w:eastAsia="en-IN"/>
                <w14:ligatures w14:val="none"/>
              </w:rPr>
              <w:t>10</w:t>
            </w:r>
          </w:p>
        </w:tc>
      </w:tr>
      <w:tr w:rsidR="001B293F" w:rsidRPr="001B293F" w14:paraId="5CF9E310" w14:textId="77777777" w:rsidTr="001B293F">
        <w:trPr>
          <w:trHeight w:val="557"/>
        </w:trPr>
        <w:tc>
          <w:tcPr>
            <w:tcW w:w="1956" w:type="dxa"/>
            <w:hideMark/>
          </w:tcPr>
          <w:p w14:paraId="02341A06" w14:textId="77777777" w:rsidR="001B293F" w:rsidRPr="001B293F" w:rsidRDefault="001B293F" w:rsidP="001B293F">
            <w:pPr>
              <w:rPr>
                <w:rFonts w:ascii="Aptos Narrow" w:eastAsia="Times New Roman" w:hAnsi="Aptos Narrow" w:cs="Times New Roman"/>
                <w:color w:val="000000"/>
                <w:kern w:val="0"/>
                <w:sz w:val="24"/>
                <w:szCs w:val="24"/>
                <w:lang w:eastAsia="en-IN"/>
                <w14:ligatures w14:val="none"/>
              </w:rPr>
            </w:pPr>
            <w:r w:rsidRPr="001B293F">
              <w:rPr>
                <w:rFonts w:ascii="Aptos Narrow" w:eastAsia="Times New Roman" w:hAnsi="Aptos Narrow" w:cs="Times New Roman"/>
                <w:color w:val="000000"/>
                <w:kern w:val="0"/>
                <w:sz w:val="24"/>
                <w:szCs w:val="24"/>
                <w:lang w:eastAsia="en-IN"/>
                <w14:ligatures w14:val="none"/>
              </w:rPr>
              <w:t>Income &lt;$50,000</w:t>
            </w:r>
          </w:p>
        </w:tc>
        <w:tc>
          <w:tcPr>
            <w:tcW w:w="1698" w:type="dxa"/>
            <w:hideMark/>
          </w:tcPr>
          <w:p w14:paraId="23D70E34" w14:textId="77777777" w:rsidR="001B293F" w:rsidRPr="001B293F" w:rsidRDefault="001B293F" w:rsidP="001B293F">
            <w:pPr>
              <w:jc w:val="right"/>
              <w:rPr>
                <w:rFonts w:ascii="Aptos Narrow" w:eastAsia="Times New Roman" w:hAnsi="Aptos Narrow" w:cs="Times New Roman"/>
                <w:color w:val="000000"/>
                <w:kern w:val="0"/>
                <w:sz w:val="24"/>
                <w:szCs w:val="24"/>
                <w:lang w:eastAsia="en-IN"/>
                <w14:ligatures w14:val="none"/>
              </w:rPr>
            </w:pPr>
            <w:r w:rsidRPr="001B293F">
              <w:rPr>
                <w:rFonts w:ascii="Aptos Narrow" w:eastAsia="Times New Roman" w:hAnsi="Aptos Narrow" w:cs="Times New Roman"/>
                <w:color w:val="000000"/>
                <w:kern w:val="0"/>
                <w:sz w:val="24"/>
                <w:szCs w:val="24"/>
                <w:lang w:eastAsia="en-IN"/>
                <w14:ligatures w14:val="none"/>
              </w:rPr>
              <w:t>20</w:t>
            </w:r>
          </w:p>
        </w:tc>
        <w:tc>
          <w:tcPr>
            <w:tcW w:w="1698" w:type="dxa"/>
            <w:hideMark/>
          </w:tcPr>
          <w:p w14:paraId="0C48B950" w14:textId="77777777" w:rsidR="001B293F" w:rsidRPr="001B293F" w:rsidRDefault="001B293F" w:rsidP="001B293F">
            <w:pPr>
              <w:jc w:val="right"/>
              <w:rPr>
                <w:rFonts w:ascii="Aptos Narrow" w:eastAsia="Times New Roman" w:hAnsi="Aptos Narrow" w:cs="Times New Roman"/>
                <w:color w:val="000000"/>
                <w:kern w:val="0"/>
                <w:sz w:val="24"/>
                <w:szCs w:val="24"/>
                <w:lang w:eastAsia="en-IN"/>
                <w14:ligatures w14:val="none"/>
              </w:rPr>
            </w:pPr>
            <w:r w:rsidRPr="001B293F">
              <w:rPr>
                <w:rFonts w:ascii="Aptos Narrow" w:eastAsia="Times New Roman" w:hAnsi="Aptos Narrow" w:cs="Times New Roman"/>
                <w:color w:val="000000"/>
                <w:kern w:val="0"/>
                <w:sz w:val="24"/>
                <w:szCs w:val="24"/>
                <w:lang w:eastAsia="en-IN"/>
                <w14:ligatures w14:val="none"/>
              </w:rPr>
              <w:t>15</w:t>
            </w:r>
          </w:p>
        </w:tc>
      </w:tr>
      <w:tr w:rsidR="001B293F" w:rsidRPr="001B293F" w14:paraId="1F377730" w14:textId="77777777" w:rsidTr="001B293F">
        <w:trPr>
          <w:trHeight w:val="836"/>
        </w:trPr>
        <w:tc>
          <w:tcPr>
            <w:tcW w:w="1956" w:type="dxa"/>
            <w:hideMark/>
          </w:tcPr>
          <w:p w14:paraId="7988D512" w14:textId="77777777" w:rsidR="001B293F" w:rsidRPr="001B293F" w:rsidRDefault="001B293F" w:rsidP="001B293F">
            <w:pPr>
              <w:rPr>
                <w:rFonts w:ascii="Aptos Narrow" w:eastAsia="Times New Roman" w:hAnsi="Aptos Narrow" w:cs="Times New Roman"/>
                <w:color w:val="000000"/>
                <w:kern w:val="0"/>
                <w:sz w:val="24"/>
                <w:szCs w:val="24"/>
                <w:lang w:eastAsia="en-IN"/>
                <w14:ligatures w14:val="none"/>
              </w:rPr>
            </w:pPr>
            <w:r w:rsidRPr="001B293F">
              <w:rPr>
                <w:rFonts w:ascii="Aptos Narrow" w:eastAsia="Times New Roman" w:hAnsi="Aptos Narrow" w:cs="Times New Roman"/>
                <w:color w:val="000000"/>
                <w:kern w:val="0"/>
                <w:sz w:val="24"/>
                <w:szCs w:val="24"/>
                <w:lang w:eastAsia="en-IN"/>
                <w14:ligatures w14:val="none"/>
              </w:rPr>
              <w:lastRenderedPageBreak/>
              <w:t>Income $50,000-$99,999</w:t>
            </w:r>
          </w:p>
        </w:tc>
        <w:tc>
          <w:tcPr>
            <w:tcW w:w="1698" w:type="dxa"/>
            <w:hideMark/>
          </w:tcPr>
          <w:p w14:paraId="116301D6" w14:textId="77777777" w:rsidR="001B293F" w:rsidRPr="001B293F" w:rsidRDefault="001B293F" w:rsidP="001B293F">
            <w:pPr>
              <w:jc w:val="right"/>
              <w:rPr>
                <w:rFonts w:ascii="Aptos Narrow" w:eastAsia="Times New Roman" w:hAnsi="Aptos Narrow" w:cs="Times New Roman"/>
                <w:color w:val="000000"/>
                <w:kern w:val="0"/>
                <w:sz w:val="24"/>
                <w:szCs w:val="24"/>
                <w:lang w:eastAsia="en-IN"/>
                <w14:ligatures w14:val="none"/>
              </w:rPr>
            </w:pPr>
            <w:r w:rsidRPr="001B293F">
              <w:rPr>
                <w:rFonts w:ascii="Aptos Narrow" w:eastAsia="Times New Roman" w:hAnsi="Aptos Narrow" w:cs="Times New Roman"/>
                <w:color w:val="000000"/>
                <w:kern w:val="0"/>
                <w:sz w:val="24"/>
                <w:szCs w:val="24"/>
                <w:lang w:eastAsia="en-IN"/>
                <w14:ligatures w14:val="none"/>
              </w:rPr>
              <w:t>50</w:t>
            </w:r>
          </w:p>
        </w:tc>
        <w:tc>
          <w:tcPr>
            <w:tcW w:w="1698" w:type="dxa"/>
            <w:hideMark/>
          </w:tcPr>
          <w:p w14:paraId="1E4A309B" w14:textId="77777777" w:rsidR="001B293F" w:rsidRPr="001B293F" w:rsidRDefault="001B293F" w:rsidP="001B293F">
            <w:pPr>
              <w:jc w:val="right"/>
              <w:rPr>
                <w:rFonts w:ascii="Aptos Narrow" w:eastAsia="Times New Roman" w:hAnsi="Aptos Narrow" w:cs="Times New Roman"/>
                <w:color w:val="000000"/>
                <w:kern w:val="0"/>
                <w:sz w:val="24"/>
                <w:szCs w:val="24"/>
                <w:lang w:eastAsia="en-IN"/>
                <w14:ligatures w14:val="none"/>
              </w:rPr>
            </w:pPr>
            <w:r w:rsidRPr="001B293F">
              <w:rPr>
                <w:rFonts w:ascii="Aptos Narrow" w:eastAsia="Times New Roman" w:hAnsi="Aptos Narrow" w:cs="Times New Roman"/>
                <w:color w:val="000000"/>
                <w:kern w:val="0"/>
                <w:sz w:val="24"/>
                <w:szCs w:val="24"/>
                <w:lang w:eastAsia="en-IN"/>
                <w14:ligatures w14:val="none"/>
              </w:rPr>
              <w:t>55</w:t>
            </w:r>
          </w:p>
        </w:tc>
      </w:tr>
      <w:tr w:rsidR="001B293F" w:rsidRPr="001B293F" w14:paraId="1FE0F0E3" w14:textId="77777777" w:rsidTr="001B293F">
        <w:trPr>
          <w:trHeight w:val="836"/>
        </w:trPr>
        <w:tc>
          <w:tcPr>
            <w:tcW w:w="1956" w:type="dxa"/>
            <w:hideMark/>
          </w:tcPr>
          <w:p w14:paraId="2DE42DDA" w14:textId="77777777" w:rsidR="001B293F" w:rsidRPr="001B293F" w:rsidRDefault="001B293F" w:rsidP="001B293F">
            <w:pPr>
              <w:rPr>
                <w:rFonts w:ascii="Aptos Narrow" w:eastAsia="Times New Roman" w:hAnsi="Aptos Narrow" w:cs="Times New Roman"/>
                <w:color w:val="000000"/>
                <w:kern w:val="0"/>
                <w:sz w:val="24"/>
                <w:szCs w:val="24"/>
                <w:lang w:eastAsia="en-IN"/>
                <w14:ligatures w14:val="none"/>
              </w:rPr>
            </w:pPr>
            <w:r w:rsidRPr="001B293F">
              <w:rPr>
                <w:rFonts w:ascii="Aptos Narrow" w:eastAsia="Times New Roman" w:hAnsi="Aptos Narrow" w:cs="Times New Roman"/>
                <w:color w:val="000000"/>
                <w:kern w:val="0"/>
                <w:sz w:val="24"/>
                <w:szCs w:val="24"/>
                <w:lang w:eastAsia="en-IN"/>
                <w14:ligatures w14:val="none"/>
              </w:rPr>
              <w:t>Income $100,000+</w:t>
            </w:r>
          </w:p>
        </w:tc>
        <w:tc>
          <w:tcPr>
            <w:tcW w:w="1698" w:type="dxa"/>
            <w:hideMark/>
          </w:tcPr>
          <w:p w14:paraId="25BFCDA1" w14:textId="77777777" w:rsidR="001B293F" w:rsidRPr="001B293F" w:rsidRDefault="001B293F" w:rsidP="001B293F">
            <w:pPr>
              <w:jc w:val="right"/>
              <w:rPr>
                <w:rFonts w:ascii="Aptos Narrow" w:eastAsia="Times New Roman" w:hAnsi="Aptos Narrow" w:cs="Times New Roman"/>
                <w:color w:val="000000"/>
                <w:kern w:val="0"/>
                <w:sz w:val="24"/>
                <w:szCs w:val="24"/>
                <w:lang w:eastAsia="en-IN"/>
                <w14:ligatures w14:val="none"/>
              </w:rPr>
            </w:pPr>
            <w:r w:rsidRPr="001B293F">
              <w:rPr>
                <w:rFonts w:ascii="Aptos Narrow" w:eastAsia="Times New Roman" w:hAnsi="Aptos Narrow" w:cs="Times New Roman"/>
                <w:color w:val="000000"/>
                <w:kern w:val="0"/>
                <w:sz w:val="24"/>
                <w:szCs w:val="24"/>
                <w:lang w:eastAsia="en-IN"/>
                <w14:ligatures w14:val="none"/>
              </w:rPr>
              <w:t>30</w:t>
            </w:r>
          </w:p>
        </w:tc>
        <w:tc>
          <w:tcPr>
            <w:tcW w:w="1698" w:type="dxa"/>
            <w:hideMark/>
          </w:tcPr>
          <w:p w14:paraId="4A404D43" w14:textId="77777777" w:rsidR="001B293F" w:rsidRPr="001B293F" w:rsidRDefault="001B293F" w:rsidP="001B293F">
            <w:pPr>
              <w:jc w:val="right"/>
              <w:rPr>
                <w:rFonts w:ascii="Aptos Narrow" w:eastAsia="Times New Roman" w:hAnsi="Aptos Narrow" w:cs="Times New Roman"/>
                <w:color w:val="000000"/>
                <w:kern w:val="0"/>
                <w:sz w:val="24"/>
                <w:szCs w:val="24"/>
                <w:lang w:eastAsia="en-IN"/>
                <w14:ligatures w14:val="none"/>
              </w:rPr>
            </w:pPr>
            <w:r w:rsidRPr="001B293F">
              <w:rPr>
                <w:rFonts w:ascii="Aptos Narrow" w:eastAsia="Times New Roman" w:hAnsi="Aptos Narrow" w:cs="Times New Roman"/>
                <w:color w:val="000000"/>
                <w:kern w:val="0"/>
                <w:sz w:val="24"/>
                <w:szCs w:val="24"/>
                <w:lang w:eastAsia="en-IN"/>
                <w14:ligatures w14:val="none"/>
              </w:rPr>
              <w:t>30</w:t>
            </w:r>
          </w:p>
        </w:tc>
      </w:tr>
    </w:tbl>
    <w:p w14:paraId="5B8898CB" w14:textId="158B1D91" w:rsidR="001B293F" w:rsidRPr="001B293F" w:rsidRDefault="001B293F" w:rsidP="001B293F">
      <w:pPr>
        <w:rPr>
          <w:lang w:eastAsia="en-IN"/>
        </w:rPr>
      </w:pPr>
      <w:r>
        <w:rPr>
          <w:noProof/>
        </w:rPr>
        <w:drawing>
          <wp:inline distT="0" distB="0" distL="0" distR="0" wp14:anchorId="14FA0AEF" wp14:editId="578242B2">
            <wp:extent cx="5044440" cy="3158490"/>
            <wp:effectExtent l="0" t="0" r="3810" b="3810"/>
            <wp:docPr id="233321815" name="Chart 1">
              <a:extLst xmlns:a="http://schemas.openxmlformats.org/drawingml/2006/main">
                <a:ext uri="{FF2B5EF4-FFF2-40B4-BE49-F238E27FC236}">
                  <a16:creationId xmlns:a16="http://schemas.microsoft.com/office/drawing/2014/main" id="{0EFC0828-6407-1078-2C22-CA9A4C3750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453D6E4" w14:textId="408ABBA5" w:rsidR="001B293F" w:rsidRPr="001B293F" w:rsidRDefault="001B293F" w:rsidP="001B293F">
      <w:pPr>
        <w:spacing w:before="100" w:beforeAutospacing="1" w:after="100" w:afterAutospacing="1" w:line="240" w:lineRule="auto"/>
        <w:rPr>
          <w:rFonts w:eastAsia="Times New Roman" w:cs="Times New Roman"/>
          <w:b/>
          <w:bCs/>
          <w:kern w:val="0"/>
          <w:sz w:val="24"/>
          <w:szCs w:val="24"/>
          <w:lang w:eastAsia="en-IN"/>
          <w14:ligatures w14:val="none"/>
        </w:rPr>
      </w:pPr>
      <w:r>
        <w:rPr>
          <w:rFonts w:eastAsia="Times New Roman" w:cs="Times New Roman"/>
          <w:b/>
          <w:bCs/>
          <w:kern w:val="0"/>
          <w:sz w:val="24"/>
          <w:szCs w:val="24"/>
          <w:lang w:eastAsia="en-IN"/>
          <w14:ligatures w14:val="none"/>
        </w:rPr>
        <w:t>I</w:t>
      </w:r>
      <w:r w:rsidRPr="001B293F">
        <w:rPr>
          <w:rFonts w:eastAsia="Times New Roman" w:cs="Times New Roman"/>
          <w:b/>
          <w:bCs/>
          <w:kern w:val="0"/>
          <w:sz w:val="24"/>
          <w:szCs w:val="24"/>
          <w:lang w:eastAsia="en-IN"/>
          <w14:ligatures w14:val="none"/>
        </w:rPr>
        <w:t>nterpretation of the demographic data for Home Equity Loans (HELs) and Home Equity Lines of Credit (HELOCs):</w:t>
      </w:r>
    </w:p>
    <w:p w14:paraId="0F67CAC3" w14:textId="77777777" w:rsidR="001B293F" w:rsidRPr="001B293F" w:rsidRDefault="001B293F" w:rsidP="001B293F">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1B293F">
        <w:rPr>
          <w:rFonts w:eastAsia="Times New Roman" w:cs="Times New Roman"/>
          <w:kern w:val="0"/>
          <w:sz w:val="24"/>
          <w:szCs w:val="24"/>
          <w:lang w:eastAsia="en-IN"/>
          <w14:ligatures w14:val="none"/>
        </w:rPr>
        <w:t>Age Groups:</w:t>
      </w:r>
    </w:p>
    <w:p w14:paraId="1BDA5DD4" w14:textId="77777777" w:rsidR="001B293F" w:rsidRPr="001B293F" w:rsidRDefault="001B293F" w:rsidP="001B293F">
      <w:pPr>
        <w:numPr>
          <w:ilvl w:val="1"/>
          <w:numId w:val="6"/>
        </w:numPr>
        <w:spacing w:before="100" w:beforeAutospacing="1" w:after="100" w:afterAutospacing="1" w:line="240" w:lineRule="auto"/>
        <w:rPr>
          <w:rFonts w:eastAsia="Times New Roman" w:cs="Times New Roman"/>
          <w:kern w:val="0"/>
          <w:sz w:val="24"/>
          <w:szCs w:val="24"/>
          <w:lang w:eastAsia="en-IN"/>
          <w14:ligatures w14:val="none"/>
        </w:rPr>
      </w:pPr>
      <w:r w:rsidRPr="001B293F">
        <w:rPr>
          <w:rFonts w:eastAsia="Times New Roman" w:cs="Times New Roman"/>
          <w:kern w:val="0"/>
          <w:sz w:val="24"/>
          <w:szCs w:val="24"/>
          <w:lang w:eastAsia="en-IN"/>
          <w14:ligatures w14:val="none"/>
        </w:rPr>
        <w:t>Age 25-34:</w:t>
      </w:r>
    </w:p>
    <w:p w14:paraId="234E5054" w14:textId="77777777" w:rsidR="001B293F" w:rsidRPr="001B293F" w:rsidRDefault="001B293F" w:rsidP="001B293F">
      <w:pPr>
        <w:numPr>
          <w:ilvl w:val="2"/>
          <w:numId w:val="6"/>
        </w:numPr>
        <w:spacing w:before="100" w:beforeAutospacing="1" w:after="100" w:afterAutospacing="1" w:line="240" w:lineRule="auto"/>
        <w:rPr>
          <w:rFonts w:eastAsia="Times New Roman" w:cs="Times New Roman"/>
          <w:kern w:val="0"/>
          <w:sz w:val="24"/>
          <w:szCs w:val="24"/>
          <w:lang w:eastAsia="en-IN"/>
          <w14:ligatures w14:val="none"/>
        </w:rPr>
      </w:pPr>
      <w:r w:rsidRPr="001B293F">
        <w:rPr>
          <w:rFonts w:eastAsia="Times New Roman" w:cs="Times New Roman"/>
          <w:kern w:val="0"/>
          <w:sz w:val="24"/>
          <w:szCs w:val="24"/>
          <w:lang w:eastAsia="en-IN"/>
          <w14:ligatures w14:val="none"/>
        </w:rPr>
        <w:t>HELs: 15%</w:t>
      </w:r>
    </w:p>
    <w:p w14:paraId="0E6C76D8" w14:textId="77777777" w:rsidR="001B293F" w:rsidRPr="001B293F" w:rsidRDefault="001B293F" w:rsidP="001B293F">
      <w:pPr>
        <w:numPr>
          <w:ilvl w:val="2"/>
          <w:numId w:val="6"/>
        </w:numPr>
        <w:spacing w:before="100" w:beforeAutospacing="1" w:after="100" w:afterAutospacing="1" w:line="240" w:lineRule="auto"/>
        <w:rPr>
          <w:rFonts w:eastAsia="Times New Roman" w:cs="Times New Roman"/>
          <w:kern w:val="0"/>
          <w:sz w:val="24"/>
          <w:szCs w:val="24"/>
          <w:lang w:eastAsia="en-IN"/>
          <w14:ligatures w14:val="none"/>
        </w:rPr>
      </w:pPr>
      <w:r w:rsidRPr="001B293F">
        <w:rPr>
          <w:rFonts w:eastAsia="Times New Roman" w:cs="Times New Roman"/>
          <w:kern w:val="0"/>
          <w:sz w:val="24"/>
          <w:szCs w:val="24"/>
          <w:lang w:eastAsia="en-IN"/>
          <w14:ligatures w14:val="none"/>
        </w:rPr>
        <w:t>HELOCs: 10%</w:t>
      </w:r>
    </w:p>
    <w:p w14:paraId="7217E527" w14:textId="77777777" w:rsidR="001B293F" w:rsidRPr="001B293F" w:rsidRDefault="001B293F" w:rsidP="001B293F">
      <w:pPr>
        <w:numPr>
          <w:ilvl w:val="1"/>
          <w:numId w:val="6"/>
        </w:numPr>
        <w:spacing w:before="100" w:beforeAutospacing="1" w:after="100" w:afterAutospacing="1" w:line="240" w:lineRule="auto"/>
        <w:rPr>
          <w:rFonts w:eastAsia="Times New Roman" w:cs="Times New Roman"/>
          <w:kern w:val="0"/>
          <w:sz w:val="24"/>
          <w:szCs w:val="24"/>
          <w:lang w:eastAsia="en-IN"/>
          <w14:ligatures w14:val="none"/>
        </w:rPr>
      </w:pPr>
      <w:r w:rsidRPr="001B293F">
        <w:rPr>
          <w:rFonts w:eastAsia="Times New Roman" w:cs="Times New Roman"/>
          <w:kern w:val="0"/>
          <w:sz w:val="24"/>
          <w:szCs w:val="24"/>
          <w:lang w:eastAsia="en-IN"/>
          <w14:ligatures w14:val="none"/>
        </w:rPr>
        <w:t>Age 35-44:</w:t>
      </w:r>
    </w:p>
    <w:p w14:paraId="19BEFB36" w14:textId="77777777" w:rsidR="001B293F" w:rsidRPr="001B293F" w:rsidRDefault="001B293F" w:rsidP="001B293F">
      <w:pPr>
        <w:numPr>
          <w:ilvl w:val="2"/>
          <w:numId w:val="6"/>
        </w:numPr>
        <w:spacing w:before="100" w:beforeAutospacing="1" w:after="100" w:afterAutospacing="1" w:line="240" w:lineRule="auto"/>
        <w:rPr>
          <w:rFonts w:eastAsia="Times New Roman" w:cs="Times New Roman"/>
          <w:kern w:val="0"/>
          <w:sz w:val="24"/>
          <w:szCs w:val="24"/>
          <w:lang w:eastAsia="en-IN"/>
          <w14:ligatures w14:val="none"/>
        </w:rPr>
      </w:pPr>
      <w:r w:rsidRPr="001B293F">
        <w:rPr>
          <w:rFonts w:eastAsia="Times New Roman" w:cs="Times New Roman"/>
          <w:kern w:val="0"/>
          <w:sz w:val="24"/>
          <w:szCs w:val="24"/>
          <w:lang w:eastAsia="en-IN"/>
          <w14:ligatures w14:val="none"/>
        </w:rPr>
        <w:t>HELs: 25%</w:t>
      </w:r>
    </w:p>
    <w:p w14:paraId="4EB80BC7" w14:textId="77777777" w:rsidR="001B293F" w:rsidRPr="001B293F" w:rsidRDefault="001B293F" w:rsidP="001B293F">
      <w:pPr>
        <w:numPr>
          <w:ilvl w:val="2"/>
          <w:numId w:val="6"/>
        </w:numPr>
        <w:spacing w:before="100" w:beforeAutospacing="1" w:after="100" w:afterAutospacing="1" w:line="240" w:lineRule="auto"/>
        <w:rPr>
          <w:rFonts w:eastAsia="Times New Roman" w:cs="Times New Roman"/>
          <w:kern w:val="0"/>
          <w:sz w:val="24"/>
          <w:szCs w:val="24"/>
          <w:lang w:eastAsia="en-IN"/>
          <w14:ligatures w14:val="none"/>
        </w:rPr>
      </w:pPr>
      <w:r w:rsidRPr="001B293F">
        <w:rPr>
          <w:rFonts w:eastAsia="Times New Roman" w:cs="Times New Roman"/>
          <w:kern w:val="0"/>
          <w:sz w:val="24"/>
          <w:szCs w:val="24"/>
          <w:lang w:eastAsia="en-IN"/>
          <w14:ligatures w14:val="none"/>
        </w:rPr>
        <w:t>HELOCs: 30%</w:t>
      </w:r>
    </w:p>
    <w:p w14:paraId="05A89DE0" w14:textId="77777777" w:rsidR="001B293F" w:rsidRPr="001B293F" w:rsidRDefault="001B293F" w:rsidP="001B293F">
      <w:pPr>
        <w:numPr>
          <w:ilvl w:val="1"/>
          <w:numId w:val="6"/>
        </w:numPr>
        <w:spacing w:before="100" w:beforeAutospacing="1" w:after="100" w:afterAutospacing="1" w:line="240" w:lineRule="auto"/>
        <w:rPr>
          <w:rFonts w:eastAsia="Times New Roman" w:cs="Times New Roman"/>
          <w:kern w:val="0"/>
          <w:sz w:val="24"/>
          <w:szCs w:val="24"/>
          <w:lang w:eastAsia="en-IN"/>
          <w14:ligatures w14:val="none"/>
        </w:rPr>
      </w:pPr>
      <w:r w:rsidRPr="001B293F">
        <w:rPr>
          <w:rFonts w:eastAsia="Times New Roman" w:cs="Times New Roman"/>
          <w:kern w:val="0"/>
          <w:sz w:val="24"/>
          <w:szCs w:val="24"/>
          <w:lang w:eastAsia="en-IN"/>
          <w14:ligatures w14:val="none"/>
        </w:rPr>
        <w:t>Age 45-54:</w:t>
      </w:r>
    </w:p>
    <w:p w14:paraId="30BD3FEA" w14:textId="77777777" w:rsidR="001B293F" w:rsidRPr="001B293F" w:rsidRDefault="001B293F" w:rsidP="001B293F">
      <w:pPr>
        <w:numPr>
          <w:ilvl w:val="2"/>
          <w:numId w:val="6"/>
        </w:numPr>
        <w:spacing w:before="100" w:beforeAutospacing="1" w:after="100" w:afterAutospacing="1" w:line="240" w:lineRule="auto"/>
        <w:rPr>
          <w:rFonts w:eastAsia="Times New Roman" w:cs="Times New Roman"/>
          <w:kern w:val="0"/>
          <w:sz w:val="24"/>
          <w:szCs w:val="24"/>
          <w:lang w:eastAsia="en-IN"/>
          <w14:ligatures w14:val="none"/>
        </w:rPr>
      </w:pPr>
      <w:r w:rsidRPr="001B293F">
        <w:rPr>
          <w:rFonts w:eastAsia="Times New Roman" w:cs="Times New Roman"/>
          <w:kern w:val="0"/>
          <w:sz w:val="24"/>
          <w:szCs w:val="24"/>
          <w:lang w:eastAsia="en-IN"/>
          <w14:ligatures w14:val="none"/>
        </w:rPr>
        <w:t>HELs: 30%</w:t>
      </w:r>
    </w:p>
    <w:p w14:paraId="6749CDEB" w14:textId="77777777" w:rsidR="001B293F" w:rsidRPr="001B293F" w:rsidRDefault="001B293F" w:rsidP="001B293F">
      <w:pPr>
        <w:numPr>
          <w:ilvl w:val="2"/>
          <w:numId w:val="6"/>
        </w:numPr>
        <w:spacing w:before="100" w:beforeAutospacing="1" w:after="100" w:afterAutospacing="1" w:line="240" w:lineRule="auto"/>
        <w:rPr>
          <w:rFonts w:eastAsia="Times New Roman" w:cs="Times New Roman"/>
          <w:kern w:val="0"/>
          <w:sz w:val="24"/>
          <w:szCs w:val="24"/>
          <w:lang w:eastAsia="en-IN"/>
          <w14:ligatures w14:val="none"/>
        </w:rPr>
      </w:pPr>
      <w:r w:rsidRPr="001B293F">
        <w:rPr>
          <w:rFonts w:eastAsia="Times New Roman" w:cs="Times New Roman"/>
          <w:kern w:val="0"/>
          <w:sz w:val="24"/>
          <w:szCs w:val="24"/>
          <w:lang w:eastAsia="en-IN"/>
          <w14:ligatures w14:val="none"/>
        </w:rPr>
        <w:t>HELOCs: 35%</w:t>
      </w:r>
    </w:p>
    <w:p w14:paraId="156DAF61" w14:textId="77777777" w:rsidR="001B293F" w:rsidRPr="001B293F" w:rsidRDefault="001B293F" w:rsidP="001B293F">
      <w:pPr>
        <w:numPr>
          <w:ilvl w:val="1"/>
          <w:numId w:val="6"/>
        </w:numPr>
        <w:spacing w:before="100" w:beforeAutospacing="1" w:after="100" w:afterAutospacing="1" w:line="240" w:lineRule="auto"/>
        <w:rPr>
          <w:rFonts w:eastAsia="Times New Roman" w:cs="Times New Roman"/>
          <w:kern w:val="0"/>
          <w:sz w:val="24"/>
          <w:szCs w:val="24"/>
          <w:lang w:eastAsia="en-IN"/>
          <w14:ligatures w14:val="none"/>
        </w:rPr>
      </w:pPr>
      <w:r w:rsidRPr="001B293F">
        <w:rPr>
          <w:rFonts w:eastAsia="Times New Roman" w:cs="Times New Roman"/>
          <w:kern w:val="0"/>
          <w:sz w:val="24"/>
          <w:szCs w:val="24"/>
          <w:lang w:eastAsia="en-IN"/>
          <w14:ligatures w14:val="none"/>
        </w:rPr>
        <w:t>Age 55-64:</w:t>
      </w:r>
    </w:p>
    <w:p w14:paraId="2BEDCB25" w14:textId="77777777" w:rsidR="001B293F" w:rsidRPr="001B293F" w:rsidRDefault="001B293F" w:rsidP="001B293F">
      <w:pPr>
        <w:numPr>
          <w:ilvl w:val="2"/>
          <w:numId w:val="6"/>
        </w:numPr>
        <w:spacing w:before="100" w:beforeAutospacing="1" w:after="100" w:afterAutospacing="1" w:line="240" w:lineRule="auto"/>
        <w:rPr>
          <w:rFonts w:eastAsia="Times New Roman" w:cs="Times New Roman"/>
          <w:kern w:val="0"/>
          <w:sz w:val="24"/>
          <w:szCs w:val="24"/>
          <w:lang w:eastAsia="en-IN"/>
          <w14:ligatures w14:val="none"/>
        </w:rPr>
      </w:pPr>
      <w:r w:rsidRPr="001B293F">
        <w:rPr>
          <w:rFonts w:eastAsia="Times New Roman" w:cs="Times New Roman"/>
          <w:kern w:val="0"/>
          <w:sz w:val="24"/>
          <w:szCs w:val="24"/>
          <w:lang w:eastAsia="en-IN"/>
          <w14:ligatures w14:val="none"/>
        </w:rPr>
        <w:t>HELs: 20%</w:t>
      </w:r>
    </w:p>
    <w:p w14:paraId="5C97190A" w14:textId="77777777" w:rsidR="001B293F" w:rsidRPr="001B293F" w:rsidRDefault="001B293F" w:rsidP="001B293F">
      <w:pPr>
        <w:numPr>
          <w:ilvl w:val="2"/>
          <w:numId w:val="6"/>
        </w:numPr>
        <w:spacing w:before="100" w:beforeAutospacing="1" w:after="100" w:afterAutospacing="1" w:line="240" w:lineRule="auto"/>
        <w:rPr>
          <w:rFonts w:eastAsia="Times New Roman" w:cs="Times New Roman"/>
          <w:kern w:val="0"/>
          <w:sz w:val="24"/>
          <w:szCs w:val="24"/>
          <w:lang w:eastAsia="en-IN"/>
          <w14:ligatures w14:val="none"/>
        </w:rPr>
      </w:pPr>
      <w:r w:rsidRPr="001B293F">
        <w:rPr>
          <w:rFonts w:eastAsia="Times New Roman" w:cs="Times New Roman"/>
          <w:kern w:val="0"/>
          <w:sz w:val="24"/>
          <w:szCs w:val="24"/>
          <w:lang w:eastAsia="en-IN"/>
          <w14:ligatures w14:val="none"/>
        </w:rPr>
        <w:t>HELOCs: 15%</w:t>
      </w:r>
    </w:p>
    <w:p w14:paraId="2BA8833B" w14:textId="77777777" w:rsidR="001B293F" w:rsidRPr="001B293F" w:rsidRDefault="001B293F" w:rsidP="001B293F">
      <w:pPr>
        <w:numPr>
          <w:ilvl w:val="1"/>
          <w:numId w:val="6"/>
        </w:numPr>
        <w:spacing w:before="100" w:beforeAutospacing="1" w:after="100" w:afterAutospacing="1" w:line="240" w:lineRule="auto"/>
        <w:rPr>
          <w:rFonts w:eastAsia="Times New Roman" w:cs="Times New Roman"/>
          <w:kern w:val="0"/>
          <w:sz w:val="24"/>
          <w:szCs w:val="24"/>
          <w:lang w:eastAsia="en-IN"/>
          <w14:ligatures w14:val="none"/>
        </w:rPr>
      </w:pPr>
      <w:r w:rsidRPr="001B293F">
        <w:rPr>
          <w:rFonts w:eastAsia="Times New Roman" w:cs="Times New Roman"/>
          <w:kern w:val="0"/>
          <w:sz w:val="24"/>
          <w:szCs w:val="24"/>
          <w:lang w:eastAsia="en-IN"/>
          <w14:ligatures w14:val="none"/>
        </w:rPr>
        <w:t>Age 65+:</w:t>
      </w:r>
    </w:p>
    <w:p w14:paraId="7ABF25CD" w14:textId="77777777" w:rsidR="001B293F" w:rsidRPr="001B293F" w:rsidRDefault="001B293F" w:rsidP="001B293F">
      <w:pPr>
        <w:numPr>
          <w:ilvl w:val="2"/>
          <w:numId w:val="6"/>
        </w:numPr>
        <w:spacing w:before="100" w:beforeAutospacing="1" w:after="100" w:afterAutospacing="1" w:line="240" w:lineRule="auto"/>
        <w:rPr>
          <w:rFonts w:eastAsia="Times New Roman" w:cs="Times New Roman"/>
          <w:kern w:val="0"/>
          <w:sz w:val="24"/>
          <w:szCs w:val="24"/>
          <w:lang w:eastAsia="en-IN"/>
          <w14:ligatures w14:val="none"/>
        </w:rPr>
      </w:pPr>
      <w:r w:rsidRPr="001B293F">
        <w:rPr>
          <w:rFonts w:eastAsia="Times New Roman" w:cs="Times New Roman"/>
          <w:kern w:val="0"/>
          <w:sz w:val="24"/>
          <w:szCs w:val="24"/>
          <w:lang w:eastAsia="en-IN"/>
          <w14:ligatures w14:val="none"/>
        </w:rPr>
        <w:t>HELs: 10%</w:t>
      </w:r>
    </w:p>
    <w:p w14:paraId="121A3298" w14:textId="77777777" w:rsidR="001B293F" w:rsidRPr="001B293F" w:rsidRDefault="001B293F" w:rsidP="001B293F">
      <w:pPr>
        <w:numPr>
          <w:ilvl w:val="2"/>
          <w:numId w:val="6"/>
        </w:numPr>
        <w:spacing w:before="100" w:beforeAutospacing="1" w:after="100" w:afterAutospacing="1" w:line="240" w:lineRule="auto"/>
        <w:rPr>
          <w:rFonts w:eastAsia="Times New Roman" w:cs="Times New Roman"/>
          <w:kern w:val="0"/>
          <w:sz w:val="24"/>
          <w:szCs w:val="24"/>
          <w:lang w:eastAsia="en-IN"/>
          <w14:ligatures w14:val="none"/>
        </w:rPr>
      </w:pPr>
      <w:r w:rsidRPr="001B293F">
        <w:rPr>
          <w:rFonts w:eastAsia="Times New Roman" w:cs="Times New Roman"/>
          <w:kern w:val="0"/>
          <w:sz w:val="24"/>
          <w:szCs w:val="24"/>
          <w:lang w:eastAsia="en-IN"/>
          <w14:ligatures w14:val="none"/>
        </w:rPr>
        <w:t>HELOCs: 10%</w:t>
      </w:r>
    </w:p>
    <w:p w14:paraId="1213B448" w14:textId="77777777" w:rsidR="001B293F" w:rsidRPr="001B293F" w:rsidRDefault="001B293F" w:rsidP="001B293F">
      <w:pPr>
        <w:numPr>
          <w:ilvl w:val="1"/>
          <w:numId w:val="6"/>
        </w:numPr>
        <w:spacing w:before="100" w:beforeAutospacing="1" w:after="100" w:afterAutospacing="1" w:line="240" w:lineRule="auto"/>
        <w:rPr>
          <w:rFonts w:eastAsia="Times New Roman" w:cs="Times New Roman"/>
          <w:kern w:val="0"/>
          <w:sz w:val="24"/>
          <w:szCs w:val="24"/>
          <w:lang w:eastAsia="en-IN"/>
          <w14:ligatures w14:val="none"/>
        </w:rPr>
      </w:pPr>
      <w:r w:rsidRPr="001B293F">
        <w:rPr>
          <w:rFonts w:eastAsia="Times New Roman" w:cs="Times New Roman"/>
          <w:kern w:val="0"/>
          <w:sz w:val="24"/>
          <w:szCs w:val="24"/>
          <w:lang w:eastAsia="en-IN"/>
          <w14:ligatures w14:val="none"/>
        </w:rPr>
        <w:t>Interpretation: Borrowers aged 35-54 make up the majority of both HELs and HELOCs users, with HELOCs slightly more popular among younger age groups (25-34).</w:t>
      </w:r>
    </w:p>
    <w:p w14:paraId="18F7F770" w14:textId="4A363677" w:rsidR="001B293F" w:rsidRPr="001B293F" w:rsidRDefault="001B293F" w:rsidP="001B293F">
      <w:pPr>
        <w:pStyle w:val="ListParagraph"/>
        <w:numPr>
          <w:ilvl w:val="0"/>
          <w:numId w:val="6"/>
        </w:numPr>
        <w:rPr>
          <w:rFonts w:eastAsia="Times New Roman" w:cs="Times New Roman"/>
          <w:kern w:val="0"/>
          <w:sz w:val="24"/>
          <w:szCs w:val="24"/>
          <w:lang w:eastAsia="en-IN"/>
          <w14:ligatures w14:val="none"/>
        </w:rPr>
      </w:pPr>
      <w:r w:rsidRPr="001B293F">
        <w:rPr>
          <w:rFonts w:eastAsia="Times New Roman" w:cs="Times New Roman"/>
          <w:kern w:val="0"/>
          <w:sz w:val="24"/>
          <w:szCs w:val="24"/>
          <w:lang w:eastAsia="en-IN"/>
          <w14:ligatures w14:val="none"/>
        </w:rPr>
        <w:br w:type="page"/>
      </w:r>
      <w:r w:rsidRPr="001B293F">
        <w:rPr>
          <w:rFonts w:eastAsia="Times New Roman" w:cs="Times New Roman"/>
          <w:kern w:val="0"/>
          <w:sz w:val="24"/>
          <w:szCs w:val="24"/>
          <w:lang w:eastAsia="en-IN"/>
          <w14:ligatures w14:val="none"/>
        </w:rPr>
        <w:lastRenderedPageBreak/>
        <w:t>Income Levels:</w:t>
      </w:r>
    </w:p>
    <w:p w14:paraId="7BDC4FE3" w14:textId="77777777" w:rsidR="001B293F" w:rsidRPr="001B293F" w:rsidRDefault="001B293F" w:rsidP="001B293F">
      <w:pPr>
        <w:numPr>
          <w:ilvl w:val="1"/>
          <w:numId w:val="6"/>
        </w:numPr>
        <w:spacing w:before="100" w:beforeAutospacing="1" w:after="100" w:afterAutospacing="1" w:line="240" w:lineRule="auto"/>
        <w:rPr>
          <w:rFonts w:eastAsia="Times New Roman" w:cs="Times New Roman"/>
          <w:kern w:val="0"/>
          <w:sz w:val="24"/>
          <w:szCs w:val="24"/>
          <w:lang w:eastAsia="en-IN"/>
          <w14:ligatures w14:val="none"/>
        </w:rPr>
      </w:pPr>
      <w:r w:rsidRPr="001B293F">
        <w:rPr>
          <w:rFonts w:eastAsia="Times New Roman" w:cs="Times New Roman"/>
          <w:kern w:val="0"/>
          <w:sz w:val="24"/>
          <w:szCs w:val="24"/>
          <w:lang w:eastAsia="en-IN"/>
          <w14:ligatures w14:val="none"/>
        </w:rPr>
        <w:t>Income &lt;$50,000:</w:t>
      </w:r>
    </w:p>
    <w:p w14:paraId="4DF1AD40" w14:textId="77777777" w:rsidR="001B293F" w:rsidRPr="001B293F" w:rsidRDefault="001B293F" w:rsidP="001B293F">
      <w:pPr>
        <w:numPr>
          <w:ilvl w:val="2"/>
          <w:numId w:val="6"/>
        </w:numPr>
        <w:spacing w:before="100" w:beforeAutospacing="1" w:after="100" w:afterAutospacing="1" w:line="240" w:lineRule="auto"/>
        <w:rPr>
          <w:rFonts w:eastAsia="Times New Roman" w:cs="Times New Roman"/>
          <w:kern w:val="0"/>
          <w:sz w:val="24"/>
          <w:szCs w:val="24"/>
          <w:lang w:eastAsia="en-IN"/>
          <w14:ligatures w14:val="none"/>
        </w:rPr>
      </w:pPr>
      <w:r w:rsidRPr="001B293F">
        <w:rPr>
          <w:rFonts w:eastAsia="Times New Roman" w:cs="Times New Roman"/>
          <w:kern w:val="0"/>
          <w:sz w:val="24"/>
          <w:szCs w:val="24"/>
          <w:lang w:eastAsia="en-IN"/>
          <w14:ligatures w14:val="none"/>
        </w:rPr>
        <w:t>HELs: 20%</w:t>
      </w:r>
    </w:p>
    <w:p w14:paraId="4B905EC5" w14:textId="77777777" w:rsidR="001B293F" w:rsidRPr="001B293F" w:rsidRDefault="001B293F" w:rsidP="001B293F">
      <w:pPr>
        <w:numPr>
          <w:ilvl w:val="2"/>
          <w:numId w:val="6"/>
        </w:numPr>
        <w:spacing w:before="100" w:beforeAutospacing="1" w:after="100" w:afterAutospacing="1" w:line="240" w:lineRule="auto"/>
        <w:rPr>
          <w:rFonts w:eastAsia="Times New Roman" w:cs="Times New Roman"/>
          <w:kern w:val="0"/>
          <w:sz w:val="24"/>
          <w:szCs w:val="24"/>
          <w:lang w:eastAsia="en-IN"/>
          <w14:ligatures w14:val="none"/>
        </w:rPr>
      </w:pPr>
      <w:r w:rsidRPr="001B293F">
        <w:rPr>
          <w:rFonts w:eastAsia="Times New Roman" w:cs="Times New Roman"/>
          <w:kern w:val="0"/>
          <w:sz w:val="24"/>
          <w:szCs w:val="24"/>
          <w:lang w:eastAsia="en-IN"/>
          <w14:ligatures w14:val="none"/>
        </w:rPr>
        <w:t>HELOCs: 15%</w:t>
      </w:r>
    </w:p>
    <w:p w14:paraId="7C908254" w14:textId="77777777" w:rsidR="001B293F" w:rsidRPr="001B293F" w:rsidRDefault="001B293F" w:rsidP="001B293F">
      <w:pPr>
        <w:numPr>
          <w:ilvl w:val="1"/>
          <w:numId w:val="6"/>
        </w:numPr>
        <w:spacing w:before="100" w:beforeAutospacing="1" w:after="100" w:afterAutospacing="1" w:line="240" w:lineRule="auto"/>
        <w:rPr>
          <w:rFonts w:eastAsia="Times New Roman" w:cs="Times New Roman"/>
          <w:kern w:val="0"/>
          <w:sz w:val="24"/>
          <w:szCs w:val="24"/>
          <w:lang w:eastAsia="en-IN"/>
          <w14:ligatures w14:val="none"/>
        </w:rPr>
      </w:pPr>
      <w:r w:rsidRPr="001B293F">
        <w:rPr>
          <w:rFonts w:eastAsia="Times New Roman" w:cs="Times New Roman"/>
          <w:kern w:val="0"/>
          <w:sz w:val="24"/>
          <w:szCs w:val="24"/>
          <w:lang w:eastAsia="en-IN"/>
          <w14:ligatures w14:val="none"/>
        </w:rPr>
        <w:t>Income $50,000-$99,999:</w:t>
      </w:r>
    </w:p>
    <w:p w14:paraId="4EE4DDC1" w14:textId="77777777" w:rsidR="001B293F" w:rsidRPr="001B293F" w:rsidRDefault="001B293F" w:rsidP="001B293F">
      <w:pPr>
        <w:numPr>
          <w:ilvl w:val="2"/>
          <w:numId w:val="6"/>
        </w:numPr>
        <w:spacing w:before="100" w:beforeAutospacing="1" w:after="100" w:afterAutospacing="1" w:line="240" w:lineRule="auto"/>
        <w:rPr>
          <w:rFonts w:eastAsia="Times New Roman" w:cs="Times New Roman"/>
          <w:kern w:val="0"/>
          <w:sz w:val="24"/>
          <w:szCs w:val="24"/>
          <w:lang w:eastAsia="en-IN"/>
          <w14:ligatures w14:val="none"/>
        </w:rPr>
      </w:pPr>
      <w:r w:rsidRPr="001B293F">
        <w:rPr>
          <w:rFonts w:eastAsia="Times New Roman" w:cs="Times New Roman"/>
          <w:kern w:val="0"/>
          <w:sz w:val="24"/>
          <w:szCs w:val="24"/>
          <w:lang w:eastAsia="en-IN"/>
          <w14:ligatures w14:val="none"/>
        </w:rPr>
        <w:t>HELs: 50%</w:t>
      </w:r>
    </w:p>
    <w:p w14:paraId="3D1C1E17" w14:textId="77777777" w:rsidR="001B293F" w:rsidRPr="001B293F" w:rsidRDefault="001B293F" w:rsidP="001B293F">
      <w:pPr>
        <w:numPr>
          <w:ilvl w:val="2"/>
          <w:numId w:val="6"/>
        </w:numPr>
        <w:spacing w:before="100" w:beforeAutospacing="1" w:after="100" w:afterAutospacing="1" w:line="240" w:lineRule="auto"/>
        <w:rPr>
          <w:rFonts w:eastAsia="Times New Roman" w:cs="Times New Roman"/>
          <w:kern w:val="0"/>
          <w:sz w:val="24"/>
          <w:szCs w:val="24"/>
          <w:lang w:eastAsia="en-IN"/>
          <w14:ligatures w14:val="none"/>
        </w:rPr>
      </w:pPr>
      <w:r w:rsidRPr="001B293F">
        <w:rPr>
          <w:rFonts w:eastAsia="Times New Roman" w:cs="Times New Roman"/>
          <w:kern w:val="0"/>
          <w:sz w:val="24"/>
          <w:szCs w:val="24"/>
          <w:lang w:eastAsia="en-IN"/>
          <w14:ligatures w14:val="none"/>
        </w:rPr>
        <w:t>HELOCs: 55%</w:t>
      </w:r>
    </w:p>
    <w:p w14:paraId="7ABB1E2F" w14:textId="77777777" w:rsidR="001B293F" w:rsidRPr="001B293F" w:rsidRDefault="001B293F" w:rsidP="001B293F">
      <w:pPr>
        <w:numPr>
          <w:ilvl w:val="1"/>
          <w:numId w:val="6"/>
        </w:numPr>
        <w:spacing w:before="100" w:beforeAutospacing="1" w:after="100" w:afterAutospacing="1" w:line="240" w:lineRule="auto"/>
        <w:rPr>
          <w:rFonts w:eastAsia="Times New Roman" w:cs="Times New Roman"/>
          <w:kern w:val="0"/>
          <w:sz w:val="24"/>
          <w:szCs w:val="24"/>
          <w:lang w:eastAsia="en-IN"/>
          <w14:ligatures w14:val="none"/>
        </w:rPr>
      </w:pPr>
      <w:r w:rsidRPr="001B293F">
        <w:rPr>
          <w:rFonts w:eastAsia="Times New Roman" w:cs="Times New Roman"/>
          <w:kern w:val="0"/>
          <w:sz w:val="24"/>
          <w:szCs w:val="24"/>
          <w:lang w:eastAsia="en-IN"/>
          <w14:ligatures w14:val="none"/>
        </w:rPr>
        <w:t>Income $100,000+:</w:t>
      </w:r>
    </w:p>
    <w:p w14:paraId="7781FC5D" w14:textId="77777777" w:rsidR="001B293F" w:rsidRPr="001B293F" w:rsidRDefault="001B293F" w:rsidP="001B293F">
      <w:pPr>
        <w:numPr>
          <w:ilvl w:val="2"/>
          <w:numId w:val="6"/>
        </w:numPr>
        <w:spacing w:before="100" w:beforeAutospacing="1" w:after="100" w:afterAutospacing="1" w:line="240" w:lineRule="auto"/>
        <w:rPr>
          <w:rFonts w:eastAsia="Times New Roman" w:cs="Times New Roman"/>
          <w:kern w:val="0"/>
          <w:sz w:val="24"/>
          <w:szCs w:val="24"/>
          <w:lang w:eastAsia="en-IN"/>
          <w14:ligatures w14:val="none"/>
        </w:rPr>
      </w:pPr>
      <w:r w:rsidRPr="001B293F">
        <w:rPr>
          <w:rFonts w:eastAsia="Times New Roman" w:cs="Times New Roman"/>
          <w:kern w:val="0"/>
          <w:sz w:val="24"/>
          <w:szCs w:val="24"/>
          <w:lang w:eastAsia="en-IN"/>
          <w14:ligatures w14:val="none"/>
        </w:rPr>
        <w:t>HELs: 30%</w:t>
      </w:r>
    </w:p>
    <w:p w14:paraId="50BB6F66" w14:textId="77777777" w:rsidR="001B293F" w:rsidRPr="001B293F" w:rsidRDefault="001B293F" w:rsidP="001B293F">
      <w:pPr>
        <w:numPr>
          <w:ilvl w:val="2"/>
          <w:numId w:val="6"/>
        </w:numPr>
        <w:spacing w:before="100" w:beforeAutospacing="1" w:after="100" w:afterAutospacing="1" w:line="240" w:lineRule="auto"/>
        <w:rPr>
          <w:rFonts w:eastAsia="Times New Roman" w:cs="Times New Roman"/>
          <w:kern w:val="0"/>
          <w:sz w:val="24"/>
          <w:szCs w:val="24"/>
          <w:lang w:eastAsia="en-IN"/>
          <w14:ligatures w14:val="none"/>
        </w:rPr>
      </w:pPr>
      <w:r w:rsidRPr="001B293F">
        <w:rPr>
          <w:rFonts w:eastAsia="Times New Roman" w:cs="Times New Roman"/>
          <w:kern w:val="0"/>
          <w:sz w:val="24"/>
          <w:szCs w:val="24"/>
          <w:lang w:eastAsia="en-IN"/>
          <w14:ligatures w14:val="none"/>
        </w:rPr>
        <w:t>HELOCs: 30%</w:t>
      </w:r>
    </w:p>
    <w:p w14:paraId="41AD8062" w14:textId="77777777" w:rsidR="001B293F" w:rsidRPr="001B293F" w:rsidRDefault="001B293F" w:rsidP="001B293F">
      <w:pPr>
        <w:numPr>
          <w:ilvl w:val="1"/>
          <w:numId w:val="6"/>
        </w:numPr>
        <w:spacing w:before="100" w:beforeAutospacing="1" w:after="100" w:afterAutospacing="1" w:line="240" w:lineRule="auto"/>
        <w:rPr>
          <w:rFonts w:eastAsia="Times New Roman" w:cs="Times New Roman"/>
          <w:kern w:val="0"/>
          <w:sz w:val="24"/>
          <w:szCs w:val="24"/>
          <w:lang w:eastAsia="en-IN"/>
          <w14:ligatures w14:val="none"/>
        </w:rPr>
      </w:pPr>
      <w:r w:rsidRPr="001B293F">
        <w:rPr>
          <w:rFonts w:eastAsia="Times New Roman" w:cs="Times New Roman"/>
          <w:kern w:val="0"/>
          <w:sz w:val="24"/>
          <w:szCs w:val="24"/>
          <w:lang w:eastAsia="en-IN"/>
          <w14:ligatures w14:val="none"/>
        </w:rPr>
        <w:t>Interpretation: Borrowers with incomes between $50,000-$99,999 account for the largest segment using both HELs and HELOCs, with slightly higher usage among higher income groups for HELOCs.</w:t>
      </w:r>
    </w:p>
    <w:p w14:paraId="382311C2" w14:textId="77777777" w:rsidR="001B293F" w:rsidRPr="001B293F" w:rsidRDefault="001B293F" w:rsidP="001B293F">
      <w:pPr>
        <w:spacing w:before="100" w:beforeAutospacing="1" w:after="100" w:afterAutospacing="1" w:line="240" w:lineRule="auto"/>
        <w:rPr>
          <w:rFonts w:eastAsia="Times New Roman" w:cs="Times New Roman"/>
          <w:kern w:val="0"/>
          <w:sz w:val="24"/>
          <w:szCs w:val="24"/>
          <w:lang w:eastAsia="en-IN"/>
          <w14:ligatures w14:val="none"/>
        </w:rPr>
      </w:pPr>
      <w:r w:rsidRPr="001B293F">
        <w:rPr>
          <w:rFonts w:eastAsia="Times New Roman" w:cs="Times New Roman"/>
          <w:kern w:val="0"/>
          <w:sz w:val="24"/>
          <w:szCs w:val="24"/>
          <w:lang w:eastAsia="en-IN"/>
          <w14:ligatures w14:val="none"/>
        </w:rPr>
        <w:t xml:space="preserve">These percentages illustrate the demographic distribution of borrowers using HELs and HELOCs, highlighting age and income trends in borrowing </w:t>
      </w:r>
      <w:proofErr w:type="spellStart"/>
      <w:r w:rsidRPr="001B293F">
        <w:rPr>
          <w:rFonts w:eastAsia="Times New Roman" w:cs="Times New Roman"/>
          <w:kern w:val="0"/>
          <w:sz w:val="24"/>
          <w:szCs w:val="24"/>
          <w:lang w:eastAsia="en-IN"/>
          <w14:ligatures w14:val="none"/>
        </w:rPr>
        <w:t>behavior</w:t>
      </w:r>
      <w:proofErr w:type="spellEnd"/>
      <w:r w:rsidRPr="001B293F">
        <w:rPr>
          <w:rFonts w:eastAsia="Times New Roman" w:cs="Times New Roman"/>
          <w:kern w:val="0"/>
          <w:sz w:val="24"/>
          <w:szCs w:val="24"/>
          <w:lang w:eastAsia="en-IN"/>
          <w14:ligatures w14:val="none"/>
        </w:rPr>
        <w:t>.</w:t>
      </w:r>
    </w:p>
    <w:p w14:paraId="35FB1150" w14:textId="77777777" w:rsidR="001B293F" w:rsidRPr="001B293F" w:rsidRDefault="001B293F" w:rsidP="001B293F">
      <w:pPr>
        <w:pStyle w:val="Heading2"/>
        <w:rPr>
          <w:rFonts w:eastAsia="Times New Roman"/>
          <w:lang w:eastAsia="en-IN"/>
        </w:rPr>
      </w:pPr>
      <w:r w:rsidRPr="001B293F">
        <w:rPr>
          <w:rFonts w:eastAsia="Times New Roman"/>
          <w:lang w:eastAsia="en-IN"/>
        </w:rPr>
        <w:t>Average Home Equity Loan and HELOC Amounts by Year</w:t>
      </w:r>
    </w:p>
    <w:tbl>
      <w:tblPr>
        <w:tblStyle w:val="TableGrid"/>
        <w:tblW w:w="4055" w:type="dxa"/>
        <w:tblLook w:val="04A0" w:firstRow="1" w:lastRow="0" w:firstColumn="1" w:lastColumn="0" w:noHBand="0" w:noVBand="1"/>
      </w:tblPr>
      <w:tblGrid>
        <w:gridCol w:w="1211"/>
        <w:gridCol w:w="1422"/>
        <w:gridCol w:w="1422"/>
      </w:tblGrid>
      <w:tr w:rsidR="001B293F" w:rsidRPr="001B293F" w14:paraId="102B9260" w14:textId="77777777" w:rsidTr="001B293F">
        <w:trPr>
          <w:trHeight w:val="1733"/>
        </w:trPr>
        <w:tc>
          <w:tcPr>
            <w:tcW w:w="1211" w:type="dxa"/>
            <w:hideMark/>
          </w:tcPr>
          <w:p w14:paraId="3091D977" w14:textId="77777777" w:rsidR="001B293F" w:rsidRPr="001B293F" w:rsidRDefault="001B293F" w:rsidP="001B293F">
            <w:pPr>
              <w:jc w:val="center"/>
              <w:rPr>
                <w:rFonts w:ascii="Aptos Narrow" w:eastAsia="Times New Roman" w:hAnsi="Aptos Narrow" w:cs="Times New Roman"/>
                <w:b/>
                <w:bCs/>
                <w:color w:val="000000"/>
                <w:kern w:val="0"/>
                <w:sz w:val="24"/>
                <w:szCs w:val="24"/>
                <w:lang w:eastAsia="en-IN"/>
                <w14:ligatures w14:val="none"/>
              </w:rPr>
            </w:pPr>
            <w:r w:rsidRPr="001B293F">
              <w:rPr>
                <w:rFonts w:ascii="Aptos Narrow" w:eastAsia="Times New Roman" w:hAnsi="Aptos Narrow" w:cs="Times New Roman"/>
                <w:b/>
                <w:bCs/>
                <w:color w:val="000000"/>
                <w:kern w:val="0"/>
                <w:sz w:val="24"/>
                <w:szCs w:val="24"/>
                <w:lang w:eastAsia="en-IN"/>
                <w14:ligatures w14:val="none"/>
              </w:rPr>
              <w:t>Year</w:t>
            </w:r>
          </w:p>
        </w:tc>
        <w:tc>
          <w:tcPr>
            <w:tcW w:w="1422" w:type="dxa"/>
            <w:hideMark/>
          </w:tcPr>
          <w:p w14:paraId="665072AF" w14:textId="77777777" w:rsidR="001B293F" w:rsidRPr="001B293F" w:rsidRDefault="001B293F" w:rsidP="001B293F">
            <w:pPr>
              <w:jc w:val="center"/>
              <w:rPr>
                <w:rFonts w:ascii="Aptos Narrow" w:eastAsia="Times New Roman" w:hAnsi="Aptos Narrow" w:cs="Times New Roman"/>
                <w:b/>
                <w:bCs/>
                <w:color w:val="000000"/>
                <w:kern w:val="0"/>
                <w:sz w:val="24"/>
                <w:szCs w:val="24"/>
                <w:lang w:eastAsia="en-IN"/>
                <w14:ligatures w14:val="none"/>
              </w:rPr>
            </w:pPr>
            <w:r w:rsidRPr="001B293F">
              <w:rPr>
                <w:rFonts w:ascii="Aptos Narrow" w:eastAsia="Times New Roman" w:hAnsi="Aptos Narrow" w:cs="Times New Roman"/>
                <w:b/>
                <w:bCs/>
                <w:color w:val="000000"/>
                <w:kern w:val="0"/>
                <w:sz w:val="24"/>
                <w:szCs w:val="24"/>
                <w:lang w:eastAsia="en-IN"/>
                <w14:ligatures w14:val="none"/>
              </w:rPr>
              <w:t>Average Home Equity Loan Amount ($)</w:t>
            </w:r>
          </w:p>
        </w:tc>
        <w:tc>
          <w:tcPr>
            <w:tcW w:w="1422" w:type="dxa"/>
            <w:hideMark/>
          </w:tcPr>
          <w:p w14:paraId="374C9637" w14:textId="77777777" w:rsidR="001B293F" w:rsidRPr="001B293F" w:rsidRDefault="001B293F" w:rsidP="001B293F">
            <w:pPr>
              <w:jc w:val="center"/>
              <w:rPr>
                <w:rFonts w:ascii="Aptos Narrow" w:eastAsia="Times New Roman" w:hAnsi="Aptos Narrow" w:cs="Times New Roman"/>
                <w:b/>
                <w:bCs/>
                <w:color w:val="000000"/>
                <w:kern w:val="0"/>
                <w:sz w:val="24"/>
                <w:szCs w:val="24"/>
                <w:lang w:eastAsia="en-IN"/>
                <w14:ligatures w14:val="none"/>
              </w:rPr>
            </w:pPr>
            <w:r w:rsidRPr="001B293F">
              <w:rPr>
                <w:rFonts w:ascii="Aptos Narrow" w:eastAsia="Times New Roman" w:hAnsi="Aptos Narrow" w:cs="Times New Roman"/>
                <w:b/>
                <w:bCs/>
                <w:color w:val="000000"/>
                <w:kern w:val="0"/>
                <w:sz w:val="24"/>
                <w:szCs w:val="24"/>
                <w:lang w:eastAsia="en-IN"/>
                <w14:ligatures w14:val="none"/>
              </w:rPr>
              <w:t>Average HELOC Amount ($)</w:t>
            </w:r>
          </w:p>
        </w:tc>
      </w:tr>
      <w:tr w:rsidR="001B293F" w:rsidRPr="001B293F" w14:paraId="7F8D4A09" w14:textId="77777777" w:rsidTr="001B293F">
        <w:trPr>
          <w:trHeight w:val="288"/>
        </w:trPr>
        <w:tc>
          <w:tcPr>
            <w:tcW w:w="1211" w:type="dxa"/>
            <w:hideMark/>
          </w:tcPr>
          <w:p w14:paraId="729B30E8" w14:textId="77777777" w:rsidR="001B293F" w:rsidRPr="001B293F" w:rsidRDefault="001B293F" w:rsidP="001B293F">
            <w:pPr>
              <w:jc w:val="right"/>
              <w:rPr>
                <w:rFonts w:ascii="Aptos Narrow" w:eastAsia="Times New Roman" w:hAnsi="Aptos Narrow" w:cs="Times New Roman"/>
                <w:color w:val="000000"/>
                <w:kern w:val="0"/>
                <w:sz w:val="24"/>
                <w:szCs w:val="24"/>
                <w:lang w:eastAsia="en-IN"/>
                <w14:ligatures w14:val="none"/>
              </w:rPr>
            </w:pPr>
            <w:r w:rsidRPr="001B293F">
              <w:rPr>
                <w:rFonts w:ascii="Aptos Narrow" w:eastAsia="Times New Roman" w:hAnsi="Aptos Narrow" w:cs="Times New Roman"/>
                <w:color w:val="000000"/>
                <w:kern w:val="0"/>
                <w:sz w:val="24"/>
                <w:szCs w:val="24"/>
                <w:lang w:eastAsia="en-IN"/>
                <w14:ligatures w14:val="none"/>
              </w:rPr>
              <w:t>2018</w:t>
            </w:r>
          </w:p>
        </w:tc>
        <w:tc>
          <w:tcPr>
            <w:tcW w:w="1422" w:type="dxa"/>
            <w:hideMark/>
          </w:tcPr>
          <w:p w14:paraId="46B031C9" w14:textId="77777777" w:rsidR="001B293F" w:rsidRPr="001B293F" w:rsidRDefault="001B293F" w:rsidP="001B293F">
            <w:pPr>
              <w:jc w:val="right"/>
              <w:rPr>
                <w:rFonts w:ascii="Aptos Narrow" w:eastAsia="Times New Roman" w:hAnsi="Aptos Narrow" w:cs="Times New Roman"/>
                <w:color w:val="000000"/>
                <w:kern w:val="0"/>
                <w:sz w:val="24"/>
                <w:szCs w:val="24"/>
                <w:lang w:eastAsia="en-IN"/>
                <w14:ligatures w14:val="none"/>
              </w:rPr>
            </w:pPr>
            <w:r w:rsidRPr="001B293F">
              <w:rPr>
                <w:rFonts w:ascii="Aptos Narrow" w:eastAsia="Times New Roman" w:hAnsi="Aptos Narrow" w:cs="Times New Roman"/>
                <w:color w:val="000000"/>
                <w:kern w:val="0"/>
                <w:sz w:val="24"/>
                <w:szCs w:val="24"/>
                <w:lang w:eastAsia="en-IN"/>
                <w14:ligatures w14:val="none"/>
              </w:rPr>
              <w:t>40,000</w:t>
            </w:r>
          </w:p>
        </w:tc>
        <w:tc>
          <w:tcPr>
            <w:tcW w:w="1422" w:type="dxa"/>
            <w:hideMark/>
          </w:tcPr>
          <w:p w14:paraId="7072CF72" w14:textId="77777777" w:rsidR="001B293F" w:rsidRPr="001B293F" w:rsidRDefault="001B293F" w:rsidP="001B293F">
            <w:pPr>
              <w:jc w:val="right"/>
              <w:rPr>
                <w:rFonts w:ascii="Aptos Narrow" w:eastAsia="Times New Roman" w:hAnsi="Aptos Narrow" w:cs="Times New Roman"/>
                <w:color w:val="000000"/>
                <w:kern w:val="0"/>
                <w:sz w:val="24"/>
                <w:szCs w:val="24"/>
                <w:lang w:eastAsia="en-IN"/>
                <w14:ligatures w14:val="none"/>
              </w:rPr>
            </w:pPr>
            <w:r w:rsidRPr="001B293F">
              <w:rPr>
                <w:rFonts w:ascii="Aptos Narrow" w:eastAsia="Times New Roman" w:hAnsi="Aptos Narrow" w:cs="Times New Roman"/>
                <w:color w:val="000000"/>
                <w:kern w:val="0"/>
                <w:sz w:val="24"/>
                <w:szCs w:val="24"/>
                <w:lang w:eastAsia="en-IN"/>
                <w14:ligatures w14:val="none"/>
              </w:rPr>
              <w:t>50,000</w:t>
            </w:r>
          </w:p>
        </w:tc>
      </w:tr>
      <w:tr w:rsidR="001B293F" w:rsidRPr="001B293F" w14:paraId="40732FFF" w14:textId="77777777" w:rsidTr="001B293F">
        <w:trPr>
          <w:trHeight w:val="288"/>
        </w:trPr>
        <w:tc>
          <w:tcPr>
            <w:tcW w:w="1211" w:type="dxa"/>
            <w:hideMark/>
          </w:tcPr>
          <w:p w14:paraId="6A5E44C3" w14:textId="77777777" w:rsidR="001B293F" w:rsidRPr="001B293F" w:rsidRDefault="001B293F" w:rsidP="001B293F">
            <w:pPr>
              <w:jc w:val="right"/>
              <w:rPr>
                <w:rFonts w:ascii="Aptos Narrow" w:eastAsia="Times New Roman" w:hAnsi="Aptos Narrow" w:cs="Times New Roman"/>
                <w:color w:val="000000"/>
                <w:kern w:val="0"/>
                <w:sz w:val="24"/>
                <w:szCs w:val="24"/>
                <w:lang w:eastAsia="en-IN"/>
                <w14:ligatures w14:val="none"/>
              </w:rPr>
            </w:pPr>
            <w:r w:rsidRPr="001B293F">
              <w:rPr>
                <w:rFonts w:ascii="Aptos Narrow" w:eastAsia="Times New Roman" w:hAnsi="Aptos Narrow" w:cs="Times New Roman"/>
                <w:color w:val="000000"/>
                <w:kern w:val="0"/>
                <w:sz w:val="24"/>
                <w:szCs w:val="24"/>
                <w:lang w:eastAsia="en-IN"/>
                <w14:ligatures w14:val="none"/>
              </w:rPr>
              <w:t>2019</w:t>
            </w:r>
          </w:p>
        </w:tc>
        <w:tc>
          <w:tcPr>
            <w:tcW w:w="1422" w:type="dxa"/>
            <w:hideMark/>
          </w:tcPr>
          <w:p w14:paraId="3D80D2AB" w14:textId="77777777" w:rsidR="001B293F" w:rsidRPr="001B293F" w:rsidRDefault="001B293F" w:rsidP="001B293F">
            <w:pPr>
              <w:jc w:val="right"/>
              <w:rPr>
                <w:rFonts w:ascii="Aptos Narrow" w:eastAsia="Times New Roman" w:hAnsi="Aptos Narrow" w:cs="Times New Roman"/>
                <w:color w:val="000000"/>
                <w:kern w:val="0"/>
                <w:sz w:val="24"/>
                <w:szCs w:val="24"/>
                <w:lang w:eastAsia="en-IN"/>
                <w14:ligatures w14:val="none"/>
              </w:rPr>
            </w:pPr>
            <w:r w:rsidRPr="001B293F">
              <w:rPr>
                <w:rFonts w:ascii="Aptos Narrow" w:eastAsia="Times New Roman" w:hAnsi="Aptos Narrow" w:cs="Times New Roman"/>
                <w:color w:val="000000"/>
                <w:kern w:val="0"/>
                <w:sz w:val="24"/>
                <w:szCs w:val="24"/>
                <w:lang w:eastAsia="en-IN"/>
                <w14:ligatures w14:val="none"/>
              </w:rPr>
              <w:t>42,000</w:t>
            </w:r>
          </w:p>
        </w:tc>
        <w:tc>
          <w:tcPr>
            <w:tcW w:w="1422" w:type="dxa"/>
            <w:hideMark/>
          </w:tcPr>
          <w:p w14:paraId="121EBE32" w14:textId="77777777" w:rsidR="001B293F" w:rsidRPr="001B293F" w:rsidRDefault="001B293F" w:rsidP="001B293F">
            <w:pPr>
              <w:jc w:val="right"/>
              <w:rPr>
                <w:rFonts w:ascii="Aptos Narrow" w:eastAsia="Times New Roman" w:hAnsi="Aptos Narrow" w:cs="Times New Roman"/>
                <w:color w:val="000000"/>
                <w:kern w:val="0"/>
                <w:sz w:val="24"/>
                <w:szCs w:val="24"/>
                <w:lang w:eastAsia="en-IN"/>
                <w14:ligatures w14:val="none"/>
              </w:rPr>
            </w:pPr>
            <w:r w:rsidRPr="001B293F">
              <w:rPr>
                <w:rFonts w:ascii="Aptos Narrow" w:eastAsia="Times New Roman" w:hAnsi="Aptos Narrow" w:cs="Times New Roman"/>
                <w:color w:val="000000"/>
                <w:kern w:val="0"/>
                <w:sz w:val="24"/>
                <w:szCs w:val="24"/>
                <w:lang w:eastAsia="en-IN"/>
                <w14:ligatures w14:val="none"/>
              </w:rPr>
              <w:t>52,000</w:t>
            </w:r>
          </w:p>
        </w:tc>
      </w:tr>
      <w:tr w:rsidR="001B293F" w:rsidRPr="001B293F" w14:paraId="1C31E7F4" w14:textId="77777777" w:rsidTr="001B293F">
        <w:trPr>
          <w:trHeight w:val="288"/>
        </w:trPr>
        <w:tc>
          <w:tcPr>
            <w:tcW w:w="1211" w:type="dxa"/>
            <w:hideMark/>
          </w:tcPr>
          <w:p w14:paraId="1E052D72" w14:textId="77777777" w:rsidR="001B293F" w:rsidRPr="001B293F" w:rsidRDefault="001B293F" w:rsidP="001B293F">
            <w:pPr>
              <w:jc w:val="right"/>
              <w:rPr>
                <w:rFonts w:ascii="Aptos Narrow" w:eastAsia="Times New Roman" w:hAnsi="Aptos Narrow" w:cs="Times New Roman"/>
                <w:color w:val="000000"/>
                <w:kern w:val="0"/>
                <w:sz w:val="24"/>
                <w:szCs w:val="24"/>
                <w:lang w:eastAsia="en-IN"/>
                <w14:ligatures w14:val="none"/>
              </w:rPr>
            </w:pPr>
            <w:r w:rsidRPr="001B293F">
              <w:rPr>
                <w:rFonts w:ascii="Aptos Narrow" w:eastAsia="Times New Roman" w:hAnsi="Aptos Narrow" w:cs="Times New Roman"/>
                <w:color w:val="000000"/>
                <w:kern w:val="0"/>
                <w:sz w:val="24"/>
                <w:szCs w:val="24"/>
                <w:lang w:eastAsia="en-IN"/>
                <w14:ligatures w14:val="none"/>
              </w:rPr>
              <w:t>2020</w:t>
            </w:r>
          </w:p>
        </w:tc>
        <w:tc>
          <w:tcPr>
            <w:tcW w:w="1422" w:type="dxa"/>
            <w:hideMark/>
          </w:tcPr>
          <w:p w14:paraId="47AD1FCB" w14:textId="77777777" w:rsidR="001B293F" w:rsidRPr="001B293F" w:rsidRDefault="001B293F" w:rsidP="001B293F">
            <w:pPr>
              <w:jc w:val="right"/>
              <w:rPr>
                <w:rFonts w:ascii="Aptos Narrow" w:eastAsia="Times New Roman" w:hAnsi="Aptos Narrow" w:cs="Times New Roman"/>
                <w:color w:val="000000"/>
                <w:kern w:val="0"/>
                <w:sz w:val="24"/>
                <w:szCs w:val="24"/>
                <w:lang w:eastAsia="en-IN"/>
                <w14:ligatures w14:val="none"/>
              </w:rPr>
            </w:pPr>
            <w:r w:rsidRPr="001B293F">
              <w:rPr>
                <w:rFonts w:ascii="Aptos Narrow" w:eastAsia="Times New Roman" w:hAnsi="Aptos Narrow" w:cs="Times New Roman"/>
                <w:color w:val="000000"/>
                <w:kern w:val="0"/>
                <w:sz w:val="24"/>
                <w:szCs w:val="24"/>
                <w:lang w:eastAsia="en-IN"/>
                <w14:ligatures w14:val="none"/>
              </w:rPr>
              <w:t>45,000</w:t>
            </w:r>
          </w:p>
        </w:tc>
        <w:tc>
          <w:tcPr>
            <w:tcW w:w="1422" w:type="dxa"/>
            <w:hideMark/>
          </w:tcPr>
          <w:p w14:paraId="57A97D1F" w14:textId="77777777" w:rsidR="001B293F" w:rsidRPr="001B293F" w:rsidRDefault="001B293F" w:rsidP="001B293F">
            <w:pPr>
              <w:jc w:val="right"/>
              <w:rPr>
                <w:rFonts w:ascii="Aptos Narrow" w:eastAsia="Times New Roman" w:hAnsi="Aptos Narrow" w:cs="Times New Roman"/>
                <w:color w:val="000000"/>
                <w:kern w:val="0"/>
                <w:sz w:val="24"/>
                <w:szCs w:val="24"/>
                <w:lang w:eastAsia="en-IN"/>
                <w14:ligatures w14:val="none"/>
              </w:rPr>
            </w:pPr>
            <w:r w:rsidRPr="001B293F">
              <w:rPr>
                <w:rFonts w:ascii="Aptos Narrow" w:eastAsia="Times New Roman" w:hAnsi="Aptos Narrow" w:cs="Times New Roman"/>
                <w:color w:val="000000"/>
                <w:kern w:val="0"/>
                <w:sz w:val="24"/>
                <w:szCs w:val="24"/>
                <w:lang w:eastAsia="en-IN"/>
                <w14:ligatures w14:val="none"/>
              </w:rPr>
              <w:t>55,000</w:t>
            </w:r>
          </w:p>
        </w:tc>
      </w:tr>
      <w:tr w:rsidR="001B293F" w:rsidRPr="001B293F" w14:paraId="2C739330" w14:textId="77777777" w:rsidTr="001B293F">
        <w:trPr>
          <w:trHeight w:val="288"/>
        </w:trPr>
        <w:tc>
          <w:tcPr>
            <w:tcW w:w="1211" w:type="dxa"/>
            <w:hideMark/>
          </w:tcPr>
          <w:p w14:paraId="419C3F60" w14:textId="77777777" w:rsidR="001B293F" w:rsidRPr="001B293F" w:rsidRDefault="001B293F" w:rsidP="001B293F">
            <w:pPr>
              <w:jc w:val="right"/>
              <w:rPr>
                <w:rFonts w:ascii="Aptos Narrow" w:eastAsia="Times New Roman" w:hAnsi="Aptos Narrow" w:cs="Times New Roman"/>
                <w:color w:val="000000"/>
                <w:kern w:val="0"/>
                <w:sz w:val="24"/>
                <w:szCs w:val="24"/>
                <w:lang w:eastAsia="en-IN"/>
                <w14:ligatures w14:val="none"/>
              </w:rPr>
            </w:pPr>
            <w:r w:rsidRPr="001B293F">
              <w:rPr>
                <w:rFonts w:ascii="Aptos Narrow" w:eastAsia="Times New Roman" w:hAnsi="Aptos Narrow" w:cs="Times New Roman"/>
                <w:color w:val="000000"/>
                <w:kern w:val="0"/>
                <w:sz w:val="24"/>
                <w:szCs w:val="24"/>
                <w:lang w:eastAsia="en-IN"/>
                <w14:ligatures w14:val="none"/>
              </w:rPr>
              <w:t>2021</w:t>
            </w:r>
          </w:p>
        </w:tc>
        <w:tc>
          <w:tcPr>
            <w:tcW w:w="1422" w:type="dxa"/>
            <w:hideMark/>
          </w:tcPr>
          <w:p w14:paraId="22382782" w14:textId="77777777" w:rsidR="001B293F" w:rsidRPr="001B293F" w:rsidRDefault="001B293F" w:rsidP="001B293F">
            <w:pPr>
              <w:jc w:val="right"/>
              <w:rPr>
                <w:rFonts w:ascii="Aptos Narrow" w:eastAsia="Times New Roman" w:hAnsi="Aptos Narrow" w:cs="Times New Roman"/>
                <w:color w:val="000000"/>
                <w:kern w:val="0"/>
                <w:sz w:val="24"/>
                <w:szCs w:val="24"/>
                <w:lang w:eastAsia="en-IN"/>
                <w14:ligatures w14:val="none"/>
              </w:rPr>
            </w:pPr>
            <w:r w:rsidRPr="001B293F">
              <w:rPr>
                <w:rFonts w:ascii="Aptos Narrow" w:eastAsia="Times New Roman" w:hAnsi="Aptos Narrow" w:cs="Times New Roman"/>
                <w:color w:val="000000"/>
                <w:kern w:val="0"/>
                <w:sz w:val="24"/>
                <w:szCs w:val="24"/>
                <w:lang w:eastAsia="en-IN"/>
                <w14:ligatures w14:val="none"/>
              </w:rPr>
              <w:t>48,000</w:t>
            </w:r>
          </w:p>
        </w:tc>
        <w:tc>
          <w:tcPr>
            <w:tcW w:w="1422" w:type="dxa"/>
            <w:hideMark/>
          </w:tcPr>
          <w:p w14:paraId="5F5073B3" w14:textId="77777777" w:rsidR="001B293F" w:rsidRPr="001B293F" w:rsidRDefault="001B293F" w:rsidP="001B293F">
            <w:pPr>
              <w:jc w:val="right"/>
              <w:rPr>
                <w:rFonts w:ascii="Aptos Narrow" w:eastAsia="Times New Roman" w:hAnsi="Aptos Narrow" w:cs="Times New Roman"/>
                <w:color w:val="000000"/>
                <w:kern w:val="0"/>
                <w:sz w:val="24"/>
                <w:szCs w:val="24"/>
                <w:lang w:eastAsia="en-IN"/>
                <w14:ligatures w14:val="none"/>
              </w:rPr>
            </w:pPr>
            <w:r w:rsidRPr="001B293F">
              <w:rPr>
                <w:rFonts w:ascii="Aptos Narrow" w:eastAsia="Times New Roman" w:hAnsi="Aptos Narrow" w:cs="Times New Roman"/>
                <w:color w:val="000000"/>
                <w:kern w:val="0"/>
                <w:sz w:val="24"/>
                <w:szCs w:val="24"/>
                <w:lang w:eastAsia="en-IN"/>
                <w14:ligatures w14:val="none"/>
              </w:rPr>
              <w:t>58,000</w:t>
            </w:r>
          </w:p>
        </w:tc>
      </w:tr>
      <w:tr w:rsidR="001B293F" w:rsidRPr="001B293F" w14:paraId="6B93E12E" w14:textId="77777777" w:rsidTr="001B293F">
        <w:trPr>
          <w:trHeight w:val="288"/>
        </w:trPr>
        <w:tc>
          <w:tcPr>
            <w:tcW w:w="1211" w:type="dxa"/>
            <w:hideMark/>
          </w:tcPr>
          <w:p w14:paraId="68E26743" w14:textId="77777777" w:rsidR="001B293F" w:rsidRPr="001B293F" w:rsidRDefault="001B293F" w:rsidP="001B293F">
            <w:pPr>
              <w:jc w:val="right"/>
              <w:rPr>
                <w:rFonts w:ascii="Aptos Narrow" w:eastAsia="Times New Roman" w:hAnsi="Aptos Narrow" w:cs="Times New Roman"/>
                <w:color w:val="000000"/>
                <w:kern w:val="0"/>
                <w:sz w:val="24"/>
                <w:szCs w:val="24"/>
                <w:lang w:eastAsia="en-IN"/>
                <w14:ligatures w14:val="none"/>
              </w:rPr>
            </w:pPr>
            <w:r w:rsidRPr="001B293F">
              <w:rPr>
                <w:rFonts w:ascii="Aptos Narrow" w:eastAsia="Times New Roman" w:hAnsi="Aptos Narrow" w:cs="Times New Roman"/>
                <w:color w:val="000000"/>
                <w:kern w:val="0"/>
                <w:sz w:val="24"/>
                <w:szCs w:val="24"/>
                <w:lang w:eastAsia="en-IN"/>
                <w14:ligatures w14:val="none"/>
              </w:rPr>
              <w:t>2022</w:t>
            </w:r>
          </w:p>
        </w:tc>
        <w:tc>
          <w:tcPr>
            <w:tcW w:w="1422" w:type="dxa"/>
            <w:hideMark/>
          </w:tcPr>
          <w:p w14:paraId="50A0527A" w14:textId="77777777" w:rsidR="001B293F" w:rsidRPr="001B293F" w:rsidRDefault="001B293F" w:rsidP="001B293F">
            <w:pPr>
              <w:jc w:val="right"/>
              <w:rPr>
                <w:rFonts w:ascii="Aptos Narrow" w:eastAsia="Times New Roman" w:hAnsi="Aptos Narrow" w:cs="Times New Roman"/>
                <w:color w:val="000000"/>
                <w:kern w:val="0"/>
                <w:sz w:val="24"/>
                <w:szCs w:val="24"/>
                <w:lang w:eastAsia="en-IN"/>
                <w14:ligatures w14:val="none"/>
              </w:rPr>
            </w:pPr>
            <w:r w:rsidRPr="001B293F">
              <w:rPr>
                <w:rFonts w:ascii="Aptos Narrow" w:eastAsia="Times New Roman" w:hAnsi="Aptos Narrow" w:cs="Times New Roman"/>
                <w:color w:val="000000"/>
                <w:kern w:val="0"/>
                <w:sz w:val="24"/>
                <w:szCs w:val="24"/>
                <w:lang w:eastAsia="en-IN"/>
                <w14:ligatures w14:val="none"/>
              </w:rPr>
              <w:t>50,000</w:t>
            </w:r>
          </w:p>
        </w:tc>
        <w:tc>
          <w:tcPr>
            <w:tcW w:w="1422" w:type="dxa"/>
            <w:hideMark/>
          </w:tcPr>
          <w:p w14:paraId="3188E3B2" w14:textId="77777777" w:rsidR="001B293F" w:rsidRPr="001B293F" w:rsidRDefault="001B293F" w:rsidP="001B293F">
            <w:pPr>
              <w:jc w:val="right"/>
              <w:rPr>
                <w:rFonts w:ascii="Aptos Narrow" w:eastAsia="Times New Roman" w:hAnsi="Aptos Narrow" w:cs="Times New Roman"/>
                <w:color w:val="000000"/>
                <w:kern w:val="0"/>
                <w:sz w:val="24"/>
                <w:szCs w:val="24"/>
                <w:lang w:eastAsia="en-IN"/>
                <w14:ligatures w14:val="none"/>
              </w:rPr>
            </w:pPr>
            <w:r w:rsidRPr="001B293F">
              <w:rPr>
                <w:rFonts w:ascii="Aptos Narrow" w:eastAsia="Times New Roman" w:hAnsi="Aptos Narrow" w:cs="Times New Roman"/>
                <w:color w:val="000000"/>
                <w:kern w:val="0"/>
                <w:sz w:val="24"/>
                <w:szCs w:val="24"/>
                <w:lang w:eastAsia="en-IN"/>
                <w14:ligatures w14:val="none"/>
              </w:rPr>
              <w:t>60,000</w:t>
            </w:r>
          </w:p>
        </w:tc>
      </w:tr>
      <w:tr w:rsidR="001B293F" w:rsidRPr="001B293F" w14:paraId="3E472A89" w14:textId="77777777" w:rsidTr="001B293F">
        <w:trPr>
          <w:trHeight w:val="288"/>
        </w:trPr>
        <w:tc>
          <w:tcPr>
            <w:tcW w:w="1211" w:type="dxa"/>
            <w:hideMark/>
          </w:tcPr>
          <w:p w14:paraId="2332806C" w14:textId="77777777" w:rsidR="001B293F" w:rsidRPr="001B293F" w:rsidRDefault="001B293F" w:rsidP="001B293F">
            <w:pPr>
              <w:jc w:val="right"/>
              <w:rPr>
                <w:rFonts w:ascii="Aptos Narrow" w:eastAsia="Times New Roman" w:hAnsi="Aptos Narrow" w:cs="Times New Roman"/>
                <w:color w:val="000000"/>
                <w:kern w:val="0"/>
                <w:sz w:val="24"/>
                <w:szCs w:val="24"/>
                <w:lang w:eastAsia="en-IN"/>
                <w14:ligatures w14:val="none"/>
              </w:rPr>
            </w:pPr>
            <w:r w:rsidRPr="001B293F">
              <w:rPr>
                <w:rFonts w:ascii="Aptos Narrow" w:eastAsia="Times New Roman" w:hAnsi="Aptos Narrow" w:cs="Times New Roman"/>
                <w:color w:val="000000"/>
                <w:kern w:val="0"/>
                <w:sz w:val="24"/>
                <w:szCs w:val="24"/>
                <w:lang w:eastAsia="en-IN"/>
                <w14:ligatures w14:val="none"/>
              </w:rPr>
              <w:t>2023</w:t>
            </w:r>
          </w:p>
        </w:tc>
        <w:tc>
          <w:tcPr>
            <w:tcW w:w="1422" w:type="dxa"/>
            <w:hideMark/>
          </w:tcPr>
          <w:p w14:paraId="6375797D" w14:textId="77777777" w:rsidR="001B293F" w:rsidRPr="001B293F" w:rsidRDefault="001B293F" w:rsidP="001B293F">
            <w:pPr>
              <w:jc w:val="right"/>
              <w:rPr>
                <w:rFonts w:ascii="Aptos Narrow" w:eastAsia="Times New Roman" w:hAnsi="Aptos Narrow" w:cs="Times New Roman"/>
                <w:color w:val="000000"/>
                <w:kern w:val="0"/>
                <w:sz w:val="24"/>
                <w:szCs w:val="24"/>
                <w:lang w:eastAsia="en-IN"/>
                <w14:ligatures w14:val="none"/>
              </w:rPr>
            </w:pPr>
            <w:r w:rsidRPr="001B293F">
              <w:rPr>
                <w:rFonts w:ascii="Aptos Narrow" w:eastAsia="Times New Roman" w:hAnsi="Aptos Narrow" w:cs="Times New Roman"/>
                <w:color w:val="000000"/>
                <w:kern w:val="0"/>
                <w:sz w:val="24"/>
                <w:szCs w:val="24"/>
                <w:lang w:eastAsia="en-IN"/>
                <w14:ligatures w14:val="none"/>
              </w:rPr>
              <w:t>52,000</w:t>
            </w:r>
          </w:p>
        </w:tc>
        <w:tc>
          <w:tcPr>
            <w:tcW w:w="1422" w:type="dxa"/>
            <w:hideMark/>
          </w:tcPr>
          <w:p w14:paraId="2CC28A7A" w14:textId="77777777" w:rsidR="001B293F" w:rsidRPr="001B293F" w:rsidRDefault="001B293F" w:rsidP="001B293F">
            <w:pPr>
              <w:jc w:val="right"/>
              <w:rPr>
                <w:rFonts w:ascii="Aptos Narrow" w:eastAsia="Times New Roman" w:hAnsi="Aptos Narrow" w:cs="Times New Roman"/>
                <w:color w:val="000000"/>
                <w:kern w:val="0"/>
                <w:sz w:val="24"/>
                <w:szCs w:val="24"/>
                <w:lang w:eastAsia="en-IN"/>
                <w14:ligatures w14:val="none"/>
              </w:rPr>
            </w:pPr>
            <w:r w:rsidRPr="001B293F">
              <w:rPr>
                <w:rFonts w:ascii="Aptos Narrow" w:eastAsia="Times New Roman" w:hAnsi="Aptos Narrow" w:cs="Times New Roman"/>
                <w:color w:val="000000"/>
                <w:kern w:val="0"/>
                <w:sz w:val="24"/>
                <w:szCs w:val="24"/>
                <w:lang w:eastAsia="en-IN"/>
                <w14:ligatures w14:val="none"/>
              </w:rPr>
              <w:t>62,000</w:t>
            </w:r>
          </w:p>
        </w:tc>
      </w:tr>
    </w:tbl>
    <w:p w14:paraId="667E82FC" w14:textId="24AAB804" w:rsidR="001B293F" w:rsidRPr="001B293F" w:rsidRDefault="001B293F" w:rsidP="001B293F">
      <w:pPr>
        <w:spacing w:before="100" w:beforeAutospacing="1" w:after="100" w:afterAutospacing="1" w:line="240" w:lineRule="auto"/>
        <w:rPr>
          <w:rFonts w:eastAsia="Times New Roman" w:cs="Times New Roman"/>
          <w:b/>
          <w:bCs/>
          <w:kern w:val="0"/>
          <w:sz w:val="24"/>
          <w:szCs w:val="24"/>
          <w:lang w:eastAsia="en-IN"/>
          <w14:ligatures w14:val="none"/>
        </w:rPr>
      </w:pPr>
      <w:r w:rsidRPr="001B293F">
        <w:rPr>
          <w:rFonts w:eastAsia="Times New Roman" w:cs="Times New Roman"/>
          <w:b/>
          <w:bCs/>
          <w:kern w:val="0"/>
          <w:sz w:val="24"/>
          <w:szCs w:val="24"/>
          <w:lang w:eastAsia="en-IN"/>
          <w14:ligatures w14:val="none"/>
        </w:rPr>
        <w:t>I</w:t>
      </w:r>
      <w:r w:rsidRPr="001B293F">
        <w:rPr>
          <w:rFonts w:eastAsia="Times New Roman" w:cs="Times New Roman"/>
          <w:b/>
          <w:bCs/>
          <w:kern w:val="0"/>
          <w:sz w:val="24"/>
          <w:szCs w:val="24"/>
          <w:lang w:eastAsia="en-IN"/>
          <w14:ligatures w14:val="none"/>
        </w:rPr>
        <w:t>nterpretation of the average Home Equity Loan (HEL) and Home Equity Line of Credit (HELOC) amounts by year:</w:t>
      </w:r>
    </w:p>
    <w:p w14:paraId="1E73DBCF" w14:textId="77777777" w:rsidR="001B293F" w:rsidRPr="001B293F" w:rsidRDefault="001B293F" w:rsidP="001B293F">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1B293F">
        <w:rPr>
          <w:rFonts w:eastAsia="Times New Roman" w:cs="Times New Roman"/>
          <w:b/>
          <w:bCs/>
          <w:kern w:val="0"/>
          <w:sz w:val="24"/>
          <w:szCs w:val="24"/>
          <w:lang w:eastAsia="en-IN"/>
          <w14:ligatures w14:val="none"/>
        </w:rPr>
        <w:t>Average Home Equity Loan Amount ($)</w:t>
      </w:r>
    </w:p>
    <w:p w14:paraId="5DC45B01" w14:textId="77777777" w:rsidR="001B293F" w:rsidRPr="001B293F" w:rsidRDefault="001B293F" w:rsidP="001B293F">
      <w:pPr>
        <w:numPr>
          <w:ilvl w:val="1"/>
          <w:numId w:val="7"/>
        </w:numPr>
        <w:spacing w:before="100" w:beforeAutospacing="1" w:after="100" w:afterAutospacing="1" w:line="240" w:lineRule="auto"/>
        <w:rPr>
          <w:rFonts w:eastAsia="Times New Roman" w:cs="Times New Roman"/>
          <w:kern w:val="0"/>
          <w:sz w:val="24"/>
          <w:szCs w:val="24"/>
          <w:lang w:eastAsia="en-IN"/>
          <w14:ligatures w14:val="none"/>
        </w:rPr>
      </w:pPr>
      <w:r w:rsidRPr="001B293F">
        <w:rPr>
          <w:rFonts w:eastAsia="Times New Roman" w:cs="Times New Roman"/>
          <w:kern w:val="0"/>
          <w:sz w:val="24"/>
          <w:szCs w:val="24"/>
          <w:lang w:eastAsia="en-IN"/>
          <w14:ligatures w14:val="none"/>
        </w:rPr>
        <w:t>2018: $40,000</w:t>
      </w:r>
    </w:p>
    <w:p w14:paraId="50E42827" w14:textId="77777777" w:rsidR="001B293F" w:rsidRPr="001B293F" w:rsidRDefault="001B293F" w:rsidP="001B293F">
      <w:pPr>
        <w:numPr>
          <w:ilvl w:val="1"/>
          <w:numId w:val="7"/>
        </w:numPr>
        <w:spacing w:before="100" w:beforeAutospacing="1" w:after="100" w:afterAutospacing="1" w:line="240" w:lineRule="auto"/>
        <w:rPr>
          <w:rFonts w:eastAsia="Times New Roman" w:cs="Times New Roman"/>
          <w:kern w:val="0"/>
          <w:sz w:val="24"/>
          <w:szCs w:val="24"/>
          <w:lang w:eastAsia="en-IN"/>
          <w14:ligatures w14:val="none"/>
        </w:rPr>
      </w:pPr>
      <w:r w:rsidRPr="001B293F">
        <w:rPr>
          <w:rFonts w:eastAsia="Times New Roman" w:cs="Times New Roman"/>
          <w:kern w:val="0"/>
          <w:sz w:val="24"/>
          <w:szCs w:val="24"/>
          <w:lang w:eastAsia="en-IN"/>
          <w14:ligatures w14:val="none"/>
        </w:rPr>
        <w:t>2019: $42,000</w:t>
      </w:r>
    </w:p>
    <w:p w14:paraId="5BE5447F" w14:textId="77777777" w:rsidR="001B293F" w:rsidRPr="001B293F" w:rsidRDefault="001B293F" w:rsidP="001B293F">
      <w:pPr>
        <w:numPr>
          <w:ilvl w:val="1"/>
          <w:numId w:val="7"/>
        </w:numPr>
        <w:spacing w:before="100" w:beforeAutospacing="1" w:after="100" w:afterAutospacing="1" w:line="240" w:lineRule="auto"/>
        <w:rPr>
          <w:rFonts w:eastAsia="Times New Roman" w:cs="Times New Roman"/>
          <w:kern w:val="0"/>
          <w:sz w:val="24"/>
          <w:szCs w:val="24"/>
          <w:lang w:eastAsia="en-IN"/>
          <w14:ligatures w14:val="none"/>
        </w:rPr>
      </w:pPr>
      <w:r w:rsidRPr="001B293F">
        <w:rPr>
          <w:rFonts w:eastAsia="Times New Roman" w:cs="Times New Roman"/>
          <w:kern w:val="0"/>
          <w:sz w:val="24"/>
          <w:szCs w:val="24"/>
          <w:lang w:eastAsia="en-IN"/>
          <w14:ligatures w14:val="none"/>
        </w:rPr>
        <w:t>2020: $45,000</w:t>
      </w:r>
    </w:p>
    <w:p w14:paraId="05819E4C" w14:textId="77777777" w:rsidR="001B293F" w:rsidRPr="001B293F" w:rsidRDefault="001B293F" w:rsidP="001B293F">
      <w:pPr>
        <w:numPr>
          <w:ilvl w:val="1"/>
          <w:numId w:val="7"/>
        </w:numPr>
        <w:spacing w:before="100" w:beforeAutospacing="1" w:after="100" w:afterAutospacing="1" w:line="240" w:lineRule="auto"/>
        <w:rPr>
          <w:rFonts w:eastAsia="Times New Roman" w:cs="Times New Roman"/>
          <w:kern w:val="0"/>
          <w:sz w:val="24"/>
          <w:szCs w:val="24"/>
          <w:lang w:eastAsia="en-IN"/>
          <w14:ligatures w14:val="none"/>
        </w:rPr>
      </w:pPr>
      <w:r w:rsidRPr="001B293F">
        <w:rPr>
          <w:rFonts w:eastAsia="Times New Roman" w:cs="Times New Roman"/>
          <w:kern w:val="0"/>
          <w:sz w:val="24"/>
          <w:szCs w:val="24"/>
          <w:lang w:eastAsia="en-IN"/>
          <w14:ligatures w14:val="none"/>
        </w:rPr>
        <w:t>2021: $48,000</w:t>
      </w:r>
    </w:p>
    <w:p w14:paraId="58A27B23" w14:textId="77777777" w:rsidR="001B293F" w:rsidRPr="001B293F" w:rsidRDefault="001B293F" w:rsidP="001B293F">
      <w:pPr>
        <w:numPr>
          <w:ilvl w:val="1"/>
          <w:numId w:val="7"/>
        </w:numPr>
        <w:spacing w:before="100" w:beforeAutospacing="1" w:after="100" w:afterAutospacing="1" w:line="240" w:lineRule="auto"/>
        <w:rPr>
          <w:rFonts w:eastAsia="Times New Roman" w:cs="Times New Roman"/>
          <w:kern w:val="0"/>
          <w:sz w:val="24"/>
          <w:szCs w:val="24"/>
          <w:lang w:eastAsia="en-IN"/>
          <w14:ligatures w14:val="none"/>
        </w:rPr>
      </w:pPr>
      <w:r w:rsidRPr="001B293F">
        <w:rPr>
          <w:rFonts w:eastAsia="Times New Roman" w:cs="Times New Roman"/>
          <w:kern w:val="0"/>
          <w:sz w:val="24"/>
          <w:szCs w:val="24"/>
          <w:lang w:eastAsia="en-IN"/>
          <w14:ligatures w14:val="none"/>
        </w:rPr>
        <w:t>2022: $50,000</w:t>
      </w:r>
    </w:p>
    <w:p w14:paraId="6C5ACA06" w14:textId="77777777" w:rsidR="001B293F" w:rsidRPr="001B293F" w:rsidRDefault="001B293F" w:rsidP="001B293F">
      <w:pPr>
        <w:numPr>
          <w:ilvl w:val="1"/>
          <w:numId w:val="7"/>
        </w:numPr>
        <w:spacing w:before="100" w:beforeAutospacing="1" w:after="100" w:afterAutospacing="1" w:line="240" w:lineRule="auto"/>
        <w:rPr>
          <w:rFonts w:eastAsia="Times New Roman" w:cs="Times New Roman"/>
          <w:kern w:val="0"/>
          <w:sz w:val="24"/>
          <w:szCs w:val="24"/>
          <w:lang w:eastAsia="en-IN"/>
          <w14:ligatures w14:val="none"/>
        </w:rPr>
      </w:pPr>
      <w:r w:rsidRPr="001B293F">
        <w:rPr>
          <w:rFonts w:eastAsia="Times New Roman" w:cs="Times New Roman"/>
          <w:kern w:val="0"/>
          <w:sz w:val="24"/>
          <w:szCs w:val="24"/>
          <w:lang w:eastAsia="en-IN"/>
          <w14:ligatures w14:val="none"/>
        </w:rPr>
        <w:t>2023: $52,000</w:t>
      </w:r>
    </w:p>
    <w:p w14:paraId="72053FFD" w14:textId="77777777" w:rsidR="001B293F" w:rsidRPr="001B293F" w:rsidRDefault="001B293F" w:rsidP="001B293F">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1B293F">
        <w:rPr>
          <w:rFonts w:eastAsia="Times New Roman" w:cs="Times New Roman"/>
          <w:b/>
          <w:bCs/>
          <w:kern w:val="0"/>
          <w:sz w:val="24"/>
          <w:szCs w:val="24"/>
          <w:lang w:eastAsia="en-IN"/>
          <w14:ligatures w14:val="none"/>
        </w:rPr>
        <w:t>Average HELOC Amount ($)</w:t>
      </w:r>
    </w:p>
    <w:p w14:paraId="4E74B7D5" w14:textId="77777777" w:rsidR="001B293F" w:rsidRPr="001B293F" w:rsidRDefault="001B293F" w:rsidP="001B293F">
      <w:pPr>
        <w:numPr>
          <w:ilvl w:val="1"/>
          <w:numId w:val="7"/>
        </w:numPr>
        <w:spacing w:before="100" w:beforeAutospacing="1" w:after="100" w:afterAutospacing="1" w:line="240" w:lineRule="auto"/>
        <w:rPr>
          <w:rFonts w:eastAsia="Times New Roman" w:cs="Times New Roman"/>
          <w:kern w:val="0"/>
          <w:sz w:val="24"/>
          <w:szCs w:val="24"/>
          <w:lang w:eastAsia="en-IN"/>
          <w14:ligatures w14:val="none"/>
        </w:rPr>
      </w:pPr>
      <w:r w:rsidRPr="001B293F">
        <w:rPr>
          <w:rFonts w:eastAsia="Times New Roman" w:cs="Times New Roman"/>
          <w:kern w:val="0"/>
          <w:sz w:val="24"/>
          <w:szCs w:val="24"/>
          <w:lang w:eastAsia="en-IN"/>
          <w14:ligatures w14:val="none"/>
        </w:rPr>
        <w:t>2018: $50,000</w:t>
      </w:r>
    </w:p>
    <w:p w14:paraId="6EBD4802" w14:textId="77777777" w:rsidR="001B293F" w:rsidRPr="001B293F" w:rsidRDefault="001B293F" w:rsidP="001B293F">
      <w:pPr>
        <w:numPr>
          <w:ilvl w:val="1"/>
          <w:numId w:val="7"/>
        </w:numPr>
        <w:spacing w:before="100" w:beforeAutospacing="1" w:after="100" w:afterAutospacing="1" w:line="240" w:lineRule="auto"/>
        <w:rPr>
          <w:rFonts w:eastAsia="Times New Roman" w:cs="Times New Roman"/>
          <w:kern w:val="0"/>
          <w:sz w:val="24"/>
          <w:szCs w:val="24"/>
          <w:lang w:eastAsia="en-IN"/>
          <w14:ligatures w14:val="none"/>
        </w:rPr>
      </w:pPr>
      <w:r w:rsidRPr="001B293F">
        <w:rPr>
          <w:rFonts w:eastAsia="Times New Roman" w:cs="Times New Roman"/>
          <w:kern w:val="0"/>
          <w:sz w:val="24"/>
          <w:szCs w:val="24"/>
          <w:lang w:eastAsia="en-IN"/>
          <w14:ligatures w14:val="none"/>
        </w:rPr>
        <w:t>2019: $52,000</w:t>
      </w:r>
    </w:p>
    <w:p w14:paraId="6E806890" w14:textId="77777777" w:rsidR="001B293F" w:rsidRPr="001B293F" w:rsidRDefault="001B293F" w:rsidP="001B293F">
      <w:pPr>
        <w:numPr>
          <w:ilvl w:val="1"/>
          <w:numId w:val="7"/>
        </w:numPr>
        <w:spacing w:before="100" w:beforeAutospacing="1" w:after="100" w:afterAutospacing="1" w:line="240" w:lineRule="auto"/>
        <w:rPr>
          <w:rFonts w:eastAsia="Times New Roman" w:cs="Times New Roman"/>
          <w:kern w:val="0"/>
          <w:sz w:val="24"/>
          <w:szCs w:val="24"/>
          <w:lang w:eastAsia="en-IN"/>
          <w14:ligatures w14:val="none"/>
        </w:rPr>
      </w:pPr>
      <w:r w:rsidRPr="001B293F">
        <w:rPr>
          <w:rFonts w:eastAsia="Times New Roman" w:cs="Times New Roman"/>
          <w:kern w:val="0"/>
          <w:sz w:val="24"/>
          <w:szCs w:val="24"/>
          <w:lang w:eastAsia="en-IN"/>
          <w14:ligatures w14:val="none"/>
        </w:rPr>
        <w:t>2020: $55,000</w:t>
      </w:r>
    </w:p>
    <w:p w14:paraId="4F38559F" w14:textId="77777777" w:rsidR="001B293F" w:rsidRPr="001B293F" w:rsidRDefault="001B293F" w:rsidP="001B293F">
      <w:pPr>
        <w:numPr>
          <w:ilvl w:val="1"/>
          <w:numId w:val="7"/>
        </w:numPr>
        <w:spacing w:before="100" w:beforeAutospacing="1" w:after="100" w:afterAutospacing="1" w:line="240" w:lineRule="auto"/>
        <w:rPr>
          <w:rFonts w:eastAsia="Times New Roman" w:cs="Times New Roman"/>
          <w:kern w:val="0"/>
          <w:sz w:val="24"/>
          <w:szCs w:val="24"/>
          <w:lang w:eastAsia="en-IN"/>
          <w14:ligatures w14:val="none"/>
        </w:rPr>
      </w:pPr>
      <w:r w:rsidRPr="001B293F">
        <w:rPr>
          <w:rFonts w:eastAsia="Times New Roman" w:cs="Times New Roman"/>
          <w:kern w:val="0"/>
          <w:sz w:val="24"/>
          <w:szCs w:val="24"/>
          <w:lang w:eastAsia="en-IN"/>
          <w14:ligatures w14:val="none"/>
        </w:rPr>
        <w:t>2021: $58,000</w:t>
      </w:r>
    </w:p>
    <w:p w14:paraId="3F399199" w14:textId="77777777" w:rsidR="001B293F" w:rsidRPr="001B293F" w:rsidRDefault="001B293F" w:rsidP="001B293F">
      <w:pPr>
        <w:numPr>
          <w:ilvl w:val="1"/>
          <w:numId w:val="7"/>
        </w:numPr>
        <w:spacing w:before="100" w:beforeAutospacing="1" w:after="100" w:afterAutospacing="1" w:line="240" w:lineRule="auto"/>
        <w:rPr>
          <w:rFonts w:eastAsia="Times New Roman" w:cs="Times New Roman"/>
          <w:kern w:val="0"/>
          <w:sz w:val="24"/>
          <w:szCs w:val="24"/>
          <w:lang w:eastAsia="en-IN"/>
          <w14:ligatures w14:val="none"/>
        </w:rPr>
      </w:pPr>
      <w:r w:rsidRPr="001B293F">
        <w:rPr>
          <w:rFonts w:eastAsia="Times New Roman" w:cs="Times New Roman"/>
          <w:kern w:val="0"/>
          <w:sz w:val="24"/>
          <w:szCs w:val="24"/>
          <w:lang w:eastAsia="en-IN"/>
          <w14:ligatures w14:val="none"/>
        </w:rPr>
        <w:lastRenderedPageBreak/>
        <w:t>2022: $60,000</w:t>
      </w:r>
    </w:p>
    <w:p w14:paraId="1E937672" w14:textId="77777777" w:rsidR="001B293F" w:rsidRPr="001B293F" w:rsidRDefault="001B293F" w:rsidP="001B293F">
      <w:pPr>
        <w:numPr>
          <w:ilvl w:val="1"/>
          <w:numId w:val="7"/>
        </w:numPr>
        <w:spacing w:before="100" w:beforeAutospacing="1" w:after="100" w:afterAutospacing="1" w:line="240" w:lineRule="auto"/>
        <w:rPr>
          <w:rFonts w:eastAsia="Times New Roman" w:cs="Times New Roman"/>
          <w:kern w:val="0"/>
          <w:sz w:val="24"/>
          <w:szCs w:val="24"/>
          <w:lang w:eastAsia="en-IN"/>
          <w14:ligatures w14:val="none"/>
        </w:rPr>
      </w:pPr>
      <w:r w:rsidRPr="001B293F">
        <w:rPr>
          <w:rFonts w:eastAsia="Times New Roman" w:cs="Times New Roman"/>
          <w:kern w:val="0"/>
          <w:sz w:val="24"/>
          <w:szCs w:val="24"/>
          <w:lang w:eastAsia="en-IN"/>
          <w14:ligatures w14:val="none"/>
        </w:rPr>
        <w:t>2023: $62,000</w:t>
      </w:r>
    </w:p>
    <w:p w14:paraId="1A33C16B" w14:textId="77777777" w:rsidR="001B293F" w:rsidRPr="001B293F" w:rsidRDefault="001B293F" w:rsidP="001B293F">
      <w:pPr>
        <w:spacing w:before="100" w:beforeAutospacing="1" w:after="100" w:afterAutospacing="1" w:line="240" w:lineRule="auto"/>
        <w:rPr>
          <w:rFonts w:eastAsia="Times New Roman" w:cs="Times New Roman"/>
          <w:kern w:val="0"/>
          <w:sz w:val="24"/>
          <w:szCs w:val="24"/>
          <w:lang w:eastAsia="en-IN"/>
          <w14:ligatures w14:val="none"/>
        </w:rPr>
      </w:pPr>
      <w:r w:rsidRPr="001B293F">
        <w:rPr>
          <w:rFonts w:eastAsia="Times New Roman" w:cs="Times New Roman"/>
          <w:b/>
          <w:bCs/>
          <w:kern w:val="0"/>
          <w:sz w:val="24"/>
          <w:szCs w:val="24"/>
          <w:lang w:eastAsia="en-IN"/>
          <w14:ligatures w14:val="none"/>
        </w:rPr>
        <w:t>Interpretation:</w:t>
      </w:r>
    </w:p>
    <w:p w14:paraId="4E8FDCB8" w14:textId="77777777" w:rsidR="001B293F" w:rsidRPr="001B293F" w:rsidRDefault="001B293F" w:rsidP="001B293F">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1B293F">
        <w:rPr>
          <w:rFonts w:eastAsia="Times New Roman" w:cs="Times New Roman"/>
          <w:kern w:val="0"/>
          <w:sz w:val="24"/>
          <w:szCs w:val="24"/>
          <w:lang w:eastAsia="en-IN"/>
          <w14:ligatures w14:val="none"/>
        </w:rPr>
        <w:t>Both average HEL and HELOC amounts have shown a steady increase over the years.</w:t>
      </w:r>
    </w:p>
    <w:p w14:paraId="00135730" w14:textId="77777777" w:rsidR="001B293F" w:rsidRPr="001B293F" w:rsidRDefault="001B293F" w:rsidP="001B293F">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1B293F">
        <w:rPr>
          <w:rFonts w:eastAsia="Times New Roman" w:cs="Times New Roman"/>
          <w:kern w:val="0"/>
          <w:sz w:val="24"/>
          <w:szCs w:val="24"/>
          <w:lang w:eastAsia="en-IN"/>
          <w14:ligatures w14:val="none"/>
        </w:rPr>
        <w:t>HELOC amounts are consistently higher than HEL amounts across all years, indicating borrowers tend to access larger lines of credit compared to lump-sum loans.</w:t>
      </w:r>
    </w:p>
    <w:p w14:paraId="010485D6" w14:textId="77777777" w:rsidR="001B293F" w:rsidRPr="001B293F" w:rsidRDefault="001B293F" w:rsidP="001B293F">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1B293F">
        <w:rPr>
          <w:rFonts w:eastAsia="Times New Roman" w:cs="Times New Roman"/>
          <w:kern w:val="0"/>
          <w:sz w:val="24"/>
          <w:szCs w:val="24"/>
          <w:lang w:eastAsia="en-IN"/>
          <w14:ligatures w14:val="none"/>
        </w:rPr>
        <w:t>The increases suggest growing borrower confidence in using home equity for financing, potentially influenced by economic conditions and housing market trends.</w:t>
      </w:r>
    </w:p>
    <w:p w14:paraId="1465356C" w14:textId="77777777" w:rsidR="001B293F" w:rsidRPr="001B293F" w:rsidRDefault="001B293F" w:rsidP="001B293F">
      <w:pPr>
        <w:pStyle w:val="Heading2"/>
        <w:rPr>
          <w:rFonts w:eastAsia="Times New Roman"/>
          <w:lang w:eastAsia="en-IN"/>
        </w:rPr>
      </w:pPr>
      <w:r w:rsidRPr="001B293F">
        <w:rPr>
          <w:rFonts w:eastAsia="Times New Roman"/>
          <w:lang w:eastAsia="en-IN"/>
        </w:rPr>
        <w:t>Reasons for Denial of Home Equity Loans and HELOCs (2023)</w:t>
      </w:r>
    </w:p>
    <w:tbl>
      <w:tblPr>
        <w:tblStyle w:val="TableGrid"/>
        <w:tblW w:w="9360" w:type="dxa"/>
        <w:tblLook w:val="04A0" w:firstRow="1" w:lastRow="0" w:firstColumn="1" w:lastColumn="0" w:noHBand="0" w:noVBand="1"/>
      </w:tblPr>
      <w:tblGrid>
        <w:gridCol w:w="2392"/>
        <w:gridCol w:w="3951"/>
        <w:gridCol w:w="3017"/>
      </w:tblGrid>
      <w:tr w:rsidR="001B293F" w:rsidRPr="001B293F" w14:paraId="48F0A545" w14:textId="77777777" w:rsidTr="001B293F">
        <w:trPr>
          <w:trHeight w:val="288"/>
        </w:trPr>
        <w:tc>
          <w:tcPr>
            <w:tcW w:w="2392" w:type="dxa"/>
            <w:noWrap/>
            <w:hideMark/>
          </w:tcPr>
          <w:p w14:paraId="58FA7F11" w14:textId="77777777" w:rsidR="001B293F" w:rsidRPr="001B293F" w:rsidRDefault="001B293F" w:rsidP="001B293F">
            <w:pPr>
              <w:rPr>
                <w:rFonts w:ascii="Aptos Narrow" w:eastAsia="Times New Roman" w:hAnsi="Aptos Narrow" w:cs="Times New Roman"/>
                <w:color w:val="000000"/>
                <w:kern w:val="0"/>
                <w:sz w:val="24"/>
                <w:szCs w:val="24"/>
                <w:lang w:eastAsia="en-IN"/>
                <w14:ligatures w14:val="none"/>
              </w:rPr>
            </w:pPr>
            <w:r w:rsidRPr="001B293F">
              <w:rPr>
                <w:rFonts w:ascii="Aptos Narrow" w:eastAsia="Times New Roman" w:hAnsi="Aptos Narrow" w:cs="Times New Roman"/>
                <w:color w:val="000000"/>
                <w:kern w:val="0"/>
                <w:sz w:val="24"/>
                <w:szCs w:val="24"/>
                <w:lang w:eastAsia="en-IN"/>
                <w14:ligatures w14:val="none"/>
              </w:rPr>
              <w:t>Reason</w:t>
            </w:r>
          </w:p>
        </w:tc>
        <w:tc>
          <w:tcPr>
            <w:tcW w:w="3951" w:type="dxa"/>
            <w:noWrap/>
            <w:hideMark/>
          </w:tcPr>
          <w:p w14:paraId="1CE993CF" w14:textId="77777777" w:rsidR="001B293F" w:rsidRPr="001B293F" w:rsidRDefault="001B293F" w:rsidP="001B293F">
            <w:pPr>
              <w:rPr>
                <w:rFonts w:ascii="Aptos Narrow" w:eastAsia="Times New Roman" w:hAnsi="Aptos Narrow" w:cs="Times New Roman"/>
                <w:color w:val="000000"/>
                <w:kern w:val="0"/>
                <w:sz w:val="24"/>
                <w:szCs w:val="24"/>
                <w:lang w:eastAsia="en-IN"/>
                <w14:ligatures w14:val="none"/>
              </w:rPr>
            </w:pPr>
            <w:r w:rsidRPr="001B293F">
              <w:rPr>
                <w:rFonts w:ascii="Aptos Narrow" w:eastAsia="Times New Roman" w:hAnsi="Aptos Narrow" w:cs="Times New Roman"/>
                <w:color w:val="000000"/>
                <w:kern w:val="0"/>
                <w:sz w:val="24"/>
                <w:szCs w:val="24"/>
                <w:lang w:eastAsia="en-IN"/>
                <w14:ligatures w14:val="none"/>
              </w:rPr>
              <w:t>Percentage of Home Equity Loan Denials (%)</w:t>
            </w:r>
          </w:p>
        </w:tc>
        <w:tc>
          <w:tcPr>
            <w:tcW w:w="3017" w:type="dxa"/>
            <w:noWrap/>
            <w:hideMark/>
          </w:tcPr>
          <w:p w14:paraId="47D81D80" w14:textId="77777777" w:rsidR="001B293F" w:rsidRPr="001B293F" w:rsidRDefault="001B293F" w:rsidP="001B293F">
            <w:pPr>
              <w:rPr>
                <w:rFonts w:ascii="Aptos Narrow" w:eastAsia="Times New Roman" w:hAnsi="Aptos Narrow" w:cs="Times New Roman"/>
                <w:color w:val="000000"/>
                <w:kern w:val="0"/>
                <w:sz w:val="24"/>
                <w:szCs w:val="24"/>
                <w:lang w:eastAsia="en-IN"/>
                <w14:ligatures w14:val="none"/>
              </w:rPr>
            </w:pPr>
            <w:r w:rsidRPr="001B293F">
              <w:rPr>
                <w:rFonts w:ascii="Aptos Narrow" w:eastAsia="Times New Roman" w:hAnsi="Aptos Narrow" w:cs="Times New Roman"/>
                <w:color w:val="000000"/>
                <w:kern w:val="0"/>
                <w:sz w:val="24"/>
                <w:szCs w:val="24"/>
                <w:lang w:eastAsia="en-IN"/>
                <w14:ligatures w14:val="none"/>
              </w:rPr>
              <w:t>Percentage of HELOC Denials (%)</w:t>
            </w:r>
          </w:p>
        </w:tc>
      </w:tr>
      <w:tr w:rsidR="001B293F" w:rsidRPr="001B293F" w14:paraId="58B4C007" w14:textId="77777777" w:rsidTr="001B293F">
        <w:trPr>
          <w:trHeight w:val="288"/>
        </w:trPr>
        <w:tc>
          <w:tcPr>
            <w:tcW w:w="2392" w:type="dxa"/>
            <w:noWrap/>
            <w:hideMark/>
          </w:tcPr>
          <w:p w14:paraId="530125E0" w14:textId="77777777" w:rsidR="001B293F" w:rsidRPr="001B293F" w:rsidRDefault="001B293F" w:rsidP="001B293F">
            <w:pPr>
              <w:rPr>
                <w:rFonts w:ascii="Aptos Narrow" w:eastAsia="Times New Roman" w:hAnsi="Aptos Narrow" w:cs="Times New Roman"/>
                <w:color w:val="000000"/>
                <w:kern w:val="0"/>
                <w:sz w:val="24"/>
                <w:szCs w:val="24"/>
                <w:lang w:eastAsia="en-IN"/>
                <w14:ligatures w14:val="none"/>
              </w:rPr>
            </w:pPr>
            <w:r w:rsidRPr="001B293F">
              <w:rPr>
                <w:rFonts w:ascii="Aptos Narrow" w:eastAsia="Times New Roman" w:hAnsi="Aptos Narrow" w:cs="Times New Roman"/>
                <w:color w:val="000000"/>
                <w:kern w:val="0"/>
                <w:sz w:val="24"/>
                <w:szCs w:val="24"/>
                <w:lang w:eastAsia="en-IN"/>
                <w14:ligatures w14:val="none"/>
              </w:rPr>
              <w:t>Insufficient Equity</w:t>
            </w:r>
          </w:p>
        </w:tc>
        <w:tc>
          <w:tcPr>
            <w:tcW w:w="3951" w:type="dxa"/>
            <w:noWrap/>
            <w:hideMark/>
          </w:tcPr>
          <w:p w14:paraId="6E16EC19" w14:textId="77777777" w:rsidR="001B293F" w:rsidRPr="001B293F" w:rsidRDefault="001B293F" w:rsidP="001B293F">
            <w:pPr>
              <w:jc w:val="right"/>
              <w:rPr>
                <w:rFonts w:ascii="Aptos Narrow" w:eastAsia="Times New Roman" w:hAnsi="Aptos Narrow" w:cs="Times New Roman"/>
                <w:color w:val="000000"/>
                <w:kern w:val="0"/>
                <w:sz w:val="24"/>
                <w:szCs w:val="24"/>
                <w:lang w:eastAsia="en-IN"/>
                <w14:ligatures w14:val="none"/>
              </w:rPr>
            </w:pPr>
            <w:r w:rsidRPr="001B293F">
              <w:rPr>
                <w:rFonts w:ascii="Aptos Narrow" w:eastAsia="Times New Roman" w:hAnsi="Aptos Narrow" w:cs="Times New Roman"/>
                <w:color w:val="000000"/>
                <w:kern w:val="0"/>
                <w:sz w:val="24"/>
                <w:szCs w:val="24"/>
                <w:lang w:eastAsia="en-IN"/>
                <w14:ligatures w14:val="none"/>
              </w:rPr>
              <w:t>30</w:t>
            </w:r>
          </w:p>
        </w:tc>
        <w:tc>
          <w:tcPr>
            <w:tcW w:w="3017" w:type="dxa"/>
            <w:noWrap/>
            <w:hideMark/>
          </w:tcPr>
          <w:p w14:paraId="006C603D" w14:textId="77777777" w:rsidR="001B293F" w:rsidRPr="001B293F" w:rsidRDefault="001B293F" w:rsidP="001B293F">
            <w:pPr>
              <w:jc w:val="right"/>
              <w:rPr>
                <w:rFonts w:ascii="Aptos Narrow" w:eastAsia="Times New Roman" w:hAnsi="Aptos Narrow" w:cs="Times New Roman"/>
                <w:color w:val="000000"/>
                <w:kern w:val="0"/>
                <w:sz w:val="24"/>
                <w:szCs w:val="24"/>
                <w:lang w:eastAsia="en-IN"/>
                <w14:ligatures w14:val="none"/>
              </w:rPr>
            </w:pPr>
            <w:r w:rsidRPr="001B293F">
              <w:rPr>
                <w:rFonts w:ascii="Aptos Narrow" w:eastAsia="Times New Roman" w:hAnsi="Aptos Narrow" w:cs="Times New Roman"/>
                <w:color w:val="000000"/>
                <w:kern w:val="0"/>
                <w:sz w:val="24"/>
                <w:szCs w:val="24"/>
                <w:lang w:eastAsia="en-IN"/>
                <w14:ligatures w14:val="none"/>
              </w:rPr>
              <w:t>25</w:t>
            </w:r>
          </w:p>
        </w:tc>
      </w:tr>
      <w:tr w:rsidR="001B293F" w:rsidRPr="001B293F" w14:paraId="1E145260" w14:textId="77777777" w:rsidTr="001B293F">
        <w:trPr>
          <w:trHeight w:val="288"/>
        </w:trPr>
        <w:tc>
          <w:tcPr>
            <w:tcW w:w="2392" w:type="dxa"/>
            <w:noWrap/>
            <w:hideMark/>
          </w:tcPr>
          <w:p w14:paraId="2937AB68" w14:textId="77777777" w:rsidR="001B293F" w:rsidRPr="001B293F" w:rsidRDefault="001B293F" w:rsidP="001B293F">
            <w:pPr>
              <w:rPr>
                <w:rFonts w:ascii="Aptos Narrow" w:eastAsia="Times New Roman" w:hAnsi="Aptos Narrow" w:cs="Times New Roman"/>
                <w:color w:val="000000"/>
                <w:kern w:val="0"/>
                <w:sz w:val="24"/>
                <w:szCs w:val="24"/>
                <w:lang w:eastAsia="en-IN"/>
                <w14:ligatures w14:val="none"/>
              </w:rPr>
            </w:pPr>
            <w:r w:rsidRPr="001B293F">
              <w:rPr>
                <w:rFonts w:ascii="Aptos Narrow" w:eastAsia="Times New Roman" w:hAnsi="Aptos Narrow" w:cs="Times New Roman"/>
                <w:color w:val="000000"/>
                <w:kern w:val="0"/>
                <w:sz w:val="24"/>
                <w:szCs w:val="24"/>
                <w:lang w:eastAsia="en-IN"/>
                <w14:ligatures w14:val="none"/>
              </w:rPr>
              <w:t>Poor Credit History</w:t>
            </w:r>
          </w:p>
        </w:tc>
        <w:tc>
          <w:tcPr>
            <w:tcW w:w="3951" w:type="dxa"/>
            <w:noWrap/>
            <w:hideMark/>
          </w:tcPr>
          <w:p w14:paraId="57B77212" w14:textId="77777777" w:rsidR="001B293F" w:rsidRPr="001B293F" w:rsidRDefault="001B293F" w:rsidP="001B293F">
            <w:pPr>
              <w:jc w:val="right"/>
              <w:rPr>
                <w:rFonts w:ascii="Aptos Narrow" w:eastAsia="Times New Roman" w:hAnsi="Aptos Narrow" w:cs="Times New Roman"/>
                <w:color w:val="000000"/>
                <w:kern w:val="0"/>
                <w:sz w:val="24"/>
                <w:szCs w:val="24"/>
                <w:lang w:eastAsia="en-IN"/>
                <w14:ligatures w14:val="none"/>
              </w:rPr>
            </w:pPr>
            <w:r w:rsidRPr="001B293F">
              <w:rPr>
                <w:rFonts w:ascii="Aptos Narrow" w:eastAsia="Times New Roman" w:hAnsi="Aptos Narrow" w:cs="Times New Roman"/>
                <w:color w:val="000000"/>
                <w:kern w:val="0"/>
                <w:sz w:val="24"/>
                <w:szCs w:val="24"/>
                <w:lang w:eastAsia="en-IN"/>
                <w14:ligatures w14:val="none"/>
              </w:rPr>
              <w:t>25</w:t>
            </w:r>
          </w:p>
        </w:tc>
        <w:tc>
          <w:tcPr>
            <w:tcW w:w="3017" w:type="dxa"/>
            <w:noWrap/>
            <w:hideMark/>
          </w:tcPr>
          <w:p w14:paraId="33A00CB5" w14:textId="77777777" w:rsidR="001B293F" w:rsidRPr="001B293F" w:rsidRDefault="001B293F" w:rsidP="001B293F">
            <w:pPr>
              <w:jc w:val="right"/>
              <w:rPr>
                <w:rFonts w:ascii="Aptos Narrow" w:eastAsia="Times New Roman" w:hAnsi="Aptos Narrow" w:cs="Times New Roman"/>
                <w:color w:val="000000"/>
                <w:kern w:val="0"/>
                <w:sz w:val="24"/>
                <w:szCs w:val="24"/>
                <w:lang w:eastAsia="en-IN"/>
                <w14:ligatures w14:val="none"/>
              </w:rPr>
            </w:pPr>
            <w:r w:rsidRPr="001B293F">
              <w:rPr>
                <w:rFonts w:ascii="Aptos Narrow" w:eastAsia="Times New Roman" w:hAnsi="Aptos Narrow" w:cs="Times New Roman"/>
                <w:color w:val="000000"/>
                <w:kern w:val="0"/>
                <w:sz w:val="24"/>
                <w:szCs w:val="24"/>
                <w:lang w:eastAsia="en-IN"/>
                <w14:ligatures w14:val="none"/>
              </w:rPr>
              <w:t>30</w:t>
            </w:r>
          </w:p>
        </w:tc>
      </w:tr>
      <w:tr w:rsidR="001B293F" w:rsidRPr="001B293F" w14:paraId="7F5A2AEC" w14:textId="77777777" w:rsidTr="001B293F">
        <w:trPr>
          <w:trHeight w:val="288"/>
        </w:trPr>
        <w:tc>
          <w:tcPr>
            <w:tcW w:w="2392" w:type="dxa"/>
            <w:noWrap/>
            <w:hideMark/>
          </w:tcPr>
          <w:p w14:paraId="0CA8DF74" w14:textId="77777777" w:rsidR="001B293F" w:rsidRPr="001B293F" w:rsidRDefault="001B293F" w:rsidP="001B293F">
            <w:pPr>
              <w:rPr>
                <w:rFonts w:ascii="Aptos Narrow" w:eastAsia="Times New Roman" w:hAnsi="Aptos Narrow" w:cs="Times New Roman"/>
                <w:color w:val="000000"/>
                <w:kern w:val="0"/>
                <w:sz w:val="24"/>
                <w:szCs w:val="24"/>
                <w:lang w:eastAsia="en-IN"/>
                <w14:ligatures w14:val="none"/>
              </w:rPr>
            </w:pPr>
            <w:r w:rsidRPr="001B293F">
              <w:rPr>
                <w:rFonts w:ascii="Aptos Narrow" w:eastAsia="Times New Roman" w:hAnsi="Aptos Narrow" w:cs="Times New Roman"/>
                <w:color w:val="000000"/>
                <w:kern w:val="0"/>
                <w:sz w:val="24"/>
                <w:szCs w:val="24"/>
                <w:lang w:eastAsia="en-IN"/>
                <w14:ligatures w14:val="none"/>
              </w:rPr>
              <w:t>High Debt-to-Income Ratio</w:t>
            </w:r>
          </w:p>
        </w:tc>
        <w:tc>
          <w:tcPr>
            <w:tcW w:w="3951" w:type="dxa"/>
            <w:noWrap/>
            <w:hideMark/>
          </w:tcPr>
          <w:p w14:paraId="45912FEB" w14:textId="77777777" w:rsidR="001B293F" w:rsidRPr="001B293F" w:rsidRDefault="001B293F" w:rsidP="001B293F">
            <w:pPr>
              <w:jc w:val="right"/>
              <w:rPr>
                <w:rFonts w:ascii="Aptos Narrow" w:eastAsia="Times New Roman" w:hAnsi="Aptos Narrow" w:cs="Times New Roman"/>
                <w:color w:val="000000"/>
                <w:kern w:val="0"/>
                <w:sz w:val="24"/>
                <w:szCs w:val="24"/>
                <w:lang w:eastAsia="en-IN"/>
                <w14:ligatures w14:val="none"/>
              </w:rPr>
            </w:pPr>
            <w:r w:rsidRPr="001B293F">
              <w:rPr>
                <w:rFonts w:ascii="Aptos Narrow" w:eastAsia="Times New Roman" w:hAnsi="Aptos Narrow" w:cs="Times New Roman"/>
                <w:color w:val="000000"/>
                <w:kern w:val="0"/>
                <w:sz w:val="24"/>
                <w:szCs w:val="24"/>
                <w:lang w:eastAsia="en-IN"/>
                <w14:ligatures w14:val="none"/>
              </w:rPr>
              <w:t>20</w:t>
            </w:r>
          </w:p>
        </w:tc>
        <w:tc>
          <w:tcPr>
            <w:tcW w:w="3017" w:type="dxa"/>
            <w:noWrap/>
            <w:hideMark/>
          </w:tcPr>
          <w:p w14:paraId="6DE82ED9" w14:textId="77777777" w:rsidR="001B293F" w:rsidRPr="001B293F" w:rsidRDefault="001B293F" w:rsidP="001B293F">
            <w:pPr>
              <w:jc w:val="right"/>
              <w:rPr>
                <w:rFonts w:ascii="Aptos Narrow" w:eastAsia="Times New Roman" w:hAnsi="Aptos Narrow" w:cs="Times New Roman"/>
                <w:color w:val="000000"/>
                <w:kern w:val="0"/>
                <w:sz w:val="24"/>
                <w:szCs w:val="24"/>
                <w:lang w:eastAsia="en-IN"/>
                <w14:ligatures w14:val="none"/>
              </w:rPr>
            </w:pPr>
            <w:r w:rsidRPr="001B293F">
              <w:rPr>
                <w:rFonts w:ascii="Aptos Narrow" w:eastAsia="Times New Roman" w:hAnsi="Aptos Narrow" w:cs="Times New Roman"/>
                <w:color w:val="000000"/>
                <w:kern w:val="0"/>
                <w:sz w:val="24"/>
                <w:szCs w:val="24"/>
                <w:lang w:eastAsia="en-IN"/>
                <w14:ligatures w14:val="none"/>
              </w:rPr>
              <w:t>20</w:t>
            </w:r>
          </w:p>
        </w:tc>
      </w:tr>
      <w:tr w:rsidR="001B293F" w:rsidRPr="001B293F" w14:paraId="0190A99B" w14:textId="77777777" w:rsidTr="001B293F">
        <w:trPr>
          <w:trHeight w:val="288"/>
        </w:trPr>
        <w:tc>
          <w:tcPr>
            <w:tcW w:w="2392" w:type="dxa"/>
            <w:noWrap/>
            <w:hideMark/>
          </w:tcPr>
          <w:p w14:paraId="412D95BF" w14:textId="77777777" w:rsidR="001B293F" w:rsidRPr="001B293F" w:rsidRDefault="001B293F" w:rsidP="001B293F">
            <w:pPr>
              <w:rPr>
                <w:rFonts w:ascii="Aptos Narrow" w:eastAsia="Times New Roman" w:hAnsi="Aptos Narrow" w:cs="Times New Roman"/>
                <w:color w:val="000000"/>
                <w:kern w:val="0"/>
                <w:sz w:val="24"/>
                <w:szCs w:val="24"/>
                <w:lang w:eastAsia="en-IN"/>
                <w14:ligatures w14:val="none"/>
              </w:rPr>
            </w:pPr>
            <w:r w:rsidRPr="001B293F">
              <w:rPr>
                <w:rFonts w:ascii="Aptos Narrow" w:eastAsia="Times New Roman" w:hAnsi="Aptos Narrow" w:cs="Times New Roman"/>
                <w:color w:val="000000"/>
                <w:kern w:val="0"/>
                <w:sz w:val="24"/>
                <w:szCs w:val="24"/>
                <w:lang w:eastAsia="en-IN"/>
                <w14:ligatures w14:val="none"/>
              </w:rPr>
              <w:t>Incomplete Documentation</w:t>
            </w:r>
          </w:p>
        </w:tc>
        <w:tc>
          <w:tcPr>
            <w:tcW w:w="3951" w:type="dxa"/>
            <w:noWrap/>
            <w:hideMark/>
          </w:tcPr>
          <w:p w14:paraId="0CD69D87" w14:textId="77777777" w:rsidR="001B293F" w:rsidRPr="001B293F" w:rsidRDefault="001B293F" w:rsidP="001B293F">
            <w:pPr>
              <w:jc w:val="right"/>
              <w:rPr>
                <w:rFonts w:ascii="Aptos Narrow" w:eastAsia="Times New Roman" w:hAnsi="Aptos Narrow" w:cs="Times New Roman"/>
                <w:color w:val="000000"/>
                <w:kern w:val="0"/>
                <w:sz w:val="24"/>
                <w:szCs w:val="24"/>
                <w:lang w:eastAsia="en-IN"/>
                <w14:ligatures w14:val="none"/>
              </w:rPr>
            </w:pPr>
            <w:r w:rsidRPr="001B293F">
              <w:rPr>
                <w:rFonts w:ascii="Aptos Narrow" w:eastAsia="Times New Roman" w:hAnsi="Aptos Narrow" w:cs="Times New Roman"/>
                <w:color w:val="000000"/>
                <w:kern w:val="0"/>
                <w:sz w:val="24"/>
                <w:szCs w:val="24"/>
                <w:lang w:eastAsia="en-IN"/>
                <w14:ligatures w14:val="none"/>
              </w:rPr>
              <w:t>15</w:t>
            </w:r>
          </w:p>
        </w:tc>
        <w:tc>
          <w:tcPr>
            <w:tcW w:w="3017" w:type="dxa"/>
            <w:noWrap/>
            <w:hideMark/>
          </w:tcPr>
          <w:p w14:paraId="2065EF0E" w14:textId="77777777" w:rsidR="001B293F" w:rsidRPr="001B293F" w:rsidRDefault="001B293F" w:rsidP="001B293F">
            <w:pPr>
              <w:jc w:val="right"/>
              <w:rPr>
                <w:rFonts w:ascii="Aptos Narrow" w:eastAsia="Times New Roman" w:hAnsi="Aptos Narrow" w:cs="Times New Roman"/>
                <w:color w:val="000000"/>
                <w:kern w:val="0"/>
                <w:sz w:val="24"/>
                <w:szCs w:val="24"/>
                <w:lang w:eastAsia="en-IN"/>
                <w14:ligatures w14:val="none"/>
              </w:rPr>
            </w:pPr>
            <w:r w:rsidRPr="001B293F">
              <w:rPr>
                <w:rFonts w:ascii="Aptos Narrow" w:eastAsia="Times New Roman" w:hAnsi="Aptos Narrow" w:cs="Times New Roman"/>
                <w:color w:val="000000"/>
                <w:kern w:val="0"/>
                <w:sz w:val="24"/>
                <w:szCs w:val="24"/>
                <w:lang w:eastAsia="en-IN"/>
                <w14:ligatures w14:val="none"/>
              </w:rPr>
              <w:t>10</w:t>
            </w:r>
          </w:p>
        </w:tc>
      </w:tr>
      <w:tr w:rsidR="001B293F" w:rsidRPr="001B293F" w14:paraId="4B837AE4" w14:textId="77777777" w:rsidTr="001B293F">
        <w:trPr>
          <w:trHeight w:val="288"/>
        </w:trPr>
        <w:tc>
          <w:tcPr>
            <w:tcW w:w="2392" w:type="dxa"/>
            <w:noWrap/>
            <w:hideMark/>
          </w:tcPr>
          <w:p w14:paraId="25C757A8" w14:textId="77777777" w:rsidR="001B293F" w:rsidRPr="001B293F" w:rsidRDefault="001B293F" w:rsidP="001B293F">
            <w:pPr>
              <w:rPr>
                <w:rFonts w:ascii="Aptos Narrow" w:eastAsia="Times New Roman" w:hAnsi="Aptos Narrow" w:cs="Times New Roman"/>
                <w:color w:val="000000"/>
                <w:kern w:val="0"/>
                <w:sz w:val="24"/>
                <w:szCs w:val="24"/>
                <w:lang w:eastAsia="en-IN"/>
                <w14:ligatures w14:val="none"/>
              </w:rPr>
            </w:pPr>
            <w:r w:rsidRPr="001B293F">
              <w:rPr>
                <w:rFonts w:ascii="Aptos Narrow" w:eastAsia="Times New Roman" w:hAnsi="Aptos Narrow" w:cs="Times New Roman"/>
                <w:color w:val="000000"/>
                <w:kern w:val="0"/>
                <w:sz w:val="24"/>
                <w:szCs w:val="24"/>
                <w:lang w:eastAsia="en-IN"/>
                <w14:ligatures w14:val="none"/>
              </w:rPr>
              <w:t>Property Issues</w:t>
            </w:r>
          </w:p>
        </w:tc>
        <w:tc>
          <w:tcPr>
            <w:tcW w:w="3951" w:type="dxa"/>
            <w:noWrap/>
            <w:hideMark/>
          </w:tcPr>
          <w:p w14:paraId="6B7A9249" w14:textId="77777777" w:rsidR="001B293F" w:rsidRPr="001B293F" w:rsidRDefault="001B293F" w:rsidP="001B293F">
            <w:pPr>
              <w:jc w:val="right"/>
              <w:rPr>
                <w:rFonts w:ascii="Aptos Narrow" w:eastAsia="Times New Roman" w:hAnsi="Aptos Narrow" w:cs="Times New Roman"/>
                <w:color w:val="000000"/>
                <w:kern w:val="0"/>
                <w:sz w:val="24"/>
                <w:szCs w:val="24"/>
                <w:lang w:eastAsia="en-IN"/>
                <w14:ligatures w14:val="none"/>
              </w:rPr>
            </w:pPr>
            <w:r w:rsidRPr="001B293F">
              <w:rPr>
                <w:rFonts w:ascii="Aptos Narrow" w:eastAsia="Times New Roman" w:hAnsi="Aptos Narrow" w:cs="Times New Roman"/>
                <w:color w:val="000000"/>
                <w:kern w:val="0"/>
                <w:sz w:val="24"/>
                <w:szCs w:val="24"/>
                <w:lang w:eastAsia="en-IN"/>
                <w14:ligatures w14:val="none"/>
              </w:rPr>
              <w:t>10</w:t>
            </w:r>
          </w:p>
        </w:tc>
        <w:tc>
          <w:tcPr>
            <w:tcW w:w="3017" w:type="dxa"/>
            <w:noWrap/>
            <w:hideMark/>
          </w:tcPr>
          <w:p w14:paraId="584AE015" w14:textId="77777777" w:rsidR="001B293F" w:rsidRPr="001B293F" w:rsidRDefault="001B293F" w:rsidP="001B293F">
            <w:pPr>
              <w:jc w:val="right"/>
              <w:rPr>
                <w:rFonts w:ascii="Aptos Narrow" w:eastAsia="Times New Roman" w:hAnsi="Aptos Narrow" w:cs="Times New Roman"/>
                <w:color w:val="000000"/>
                <w:kern w:val="0"/>
                <w:sz w:val="24"/>
                <w:szCs w:val="24"/>
                <w:lang w:eastAsia="en-IN"/>
                <w14:ligatures w14:val="none"/>
              </w:rPr>
            </w:pPr>
            <w:r w:rsidRPr="001B293F">
              <w:rPr>
                <w:rFonts w:ascii="Aptos Narrow" w:eastAsia="Times New Roman" w:hAnsi="Aptos Narrow" w:cs="Times New Roman"/>
                <w:color w:val="000000"/>
                <w:kern w:val="0"/>
                <w:sz w:val="24"/>
                <w:szCs w:val="24"/>
                <w:lang w:eastAsia="en-IN"/>
                <w14:ligatures w14:val="none"/>
              </w:rPr>
              <w:t>15</w:t>
            </w:r>
          </w:p>
        </w:tc>
      </w:tr>
    </w:tbl>
    <w:p w14:paraId="73FE444E" w14:textId="09548515" w:rsidR="001B293F" w:rsidRDefault="001B293F" w:rsidP="001B293F">
      <w:pPr>
        <w:rPr>
          <w:lang w:eastAsia="en-IN"/>
        </w:rPr>
      </w:pPr>
      <w:r>
        <w:rPr>
          <w:noProof/>
        </w:rPr>
        <w:drawing>
          <wp:inline distT="0" distB="0" distL="0" distR="0" wp14:anchorId="0A822995" wp14:editId="3E820063">
            <wp:extent cx="4572000" cy="2743200"/>
            <wp:effectExtent l="0" t="0" r="0" b="0"/>
            <wp:docPr id="611697482" name="Chart 1">
              <a:extLst xmlns:a="http://schemas.openxmlformats.org/drawingml/2006/main">
                <a:ext uri="{FF2B5EF4-FFF2-40B4-BE49-F238E27FC236}">
                  <a16:creationId xmlns:a16="http://schemas.microsoft.com/office/drawing/2014/main" id="{780C11EF-BC4E-DE1A-D06B-4C084779FA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AD8A728" w14:textId="357FEF2E" w:rsidR="001B293F" w:rsidRPr="001B293F" w:rsidRDefault="001B293F" w:rsidP="001B293F">
      <w:pPr>
        <w:spacing w:before="100" w:beforeAutospacing="1" w:after="100" w:afterAutospacing="1" w:line="240" w:lineRule="auto"/>
        <w:rPr>
          <w:rFonts w:eastAsia="Times New Roman" w:cs="Times New Roman"/>
          <w:b/>
          <w:bCs/>
          <w:kern w:val="0"/>
          <w:sz w:val="24"/>
          <w:szCs w:val="24"/>
          <w:lang w:eastAsia="en-IN"/>
          <w14:ligatures w14:val="none"/>
        </w:rPr>
      </w:pPr>
      <w:r w:rsidRPr="001B293F">
        <w:rPr>
          <w:rFonts w:eastAsia="Times New Roman" w:cs="Times New Roman"/>
          <w:b/>
          <w:bCs/>
          <w:kern w:val="0"/>
          <w:sz w:val="24"/>
          <w:szCs w:val="24"/>
          <w:lang w:eastAsia="en-IN"/>
          <w14:ligatures w14:val="none"/>
        </w:rPr>
        <w:t>I</w:t>
      </w:r>
      <w:r w:rsidRPr="001B293F">
        <w:rPr>
          <w:rFonts w:eastAsia="Times New Roman" w:cs="Times New Roman"/>
          <w:b/>
          <w:bCs/>
          <w:kern w:val="0"/>
          <w:sz w:val="24"/>
          <w:szCs w:val="24"/>
          <w:lang w:eastAsia="en-IN"/>
          <w14:ligatures w14:val="none"/>
        </w:rPr>
        <w:t>nterpretation of the reasons for denial of Home Equity Loans (HELs) and Home Equity Lines of Credit (HELOCs) in 2023:</w:t>
      </w:r>
    </w:p>
    <w:p w14:paraId="74918431" w14:textId="77777777" w:rsidR="001B293F" w:rsidRPr="001B293F" w:rsidRDefault="001B293F" w:rsidP="001B293F">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1B293F">
        <w:rPr>
          <w:rFonts w:eastAsia="Times New Roman" w:cs="Times New Roman"/>
          <w:b/>
          <w:bCs/>
          <w:kern w:val="0"/>
          <w:sz w:val="24"/>
          <w:szCs w:val="24"/>
          <w:lang w:eastAsia="en-IN"/>
          <w14:ligatures w14:val="none"/>
        </w:rPr>
        <w:t>Insufficient Equity:</w:t>
      </w:r>
    </w:p>
    <w:p w14:paraId="0D8943C4" w14:textId="77777777" w:rsidR="001B293F" w:rsidRPr="001B293F" w:rsidRDefault="001B293F" w:rsidP="001B293F">
      <w:pPr>
        <w:numPr>
          <w:ilvl w:val="1"/>
          <w:numId w:val="9"/>
        </w:numPr>
        <w:spacing w:before="100" w:beforeAutospacing="1" w:after="100" w:afterAutospacing="1" w:line="240" w:lineRule="auto"/>
        <w:rPr>
          <w:rFonts w:eastAsia="Times New Roman" w:cs="Times New Roman"/>
          <w:kern w:val="0"/>
          <w:sz w:val="24"/>
          <w:szCs w:val="24"/>
          <w:lang w:eastAsia="en-IN"/>
          <w14:ligatures w14:val="none"/>
        </w:rPr>
      </w:pPr>
      <w:r w:rsidRPr="001B293F">
        <w:rPr>
          <w:rFonts w:eastAsia="Times New Roman" w:cs="Times New Roman"/>
          <w:kern w:val="0"/>
          <w:sz w:val="24"/>
          <w:szCs w:val="24"/>
          <w:lang w:eastAsia="en-IN"/>
          <w14:ligatures w14:val="none"/>
        </w:rPr>
        <w:t>HELs: 30%</w:t>
      </w:r>
    </w:p>
    <w:p w14:paraId="65F96255" w14:textId="77777777" w:rsidR="001B293F" w:rsidRPr="001B293F" w:rsidRDefault="001B293F" w:rsidP="001B293F">
      <w:pPr>
        <w:numPr>
          <w:ilvl w:val="1"/>
          <w:numId w:val="9"/>
        </w:numPr>
        <w:spacing w:before="100" w:beforeAutospacing="1" w:after="100" w:afterAutospacing="1" w:line="240" w:lineRule="auto"/>
        <w:rPr>
          <w:rFonts w:eastAsia="Times New Roman" w:cs="Times New Roman"/>
          <w:kern w:val="0"/>
          <w:sz w:val="24"/>
          <w:szCs w:val="24"/>
          <w:lang w:eastAsia="en-IN"/>
          <w14:ligatures w14:val="none"/>
        </w:rPr>
      </w:pPr>
      <w:r w:rsidRPr="001B293F">
        <w:rPr>
          <w:rFonts w:eastAsia="Times New Roman" w:cs="Times New Roman"/>
          <w:kern w:val="0"/>
          <w:sz w:val="24"/>
          <w:szCs w:val="24"/>
          <w:lang w:eastAsia="en-IN"/>
          <w14:ligatures w14:val="none"/>
        </w:rPr>
        <w:t>HELOCs: 25%</w:t>
      </w:r>
    </w:p>
    <w:p w14:paraId="2B3E568F" w14:textId="77777777" w:rsidR="001B293F" w:rsidRPr="001B293F" w:rsidRDefault="001B293F" w:rsidP="001B293F">
      <w:pPr>
        <w:numPr>
          <w:ilvl w:val="1"/>
          <w:numId w:val="9"/>
        </w:numPr>
        <w:spacing w:before="100" w:beforeAutospacing="1" w:after="100" w:afterAutospacing="1" w:line="240" w:lineRule="auto"/>
        <w:rPr>
          <w:rFonts w:eastAsia="Times New Roman" w:cs="Times New Roman"/>
          <w:kern w:val="0"/>
          <w:sz w:val="24"/>
          <w:szCs w:val="24"/>
          <w:lang w:eastAsia="en-IN"/>
          <w14:ligatures w14:val="none"/>
        </w:rPr>
      </w:pPr>
      <w:r w:rsidRPr="001B293F">
        <w:rPr>
          <w:rFonts w:eastAsia="Times New Roman" w:cs="Times New Roman"/>
          <w:b/>
          <w:bCs/>
          <w:kern w:val="0"/>
          <w:sz w:val="24"/>
          <w:szCs w:val="24"/>
          <w:lang w:eastAsia="en-IN"/>
          <w14:ligatures w14:val="none"/>
        </w:rPr>
        <w:lastRenderedPageBreak/>
        <w:t>Interpretation:</w:t>
      </w:r>
      <w:r w:rsidRPr="001B293F">
        <w:rPr>
          <w:rFonts w:eastAsia="Times New Roman" w:cs="Times New Roman"/>
          <w:kern w:val="0"/>
          <w:sz w:val="24"/>
          <w:szCs w:val="24"/>
          <w:lang w:eastAsia="en-IN"/>
          <w14:ligatures w14:val="none"/>
        </w:rPr>
        <w:t xml:space="preserve"> A significant portion of denials for both HELs and HELOCs is due to insufficient equity in the property, which affects the amount lenders are willing to extend.</w:t>
      </w:r>
    </w:p>
    <w:p w14:paraId="118B7336" w14:textId="77777777" w:rsidR="001B293F" w:rsidRPr="001B293F" w:rsidRDefault="001B293F" w:rsidP="001B293F">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1B293F">
        <w:rPr>
          <w:rFonts w:eastAsia="Times New Roman" w:cs="Times New Roman"/>
          <w:b/>
          <w:bCs/>
          <w:kern w:val="0"/>
          <w:sz w:val="24"/>
          <w:szCs w:val="24"/>
          <w:lang w:eastAsia="en-IN"/>
          <w14:ligatures w14:val="none"/>
        </w:rPr>
        <w:t>Poor Credit History:</w:t>
      </w:r>
    </w:p>
    <w:p w14:paraId="2DCF8821" w14:textId="77777777" w:rsidR="001B293F" w:rsidRPr="001B293F" w:rsidRDefault="001B293F" w:rsidP="001B293F">
      <w:pPr>
        <w:numPr>
          <w:ilvl w:val="1"/>
          <w:numId w:val="9"/>
        </w:numPr>
        <w:spacing w:before="100" w:beforeAutospacing="1" w:after="100" w:afterAutospacing="1" w:line="240" w:lineRule="auto"/>
        <w:rPr>
          <w:rFonts w:eastAsia="Times New Roman" w:cs="Times New Roman"/>
          <w:kern w:val="0"/>
          <w:sz w:val="24"/>
          <w:szCs w:val="24"/>
          <w:lang w:eastAsia="en-IN"/>
          <w14:ligatures w14:val="none"/>
        </w:rPr>
      </w:pPr>
      <w:r w:rsidRPr="001B293F">
        <w:rPr>
          <w:rFonts w:eastAsia="Times New Roman" w:cs="Times New Roman"/>
          <w:kern w:val="0"/>
          <w:sz w:val="24"/>
          <w:szCs w:val="24"/>
          <w:lang w:eastAsia="en-IN"/>
          <w14:ligatures w14:val="none"/>
        </w:rPr>
        <w:t>HELs: 25%</w:t>
      </w:r>
    </w:p>
    <w:p w14:paraId="0DA62598" w14:textId="77777777" w:rsidR="001B293F" w:rsidRPr="001B293F" w:rsidRDefault="001B293F" w:rsidP="001B293F">
      <w:pPr>
        <w:numPr>
          <w:ilvl w:val="1"/>
          <w:numId w:val="9"/>
        </w:numPr>
        <w:spacing w:before="100" w:beforeAutospacing="1" w:after="100" w:afterAutospacing="1" w:line="240" w:lineRule="auto"/>
        <w:rPr>
          <w:rFonts w:eastAsia="Times New Roman" w:cs="Times New Roman"/>
          <w:kern w:val="0"/>
          <w:sz w:val="24"/>
          <w:szCs w:val="24"/>
          <w:lang w:eastAsia="en-IN"/>
          <w14:ligatures w14:val="none"/>
        </w:rPr>
      </w:pPr>
      <w:r w:rsidRPr="001B293F">
        <w:rPr>
          <w:rFonts w:eastAsia="Times New Roman" w:cs="Times New Roman"/>
          <w:kern w:val="0"/>
          <w:sz w:val="24"/>
          <w:szCs w:val="24"/>
          <w:lang w:eastAsia="en-IN"/>
          <w14:ligatures w14:val="none"/>
        </w:rPr>
        <w:t>HELOCs: 30%</w:t>
      </w:r>
    </w:p>
    <w:p w14:paraId="39FCF643" w14:textId="77777777" w:rsidR="001B293F" w:rsidRPr="001B293F" w:rsidRDefault="001B293F" w:rsidP="001B293F">
      <w:pPr>
        <w:numPr>
          <w:ilvl w:val="1"/>
          <w:numId w:val="9"/>
        </w:numPr>
        <w:spacing w:before="100" w:beforeAutospacing="1" w:after="100" w:afterAutospacing="1" w:line="240" w:lineRule="auto"/>
        <w:rPr>
          <w:rFonts w:eastAsia="Times New Roman" w:cs="Times New Roman"/>
          <w:kern w:val="0"/>
          <w:sz w:val="24"/>
          <w:szCs w:val="24"/>
          <w:lang w:eastAsia="en-IN"/>
          <w14:ligatures w14:val="none"/>
        </w:rPr>
      </w:pPr>
      <w:r w:rsidRPr="001B293F">
        <w:rPr>
          <w:rFonts w:eastAsia="Times New Roman" w:cs="Times New Roman"/>
          <w:b/>
          <w:bCs/>
          <w:kern w:val="0"/>
          <w:sz w:val="24"/>
          <w:szCs w:val="24"/>
          <w:lang w:eastAsia="en-IN"/>
          <w14:ligatures w14:val="none"/>
        </w:rPr>
        <w:t>Interpretation:</w:t>
      </w:r>
      <w:r w:rsidRPr="001B293F">
        <w:rPr>
          <w:rFonts w:eastAsia="Times New Roman" w:cs="Times New Roman"/>
          <w:kern w:val="0"/>
          <w:sz w:val="24"/>
          <w:szCs w:val="24"/>
          <w:lang w:eastAsia="en-IN"/>
          <w14:ligatures w14:val="none"/>
        </w:rPr>
        <w:t xml:space="preserve"> Poor credit history is a common reason for denial, with HELOCs slightly more impacted than HELs, likely due to the ongoing credit assessment involved with revolving lines of credit.</w:t>
      </w:r>
    </w:p>
    <w:p w14:paraId="38802B1A" w14:textId="77777777" w:rsidR="001B293F" w:rsidRPr="001B293F" w:rsidRDefault="001B293F" w:rsidP="001B293F">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1B293F">
        <w:rPr>
          <w:rFonts w:eastAsia="Times New Roman" w:cs="Times New Roman"/>
          <w:b/>
          <w:bCs/>
          <w:kern w:val="0"/>
          <w:sz w:val="24"/>
          <w:szCs w:val="24"/>
          <w:lang w:eastAsia="en-IN"/>
          <w14:ligatures w14:val="none"/>
        </w:rPr>
        <w:t>High Debt-to-Income Ratio:</w:t>
      </w:r>
    </w:p>
    <w:p w14:paraId="28025838" w14:textId="77777777" w:rsidR="001B293F" w:rsidRPr="001B293F" w:rsidRDefault="001B293F" w:rsidP="001B293F">
      <w:pPr>
        <w:numPr>
          <w:ilvl w:val="1"/>
          <w:numId w:val="9"/>
        </w:numPr>
        <w:spacing w:before="100" w:beforeAutospacing="1" w:after="100" w:afterAutospacing="1" w:line="240" w:lineRule="auto"/>
        <w:rPr>
          <w:rFonts w:eastAsia="Times New Roman" w:cs="Times New Roman"/>
          <w:kern w:val="0"/>
          <w:sz w:val="24"/>
          <w:szCs w:val="24"/>
          <w:lang w:eastAsia="en-IN"/>
          <w14:ligatures w14:val="none"/>
        </w:rPr>
      </w:pPr>
      <w:r w:rsidRPr="001B293F">
        <w:rPr>
          <w:rFonts w:eastAsia="Times New Roman" w:cs="Times New Roman"/>
          <w:kern w:val="0"/>
          <w:sz w:val="24"/>
          <w:szCs w:val="24"/>
          <w:lang w:eastAsia="en-IN"/>
          <w14:ligatures w14:val="none"/>
        </w:rPr>
        <w:t>HELs: 20%</w:t>
      </w:r>
    </w:p>
    <w:p w14:paraId="7CFF12AA" w14:textId="77777777" w:rsidR="001B293F" w:rsidRPr="001B293F" w:rsidRDefault="001B293F" w:rsidP="001B293F">
      <w:pPr>
        <w:numPr>
          <w:ilvl w:val="1"/>
          <w:numId w:val="9"/>
        </w:numPr>
        <w:spacing w:before="100" w:beforeAutospacing="1" w:after="100" w:afterAutospacing="1" w:line="240" w:lineRule="auto"/>
        <w:rPr>
          <w:rFonts w:eastAsia="Times New Roman" w:cs="Times New Roman"/>
          <w:kern w:val="0"/>
          <w:sz w:val="24"/>
          <w:szCs w:val="24"/>
          <w:lang w:eastAsia="en-IN"/>
          <w14:ligatures w14:val="none"/>
        </w:rPr>
      </w:pPr>
      <w:r w:rsidRPr="001B293F">
        <w:rPr>
          <w:rFonts w:eastAsia="Times New Roman" w:cs="Times New Roman"/>
          <w:kern w:val="0"/>
          <w:sz w:val="24"/>
          <w:szCs w:val="24"/>
          <w:lang w:eastAsia="en-IN"/>
          <w14:ligatures w14:val="none"/>
        </w:rPr>
        <w:t>HELOCs: 20%</w:t>
      </w:r>
    </w:p>
    <w:p w14:paraId="607BF80B" w14:textId="77777777" w:rsidR="001B293F" w:rsidRPr="001B293F" w:rsidRDefault="001B293F" w:rsidP="001B293F">
      <w:pPr>
        <w:numPr>
          <w:ilvl w:val="1"/>
          <w:numId w:val="9"/>
        </w:numPr>
        <w:spacing w:before="100" w:beforeAutospacing="1" w:after="100" w:afterAutospacing="1" w:line="240" w:lineRule="auto"/>
        <w:rPr>
          <w:rFonts w:eastAsia="Times New Roman" w:cs="Times New Roman"/>
          <w:kern w:val="0"/>
          <w:sz w:val="24"/>
          <w:szCs w:val="24"/>
          <w:lang w:eastAsia="en-IN"/>
          <w14:ligatures w14:val="none"/>
        </w:rPr>
      </w:pPr>
      <w:r w:rsidRPr="001B293F">
        <w:rPr>
          <w:rFonts w:eastAsia="Times New Roman" w:cs="Times New Roman"/>
          <w:b/>
          <w:bCs/>
          <w:kern w:val="0"/>
          <w:sz w:val="24"/>
          <w:szCs w:val="24"/>
          <w:lang w:eastAsia="en-IN"/>
          <w14:ligatures w14:val="none"/>
        </w:rPr>
        <w:t>Interpretation:</w:t>
      </w:r>
      <w:r w:rsidRPr="001B293F">
        <w:rPr>
          <w:rFonts w:eastAsia="Times New Roman" w:cs="Times New Roman"/>
          <w:kern w:val="0"/>
          <w:sz w:val="24"/>
          <w:szCs w:val="24"/>
          <w:lang w:eastAsia="en-IN"/>
          <w14:ligatures w14:val="none"/>
        </w:rPr>
        <w:t xml:space="preserve"> Both HELs and HELOCs are often denied when the borrower's debt-to-income ratio exceeds acceptable limits, indicating concerns about repayment capacity.</w:t>
      </w:r>
    </w:p>
    <w:p w14:paraId="0EE7BA9B" w14:textId="77777777" w:rsidR="001B293F" w:rsidRPr="001B293F" w:rsidRDefault="001B293F" w:rsidP="001B293F">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1B293F">
        <w:rPr>
          <w:rFonts w:eastAsia="Times New Roman" w:cs="Times New Roman"/>
          <w:b/>
          <w:bCs/>
          <w:kern w:val="0"/>
          <w:sz w:val="24"/>
          <w:szCs w:val="24"/>
          <w:lang w:eastAsia="en-IN"/>
          <w14:ligatures w14:val="none"/>
        </w:rPr>
        <w:t>Incomplete Documentation:</w:t>
      </w:r>
    </w:p>
    <w:p w14:paraId="6AEE8268" w14:textId="77777777" w:rsidR="001B293F" w:rsidRPr="001B293F" w:rsidRDefault="001B293F" w:rsidP="001B293F">
      <w:pPr>
        <w:numPr>
          <w:ilvl w:val="1"/>
          <w:numId w:val="9"/>
        </w:numPr>
        <w:spacing w:before="100" w:beforeAutospacing="1" w:after="100" w:afterAutospacing="1" w:line="240" w:lineRule="auto"/>
        <w:rPr>
          <w:rFonts w:eastAsia="Times New Roman" w:cs="Times New Roman"/>
          <w:kern w:val="0"/>
          <w:sz w:val="24"/>
          <w:szCs w:val="24"/>
          <w:lang w:eastAsia="en-IN"/>
          <w14:ligatures w14:val="none"/>
        </w:rPr>
      </w:pPr>
      <w:r w:rsidRPr="001B293F">
        <w:rPr>
          <w:rFonts w:eastAsia="Times New Roman" w:cs="Times New Roman"/>
          <w:kern w:val="0"/>
          <w:sz w:val="24"/>
          <w:szCs w:val="24"/>
          <w:lang w:eastAsia="en-IN"/>
          <w14:ligatures w14:val="none"/>
        </w:rPr>
        <w:t>HELs: 15%</w:t>
      </w:r>
    </w:p>
    <w:p w14:paraId="5B0DAF2A" w14:textId="77777777" w:rsidR="001B293F" w:rsidRPr="001B293F" w:rsidRDefault="001B293F" w:rsidP="001B293F">
      <w:pPr>
        <w:numPr>
          <w:ilvl w:val="1"/>
          <w:numId w:val="9"/>
        </w:numPr>
        <w:spacing w:before="100" w:beforeAutospacing="1" w:after="100" w:afterAutospacing="1" w:line="240" w:lineRule="auto"/>
        <w:rPr>
          <w:rFonts w:eastAsia="Times New Roman" w:cs="Times New Roman"/>
          <w:kern w:val="0"/>
          <w:sz w:val="24"/>
          <w:szCs w:val="24"/>
          <w:lang w:eastAsia="en-IN"/>
          <w14:ligatures w14:val="none"/>
        </w:rPr>
      </w:pPr>
      <w:r w:rsidRPr="001B293F">
        <w:rPr>
          <w:rFonts w:eastAsia="Times New Roman" w:cs="Times New Roman"/>
          <w:kern w:val="0"/>
          <w:sz w:val="24"/>
          <w:szCs w:val="24"/>
          <w:lang w:eastAsia="en-IN"/>
          <w14:ligatures w14:val="none"/>
        </w:rPr>
        <w:t>HELOCs: 10%</w:t>
      </w:r>
    </w:p>
    <w:p w14:paraId="3705C0F0" w14:textId="77777777" w:rsidR="001B293F" w:rsidRPr="001B293F" w:rsidRDefault="001B293F" w:rsidP="001B293F">
      <w:pPr>
        <w:numPr>
          <w:ilvl w:val="1"/>
          <w:numId w:val="9"/>
        </w:numPr>
        <w:spacing w:before="100" w:beforeAutospacing="1" w:after="100" w:afterAutospacing="1" w:line="240" w:lineRule="auto"/>
        <w:rPr>
          <w:rFonts w:eastAsia="Times New Roman" w:cs="Times New Roman"/>
          <w:kern w:val="0"/>
          <w:sz w:val="24"/>
          <w:szCs w:val="24"/>
          <w:lang w:eastAsia="en-IN"/>
          <w14:ligatures w14:val="none"/>
        </w:rPr>
      </w:pPr>
      <w:r w:rsidRPr="001B293F">
        <w:rPr>
          <w:rFonts w:eastAsia="Times New Roman" w:cs="Times New Roman"/>
          <w:b/>
          <w:bCs/>
          <w:kern w:val="0"/>
          <w:sz w:val="24"/>
          <w:szCs w:val="24"/>
          <w:lang w:eastAsia="en-IN"/>
          <w14:ligatures w14:val="none"/>
        </w:rPr>
        <w:t>Interpretation:</w:t>
      </w:r>
      <w:r w:rsidRPr="001B293F">
        <w:rPr>
          <w:rFonts w:eastAsia="Times New Roman" w:cs="Times New Roman"/>
          <w:kern w:val="0"/>
          <w:sz w:val="24"/>
          <w:szCs w:val="24"/>
          <w:lang w:eastAsia="en-IN"/>
          <w14:ligatures w14:val="none"/>
        </w:rPr>
        <w:t xml:space="preserve"> Incomplete documentation is cited less frequently but remains a barrier, particularly for HELOCs where ongoing verification may be necessary.</w:t>
      </w:r>
    </w:p>
    <w:p w14:paraId="72C7997E" w14:textId="77777777" w:rsidR="001B293F" w:rsidRPr="001B293F" w:rsidRDefault="001B293F" w:rsidP="001B293F">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1B293F">
        <w:rPr>
          <w:rFonts w:eastAsia="Times New Roman" w:cs="Times New Roman"/>
          <w:b/>
          <w:bCs/>
          <w:kern w:val="0"/>
          <w:sz w:val="24"/>
          <w:szCs w:val="24"/>
          <w:lang w:eastAsia="en-IN"/>
          <w14:ligatures w14:val="none"/>
        </w:rPr>
        <w:t>Property Issues:</w:t>
      </w:r>
    </w:p>
    <w:p w14:paraId="6E585C99" w14:textId="77777777" w:rsidR="001B293F" w:rsidRPr="001B293F" w:rsidRDefault="001B293F" w:rsidP="001B293F">
      <w:pPr>
        <w:numPr>
          <w:ilvl w:val="1"/>
          <w:numId w:val="9"/>
        </w:numPr>
        <w:spacing w:before="100" w:beforeAutospacing="1" w:after="100" w:afterAutospacing="1" w:line="240" w:lineRule="auto"/>
        <w:rPr>
          <w:rFonts w:eastAsia="Times New Roman" w:cs="Times New Roman"/>
          <w:kern w:val="0"/>
          <w:sz w:val="24"/>
          <w:szCs w:val="24"/>
          <w:lang w:eastAsia="en-IN"/>
          <w14:ligatures w14:val="none"/>
        </w:rPr>
      </w:pPr>
      <w:r w:rsidRPr="001B293F">
        <w:rPr>
          <w:rFonts w:eastAsia="Times New Roman" w:cs="Times New Roman"/>
          <w:kern w:val="0"/>
          <w:sz w:val="24"/>
          <w:szCs w:val="24"/>
          <w:lang w:eastAsia="en-IN"/>
          <w14:ligatures w14:val="none"/>
        </w:rPr>
        <w:t>HELs: 10%</w:t>
      </w:r>
    </w:p>
    <w:p w14:paraId="4EE55417" w14:textId="77777777" w:rsidR="001B293F" w:rsidRPr="001B293F" w:rsidRDefault="001B293F" w:rsidP="001B293F">
      <w:pPr>
        <w:numPr>
          <w:ilvl w:val="1"/>
          <w:numId w:val="9"/>
        </w:numPr>
        <w:spacing w:before="100" w:beforeAutospacing="1" w:after="100" w:afterAutospacing="1" w:line="240" w:lineRule="auto"/>
        <w:rPr>
          <w:rFonts w:eastAsia="Times New Roman" w:cs="Times New Roman"/>
          <w:kern w:val="0"/>
          <w:sz w:val="24"/>
          <w:szCs w:val="24"/>
          <w:lang w:eastAsia="en-IN"/>
          <w14:ligatures w14:val="none"/>
        </w:rPr>
      </w:pPr>
      <w:r w:rsidRPr="001B293F">
        <w:rPr>
          <w:rFonts w:eastAsia="Times New Roman" w:cs="Times New Roman"/>
          <w:kern w:val="0"/>
          <w:sz w:val="24"/>
          <w:szCs w:val="24"/>
          <w:lang w:eastAsia="en-IN"/>
          <w14:ligatures w14:val="none"/>
        </w:rPr>
        <w:t>HELOCs: 15%</w:t>
      </w:r>
    </w:p>
    <w:p w14:paraId="4ED7CF98" w14:textId="77777777" w:rsidR="001B293F" w:rsidRPr="001B293F" w:rsidRDefault="001B293F" w:rsidP="001B293F">
      <w:pPr>
        <w:numPr>
          <w:ilvl w:val="1"/>
          <w:numId w:val="9"/>
        </w:numPr>
        <w:spacing w:before="100" w:beforeAutospacing="1" w:after="100" w:afterAutospacing="1" w:line="240" w:lineRule="auto"/>
        <w:rPr>
          <w:rFonts w:eastAsia="Times New Roman" w:cs="Times New Roman"/>
          <w:kern w:val="0"/>
          <w:sz w:val="24"/>
          <w:szCs w:val="24"/>
          <w:lang w:eastAsia="en-IN"/>
          <w14:ligatures w14:val="none"/>
        </w:rPr>
      </w:pPr>
      <w:r w:rsidRPr="001B293F">
        <w:rPr>
          <w:rFonts w:eastAsia="Times New Roman" w:cs="Times New Roman"/>
          <w:b/>
          <w:bCs/>
          <w:kern w:val="0"/>
          <w:sz w:val="24"/>
          <w:szCs w:val="24"/>
          <w:lang w:eastAsia="en-IN"/>
          <w14:ligatures w14:val="none"/>
        </w:rPr>
        <w:t>Interpretation:</w:t>
      </w:r>
      <w:r w:rsidRPr="001B293F">
        <w:rPr>
          <w:rFonts w:eastAsia="Times New Roman" w:cs="Times New Roman"/>
          <w:kern w:val="0"/>
          <w:sz w:val="24"/>
          <w:szCs w:val="24"/>
          <w:lang w:eastAsia="en-IN"/>
          <w14:ligatures w14:val="none"/>
        </w:rPr>
        <w:t xml:space="preserve"> Issues related to the property itself, such as liens or valuation concerns, contribute to denials, more so for HELOCs which involve ongoing property value assessments.</w:t>
      </w:r>
    </w:p>
    <w:p w14:paraId="5B08D289" w14:textId="71825C19" w:rsidR="001B293F" w:rsidRPr="001B293F" w:rsidRDefault="001B293F" w:rsidP="001B293F">
      <w:pPr>
        <w:spacing w:before="100" w:beforeAutospacing="1" w:after="100" w:afterAutospacing="1" w:line="240" w:lineRule="auto"/>
        <w:rPr>
          <w:rFonts w:eastAsia="Times New Roman" w:cs="Times New Roman"/>
          <w:kern w:val="0"/>
          <w:sz w:val="24"/>
          <w:szCs w:val="24"/>
          <w:lang w:eastAsia="en-IN"/>
          <w14:ligatures w14:val="none"/>
        </w:rPr>
      </w:pPr>
      <w:r w:rsidRPr="001B293F">
        <w:rPr>
          <w:rFonts w:eastAsia="Times New Roman" w:cs="Times New Roman"/>
          <w:kern w:val="0"/>
          <w:sz w:val="24"/>
          <w:szCs w:val="24"/>
          <w:lang w:eastAsia="en-IN"/>
          <w14:ligatures w14:val="none"/>
        </w:rPr>
        <w:t>These percentages highlight the primary reasons why applicants for HELs and HELOCs were denied in 2023, reflecting the key factors lenders consider in assessing loan applications.</w:t>
      </w:r>
    </w:p>
    <w:p w14:paraId="39D37F87" w14:textId="030AD997" w:rsidR="00C732E5" w:rsidRPr="00C732E5" w:rsidRDefault="00C732E5" w:rsidP="00C732E5">
      <w:pPr>
        <w:pStyle w:val="Heading1"/>
        <w:rPr>
          <w:rFonts w:eastAsia="Times New Roman"/>
          <w:lang w:eastAsia="en-IN"/>
        </w:rPr>
      </w:pPr>
      <w:r w:rsidRPr="00C732E5">
        <w:rPr>
          <w:rFonts w:eastAsia="Times New Roman"/>
          <w:lang w:eastAsia="en-IN"/>
        </w:rPr>
        <w:t>11. Conclusion</w:t>
      </w:r>
    </w:p>
    <w:p w14:paraId="01D027ED" w14:textId="77777777" w:rsidR="00C732E5" w:rsidRPr="00C732E5" w:rsidRDefault="00C732E5" w:rsidP="00C732E5">
      <w:pPr>
        <w:spacing w:before="100" w:beforeAutospacing="1" w:after="100" w:afterAutospacing="1" w:line="240" w:lineRule="auto"/>
        <w:rPr>
          <w:rFonts w:eastAsia="Times New Roman" w:cs="Times New Roman"/>
          <w:kern w:val="0"/>
          <w:sz w:val="24"/>
          <w:szCs w:val="24"/>
          <w:lang w:eastAsia="en-IN"/>
          <w14:ligatures w14:val="none"/>
        </w:rPr>
      </w:pPr>
      <w:r w:rsidRPr="00C732E5">
        <w:rPr>
          <w:rFonts w:eastAsia="Times New Roman" w:cs="Times New Roman"/>
          <w:kern w:val="0"/>
          <w:sz w:val="24"/>
          <w:szCs w:val="24"/>
          <w:lang w:eastAsia="en-IN"/>
          <w14:ligatures w14:val="none"/>
        </w:rPr>
        <w:t>Home equity loans and HELOCs are valuable financial tools for leveraging home equity. While they offer benefits like lower interest rates and flexible access to funds, they also carry risks, particularly the potential loss of the home in case of default. Understanding the terms and managing these loans responsibly is crucial for borrowers to maximize benefits and minimize risks.</w:t>
      </w:r>
    </w:p>
    <w:p w14:paraId="5102D37B" w14:textId="77777777" w:rsidR="008A21E4" w:rsidRPr="00C732E5" w:rsidRDefault="008A21E4" w:rsidP="00C732E5">
      <w:pPr>
        <w:rPr>
          <w:sz w:val="24"/>
          <w:szCs w:val="24"/>
        </w:rPr>
      </w:pPr>
    </w:p>
    <w:sectPr w:rsidR="008A21E4" w:rsidRPr="00C732E5" w:rsidSect="001B293F">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D63918"/>
    <w:multiLevelType w:val="multilevel"/>
    <w:tmpl w:val="215E7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DC5261"/>
    <w:multiLevelType w:val="multilevel"/>
    <w:tmpl w:val="45BA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905902"/>
    <w:multiLevelType w:val="multilevel"/>
    <w:tmpl w:val="F4B2E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E00DBC"/>
    <w:multiLevelType w:val="multilevel"/>
    <w:tmpl w:val="4FA01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6373BD"/>
    <w:multiLevelType w:val="multilevel"/>
    <w:tmpl w:val="EF94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2E1080"/>
    <w:multiLevelType w:val="hybridMultilevel"/>
    <w:tmpl w:val="46C8FE1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535B2014"/>
    <w:multiLevelType w:val="multilevel"/>
    <w:tmpl w:val="D0C24E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A51656"/>
    <w:multiLevelType w:val="multilevel"/>
    <w:tmpl w:val="2C8698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C52B27"/>
    <w:multiLevelType w:val="multilevel"/>
    <w:tmpl w:val="6478C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CC1650"/>
    <w:multiLevelType w:val="multilevel"/>
    <w:tmpl w:val="841231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5506640">
    <w:abstractNumId w:val="8"/>
  </w:num>
  <w:num w:numId="2" w16cid:durableId="578516847">
    <w:abstractNumId w:val="3"/>
  </w:num>
  <w:num w:numId="3" w16cid:durableId="1826697977">
    <w:abstractNumId w:val="1"/>
  </w:num>
  <w:num w:numId="4" w16cid:durableId="1719435131">
    <w:abstractNumId w:val="4"/>
  </w:num>
  <w:num w:numId="5" w16cid:durableId="1731735307">
    <w:abstractNumId w:val="9"/>
  </w:num>
  <w:num w:numId="6" w16cid:durableId="164058674">
    <w:abstractNumId w:val="7"/>
  </w:num>
  <w:num w:numId="7" w16cid:durableId="2056003332">
    <w:abstractNumId w:val="2"/>
  </w:num>
  <w:num w:numId="8" w16cid:durableId="170071394">
    <w:abstractNumId w:val="0"/>
  </w:num>
  <w:num w:numId="9" w16cid:durableId="1397555985">
    <w:abstractNumId w:val="6"/>
  </w:num>
  <w:num w:numId="10" w16cid:durableId="14280422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2E5"/>
    <w:rsid w:val="001B293F"/>
    <w:rsid w:val="00872AF5"/>
    <w:rsid w:val="0088182B"/>
    <w:rsid w:val="008A21E4"/>
    <w:rsid w:val="00C732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BF64D"/>
  <w15:chartTrackingRefBased/>
  <w15:docId w15:val="{EF8ACEE5-4867-4406-B338-EDC21EC58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32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732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732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732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732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32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32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32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32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2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732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732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732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C732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32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32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32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32E5"/>
    <w:rPr>
      <w:rFonts w:eastAsiaTheme="majorEastAsia" w:cstheme="majorBidi"/>
      <w:color w:val="272727" w:themeColor="text1" w:themeTint="D8"/>
    </w:rPr>
  </w:style>
  <w:style w:type="paragraph" w:styleId="Title">
    <w:name w:val="Title"/>
    <w:basedOn w:val="Normal"/>
    <w:next w:val="Normal"/>
    <w:link w:val="TitleChar"/>
    <w:uiPriority w:val="10"/>
    <w:qFormat/>
    <w:rsid w:val="00C732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32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32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32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32E5"/>
    <w:pPr>
      <w:spacing w:before="160"/>
      <w:jc w:val="center"/>
    </w:pPr>
    <w:rPr>
      <w:i/>
      <w:iCs/>
      <w:color w:val="404040" w:themeColor="text1" w:themeTint="BF"/>
    </w:rPr>
  </w:style>
  <w:style w:type="character" w:customStyle="1" w:styleId="QuoteChar">
    <w:name w:val="Quote Char"/>
    <w:basedOn w:val="DefaultParagraphFont"/>
    <w:link w:val="Quote"/>
    <w:uiPriority w:val="29"/>
    <w:rsid w:val="00C732E5"/>
    <w:rPr>
      <w:i/>
      <w:iCs/>
      <w:color w:val="404040" w:themeColor="text1" w:themeTint="BF"/>
    </w:rPr>
  </w:style>
  <w:style w:type="paragraph" w:styleId="ListParagraph">
    <w:name w:val="List Paragraph"/>
    <w:basedOn w:val="Normal"/>
    <w:uiPriority w:val="34"/>
    <w:qFormat/>
    <w:rsid w:val="00C732E5"/>
    <w:pPr>
      <w:ind w:left="720"/>
      <w:contextualSpacing/>
    </w:pPr>
  </w:style>
  <w:style w:type="character" w:styleId="IntenseEmphasis">
    <w:name w:val="Intense Emphasis"/>
    <w:basedOn w:val="DefaultParagraphFont"/>
    <w:uiPriority w:val="21"/>
    <w:qFormat/>
    <w:rsid w:val="00C732E5"/>
    <w:rPr>
      <w:i/>
      <w:iCs/>
      <w:color w:val="0F4761" w:themeColor="accent1" w:themeShade="BF"/>
    </w:rPr>
  </w:style>
  <w:style w:type="paragraph" w:styleId="IntenseQuote">
    <w:name w:val="Intense Quote"/>
    <w:basedOn w:val="Normal"/>
    <w:next w:val="Normal"/>
    <w:link w:val="IntenseQuoteChar"/>
    <w:uiPriority w:val="30"/>
    <w:qFormat/>
    <w:rsid w:val="00C732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32E5"/>
    <w:rPr>
      <w:i/>
      <w:iCs/>
      <w:color w:val="0F4761" w:themeColor="accent1" w:themeShade="BF"/>
    </w:rPr>
  </w:style>
  <w:style w:type="character" w:styleId="IntenseReference">
    <w:name w:val="Intense Reference"/>
    <w:basedOn w:val="DefaultParagraphFont"/>
    <w:uiPriority w:val="32"/>
    <w:qFormat/>
    <w:rsid w:val="00C732E5"/>
    <w:rPr>
      <w:b/>
      <w:bCs/>
      <w:smallCaps/>
      <w:color w:val="0F4761" w:themeColor="accent1" w:themeShade="BF"/>
      <w:spacing w:val="5"/>
    </w:rPr>
  </w:style>
  <w:style w:type="paragraph" w:styleId="NormalWeb">
    <w:name w:val="Normal (Web)"/>
    <w:basedOn w:val="Normal"/>
    <w:uiPriority w:val="99"/>
    <w:semiHidden/>
    <w:unhideWhenUsed/>
    <w:rsid w:val="00C732E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732E5"/>
    <w:rPr>
      <w:b/>
      <w:bCs/>
    </w:rPr>
  </w:style>
  <w:style w:type="table" w:styleId="TableGrid">
    <w:name w:val="Table Grid"/>
    <w:basedOn w:val="TableNormal"/>
    <w:uiPriority w:val="39"/>
    <w:rsid w:val="00C732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337037">
      <w:bodyDiv w:val="1"/>
      <w:marLeft w:val="0"/>
      <w:marRight w:val="0"/>
      <w:marTop w:val="0"/>
      <w:marBottom w:val="0"/>
      <w:divBdr>
        <w:top w:val="none" w:sz="0" w:space="0" w:color="auto"/>
        <w:left w:val="none" w:sz="0" w:space="0" w:color="auto"/>
        <w:bottom w:val="none" w:sz="0" w:space="0" w:color="auto"/>
        <w:right w:val="none" w:sz="0" w:space="0" w:color="auto"/>
      </w:divBdr>
    </w:div>
    <w:div w:id="172644587">
      <w:bodyDiv w:val="1"/>
      <w:marLeft w:val="0"/>
      <w:marRight w:val="0"/>
      <w:marTop w:val="0"/>
      <w:marBottom w:val="0"/>
      <w:divBdr>
        <w:top w:val="none" w:sz="0" w:space="0" w:color="auto"/>
        <w:left w:val="none" w:sz="0" w:space="0" w:color="auto"/>
        <w:bottom w:val="none" w:sz="0" w:space="0" w:color="auto"/>
        <w:right w:val="none" w:sz="0" w:space="0" w:color="auto"/>
      </w:divBdr>
    </w:div>
    <w:div w:id="179122841">
      <w:bodyDiv w:val="1"/>
      <w:marLeft w:val="0"/>
      <w:marRight w:val="0"/>
      <w:marTop w:val="0"/>
      <w:marBottom w:val="0"/>
      <w:divBdr>
        <w:top w:val="none" w:sz="0" w:space="0" w:color="auto"/>
        <w:left w:val="none" w:sz="0" w:space="0" w:color="auto"/>
        <w:bottom w:val="none" w:sz="0" w:space="0" w:color="auto"/>
        <w:right w:val="none" w:sz="0" w:space="0" w:color="auto"/>
      </w:divBdr>
    </w:div>
    <w:div w:id="485824199">
      <w:bodyDiv w:val="1"/>
      <w:marLeft w:val="0"/>
      <w:marRight w:val="0"/>
      <w:marTop w:val="0"/>
      <w:marBottom w:val="0"/>
      <w:divBdr>
        <w:top w:val="none" w:sz="0" w:space="0" w:color="auto"/>
        <w:left w:val="none" w:sz="0" w:space="0" w:color="auto"/>
        <w:bottom w:val="none" w:sz="0" w:space="0" w:color="auto"/>
        <w:right w:val="none" w:sz="0" w:space="0" w:color="auto"/>
      </w:divBdr>
    </w:div>
    <w:div w:id="678846555">
      <w:bodyDiv w:val="1"/>
      <w:marLeft w:val="0"/>
      <w:marRight w:val="0"/>
      <w:marTop w:val="0"/>
      <w:marBottom w:val="0"/>
      <w:divBdr>
        <w:top w:val="none" w:sz="0" w:space="0" w:color="auto"/>
        <w:left w:val="none" w:sz="0" w:space="0" w:color="auto"/>
        <w:bottom w:val="none" w:sz="0" w:space="0" w:color="auto"/>
        <w:right w:val="none" w:sz="0" w:space="0" w:color="auto"/>
      </w:divBdr>
    </w:div>
    <w:div w:id="849490175">
      <w:bodyDiv w:val="1"/>
      <w:marLeft w:val="0"/>
      <w:marRight w:val="0"/>
      <w:marTop w:val="0"/>
      <w:marBottom w:val="0"/>
      <w:divBdr>
        <w:top w:val="none" w:sz="0" w:space="0" w:color="auto"/>
        <w:left w:val="none" w:sz="0" w:space="0" w:color="auto"/>
        <w:bottom w:val="none" w:sz="0" w:space="0" w:color="auto"/>
        <w:right w:val="none" w:sz="0" w:space="0" w:color="auto"/>
      </w:divBdr>
    </w:div>
    <w:div w:id="1037126346">
      <w:bodyDiv w:val="1"/>
      <w:marLeft w:val="0"/>
      <w:marRight w:val="0"/>
      <w:marTop w:val="0"/>
      <w:marBottom w:val="0"/>
      <w:divBdr>
        <w:top w:val="none" w:sz="0" w:space="0" w:color="auto"/>
        <w:left w:val="none" w:sz="0" w:space="0" w:color="auto"/>
        <w:bottom w:val="none" w:sz="0" w:space="0" w:color="auto"/>
        <w:right w:val="none" w:sz="0" w:space="0" w:color="auto"/>
      </w:divBdr>
    </w:div>
    <w:div w:id="1141386584">
      <w:bodyDiv w:val="1"/>
      <w:marLeft w:val="0"/>
      <w:marRight w:val="0"/>
      <w:marTop w:val="0"/>
      <w:marBottom w:val="0"/>
      <w:divBdr>
        <w:top w:val="none" w:sz="0" w:space="0" w:color="auto"/>
        <w:left w:val="none" w:sz="0" w:space="0" w:color="auto"/>
        <w:bottom w:val="none" w:sz="0" w:space="0" w:color="auto"/>
        <w:right w:val="none" w:sz="0" w:space="0" w:color="auto"/>
      </w:divBdr>
    </w:div>
    <w:div w:id="1335956267">
      <w:bodyDiv w:val="1"/>
      <w:marLeft w:val="0"/>
      <w:marRight w:val="0"/>
      <w:marTop w:val="0"/>
      <w:marBottom w:val="0"/>
      <w:divBdr>
        <w:top w:val="none" w:sz="0" w:space="0" w:color="auto"/>
        <w:left w:val="none" w:sz="0" w:space="0" w:color="auto"/>
        <w:bottom w:val="none" w:sz="0" w:space="0" w:color="auto"/>
        <w:right w:val="none" w:sz="0" w:space="0" w:color="auto"/>
      </w:divBdr>
    </w:div>
    <w:div w:id="1340741647">
      <w:bodyDiv w:val="1"/>
      <w:marLeft w:val="0"/>
      <w:marRight w:val="0"/>
      <w:marTop w:val="0"/>
      <w:marBottom w:val="0"/>
      <w:divBdr>
        <w:top w:val="none" w:sz="0" w:space="0" w:color="auto"/>
        <w:left w:val="none" w:sz="0" w:space="0" w:color="auto"/>
        <w:bottom w:val="none" w:sz="0" w:space="0" w:color="auto"/>
        <w:right w:val="none" w:sz="0" w:space="0" w:color="auto"/>
      </w:divBdr>
    </w:div>
    <w:div w:id="1857885221">
      <w:bodyDiv w:val="1"/>
      <w:marLeft w:val="0"/>
      <w:marRight w:val="0"/>
      <w:marTop w:val="0"/>
      <w:marBottom w:val="0"/>
      <w:divBdr>
        <w:top w:val="none" w:sz="0" w:space="0" w:color="auto"/>
        <w:left w:val="none" w:sz="0" w:space="0" w:color="auto"/>
        <w:bottom w:val="none" w:sz="0" w:space="0" w:color="auto"/>
        <w:right w:val="none" w:sz="0" w:space="0" w:color="auto"/>
      </w:divBdr>
    </w:div>
    <w:div w:id="1945267837">
      <w:bodyDiv w:val="1"/>
      <w:marLeft w:val="0"/>
      <w:marRight w:val="0"/>
      <w:marTop w:val="0"/>
      <w:marBottom w:val="0"/>
      <w:divBdr>
        <w:top w:val="none" w:sz="0" w:space="0" w:color="auto"/>
        <w:left w:val="none" w:sz="0" w:space="0" w:color="auto"/>
        <w:bottom w:val="none" w:sz="0" w:space="0" w:color="auto"/>
        <w:right w:val="none" w:sz="0" w:space="0" w:color="auto"/>
      </w:divBdr>
    </w:div>
    <w:div w:id="2025858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effectLst/>
              </a:rPr>
              <a:t>Usage of Home Equity Loans and HELOCs by Purpose (2023)</a:t>
            </a:r>
            <a:r>
              <a:rPr lang="en-IN" sz="1400" b="0" i="0" u="none" strike="noStrike" baseline="0"/>
              <a:t>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Sheet1!$B$3</c:f>
              <c:strCache>
                <c:ptCount val="1"/>
                <c:pt idx="0">
                  <c:v>Percentage of Home Equity Loans (%)</c:v>
                </c:pt>
              </c:strCache>
            </c:strRef>
          </c:tx>
          <c:spPr>
            <a:solidFill>
              <a:schemeClr val="accent1"/>
            </a:solidFill>
            <a:ln>
              <a:noFill/>
            </a:ln>
            <a:effectLst/>
          </c:spPr>
          <c:invertIfNegative val="0"/>
          <c:cat>
            <c:strRef>
              <c:f>Sheet1!$A$4:$A$7</c:f>
              <c:strCache>
                <c:ptCount val="4"/>
                <c:pt idx="0">
                  <c:v>Home Improvement</c:v>
                </c:pt>
                <c:pt idx="1">
                  <c:v>Debt Consolidation</c:v>
                </c:pt>
                <c:pt idx="2">
                  <c:v>Major Expenses (e.g., Education, Medical)</c:v>
                </c:pt>
                <c:pt idx="3">
                  <c:v>Investment (e.g., Business)</c:v>
                </c:pt>
              </c:strCache>
            </c:strRef>
          </c:cat>
          <c:val>
            <c:numRef>
              <c:f>Sheet1!$B$4:$B$7</c:f>
              <c:numCache>
                <c:formatCode>General</c:formatCode>
                <c:ptCount val="4"/>
                <c:pt idx="0">
                  <c:v>40</c:v>
                </c:pt>
                <c:pt idx="1">
                  <c:v>35</c:v>
                </c:pt>
                <c:pt idx="2">
                  <c:v>15</c:v>
                </c:pt>
                <c:pt idx="3">
                  <c:v>10</c:v>
                </c:pt>
              </c:numCache>
            </c:numRef>
          </c:val>
          <c:extLst>
            <c:ext xmlns:c16="http://schemas.microsoft.com/office/drawing/2014/chart" uri="{C3380CC4-5D6E-409C-BE32-E72D297353CC}">
              <c16:uniqueId val="{00000000-929C-4FD6-8B67-D016DCC892BA}"/>
            </c:ext>
          </c:extLst>
        </c:ser>
        <c:ser>
          <c:idx val="1"/>
          <c:order val="1"/>
          <c:tx>
            <c:strRef>
              <c:f>Sheet1!$C$3</c:f>
              <c:strCache>
                <c:ptCount val="1"/>
                <c:pt idx="0">
                  <c:v>Percentage of HELOCs (%)</c:v>
                </c:pt>
              </c:strCache>
            </c:strRef>
          </c:tx>
          <c:spPr>
            <a:solidFill>
              <a:schemeClr val="accent2"/>
            </a:solidFill>
            <a:ln>
              <a:noFill/>
            </a:ln>
            <a:effectLst/>
          </c:spPr>
          <c:invertIfNegative val="0"/>
          <c:cat>
            <c:strRef>
              <c:f>Sheet1!$A$4:$A$7</c:f>
              <c:strCache>
                <c:ptCount val="4"/>
                <c:pt idx="0">
                  <c:v>Home Improvement</c:v>
                </c:pt>
                <c:pt idx="1">
                  <c:v>Debt Consolidation</c:v>
                </c:pt>
                <c:pt idx="2">
                  <c:v>Major Expenses (e.g., Education, Medical)</c:v>
                </c:pt>
                <c:pt idx="3">
                  <c:v>Investment (e.g., Business)</c:v>
                </c:pt>
              </c:strCache>
            </c:strRef>
          </c:cat>
          <c:val>
            <c:numRef>
              <c:f>Sheet1!$C$4:$C$7</c:f>
              <c:numCache>
                <c:formatCode>General</c:formatCode>
                <c:ptCount val="4"/>
                <c:pt idx="0">
                  <c:v>45</c:v>
                </c:pt>
                <c:pt idx="1">
                  <c:v>30</c:v>
                </c:pt>
                <c:pt idx="2">
                  <c:v>10</c:v>
                </c:pt>
                <c:pt idx="3">
                  <c:v>15</c:v>
                </c:pt>
              </c:numCache>
            </c:numRef>
          </c:val>
          <c:extLst>
            <c:ext xmlns:c16="http://schemas.microsoft.com/office/drawing/2014/chart" uri="{C3380CC4-5D6E-409C-BE32-E72D297353CC}">
              <c16:uniqueId val="{00000001-929C-4FD6-8B67-D016DCC892BA}"/>
            </c:ext>
          </c:extLst>
        </c:ser>
        <c:dLbls>
          <c:showLegendKey val="0"/>
          <c:showVal val="0"/>
          <c:showCatName val="0"/>
          <c:showSerName val="0"/>
          <c:showPercent val="0"/>
          <c:showBubbleSize val="0"/>
        </c:dLbls>
        <c:gapWidth val="219"/>
        <c:overlap val="-27"/>
        <c:axId val="983408000"/>
        <c:axId val="983384480"/>
      </c:barChart>
      <c:catAx>
        <c:axId val="983408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3384480"/>
        <c:crosses val="autoZero"/>
        <c:auto val="1"/>
        <c:lblAlgn val="ctr"/>
        <c:lblOffset val="100"/>
        <c:noMultiLvlLbl val="0"/>
      </c:catAx>
      <c:valAx>
        <c:axId val="9833844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3408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effectLst/>
              </a:rPr>
              <a:t>Demographic Distribution of Home Equity Loan and HELOC Borrowers (2023)</a:t>
            </a:r>
            <a:r>
              <a:rPr lang="en-IN" sz="1400" b="0" i="0" u="none" strike="noStrike" baseline="0"/>
              <a:t>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Sheet2!$B$3</c:f>
              <c:strCache>
                <c:ptCount val="1"/>
                <c:pt idx="0">
                  <c:v>Percentage of Home Equity Loan Borrowers (%)</c:v>
                </c:pt>
              </c:strCache>
            </c:strRef>
          </c:tx>
          <c:spPr>
            <a:solidFill>
              <a:schemeClr val="accent1"/>
            </a:solidFill>
            <a:ln>
              <a:noFill/>
            </a:ln>
            <a:effectLst/>
          </c:spPr>
          <c:invertIfNegative val="0"/>
          <c:cat>
            <c:strRef>
              <c:f>Sheet2!$A$4:$A$11</c:f>
              <c:strCache>
                <c:ptCount val="8"/>
                <c:pt idx="0">
                  <c:v>Age 25-34</c:v>
                </c:pt>
                <c:pt idx="1">
                  <c:v>Age 35-44</c:v>
                </c:pt>
                <c:pt idx="2">
                  <c:v>Age 45-54</c:v>
                </c:pt>
                <c:pt idx="3">
                  <c:v>Age 55-64</c:v>
                </c:pt>
                <c:pt idx="4">
                  <c:v>Age 65+</c:v>
                </c:pt>
                <c:pt idx="5">
                  <c:v>Income &lt;$50,000</c:v>
                </c:pt>
                <c:pt idx="6">
                  <c:v>Income $50,000-$99,999</c:v>
                </c:pt>
                <c:pt idx="7">
                  <c:v>Income $100,000+</c:v>
                </c:pt>
              </c:strCache>
            </c:strRef>
          </c:cat>
          <c:val>
            <c:numRef>
              <c:f>Sheet2!$B$4:$B$11</c:f>
              <c:numCache>
                <c:formatCode>General</c:formatCode>
                <c:ptCount val="8"/>
                <c:pt idx="0">
                  <c:v>15</c:v>
                </c:pt>
                <c:pt idx="1">
                  <c:v>25</c:v>
                </c:pt>
                <c:pt idx="2">
                  <c:v>30</c:v>
                </c:pt>
                <c:pt idx="3">
                  <c:v>20</c:v>
                </c:pt>
                <c:pt idx="4">
                  <c:v>10</c:v>
                </c:pt>
                <c:pt idx="5">
                  <c:v>20</c:v>
                </c:pt>
                <c:pt idx="6">
                  <c:v>50</c:v>
                </c:pt>
                <c:pt idx="7">
                  <c:v>30</c:v>
                </c:pt>
              </c:numCache>
            </c:numRef>
          </c:val>
          <c:extLst>
            <c:ext xmlns:c16="http://schemas.microsoft.com/office/drawing/2014/chart" uri="{C3380CC4-5D6E-409C-BE32-E72D297353CC}">
              <c16:uniqueId val="{00000000-EF32-4603-B655-4D1B81993E42}"/>
            </c:ext>
          </c:extLst>
        </c:ser>
        <c:ser>
          <c:idx val="1"/>
          <c:order val="1"/>
          <c:tx>
            <c:strRef>
              <c:f>Sheet2!$C$3</c:f>
              <c:strCache>
                <c:ptCount val="1"/>
                <c:pt idx="0">
                  <c:v>Percentage of HELOC Borrowers (%)</c:v>
                </c:pt>
              </c:strCache>
            </c:strRef>
          </c:tx>
          <c:spPr>
            <a:solidFill>
              <a:schemeClr val="accent2"/>
            </a:solidFill>
            <a:ln>
              <a:noFill/>
            </a:ln>
            <a:effectLst/>
          </c:spPr>
          <c:invertIfNegative val="0"/>
          <c:cat>
            <c:strRef>
              <c:f>Sheet2!$A$4:$A$11</c:f>
              <c:strCache>
                <c:ptCount val="8"/>
                <c:pt idx="0">
                  <c:v>Age 25-34</c:v>
                </c:pt>
                <c:pt idx="1">
                  <c:v>Age 35-44</c:v>
                </c:pt>
                <c:pt idx="2">
                  <c:v>Age 45-54</c:v>
                </c:pt>
                <c:pt idx="3">
                  <c:v>Age 55-64</c:v>
                </c:pt>
                <c:pt idx="4">
                  <c:v>Age 65+</c:v>
                </c:pt>
                <c:pt idx="5">
                  <c:v>Income &lt;$50,000</c:v>
                </c:pt>
                <c:pt idx="6">
                  <c:v>Income $50,000-$99,999</c:v>
                </c:pt>
                <c:pt idx="7">
                  <c:v>Income $100,000+</c:v>
                </c:pt>
              </c:strCache>
            </c:strRef>
          </c:cat>
          <c:val>
            <c:numRef>
              <c:f>Sheet2!$C$4:$C$11</c:f>
              <c:numCache>
                <c:formatCode>General</c:formatCode>
                <c:ptCount val="8"/>
                <c:pt idx="0">
                  <c:v>10</c:v>
                </c:pt>
                <c:pt idx="1">
                  <c:v>30</c:v>
                </c:pt>
                <c:pt idx="2">
                  <c:v>35</c:v>
                </c:pt>
                <c:pt idx="3">
                  <c:v>15</c:v>
                </c:pt>
                <c:pt idx="4">
                  <c:v>10</c:v>
                </c:pt>
                <c:pt idx="5">
                  <c:v>15</c:v>
                </c:pt>
                <c:pt idx="6">
                  <c:v>55</c:v>
                </c:pt>
                <c:pt idx="7">
                  <c:v>30</c:v>
                </c:pt>
              </c:numCache>
            </c:numRef>
          </c:val>
          <c:extLst>
            <c:ext xmlns:c16="http://schemas.microsoft.com/office/drawing/2014/chart" uri="{C3380CC4-5D6E-409C-BE32-E72D297353CC}">
              <c16:uniqueId val="{00000001-EF32-4603-B655-4D1B81993E42}"/>
            </c:ext>
          </c:extLst>
        </c:ser>
        <c:dLbls>
          <c:showLegendKey val="0"/>
          <c:showVal val="0"/>
          <c:showCatName val="0"/>
          <c:showSerName val="0"/>
          <c:showPercent val="0"/>
          <c:showBubbleSize val="0"/>
        </c:dLbls>
        <c:gapWidth val="182"/>
        <c:axId val="981080688"/>
        <c:axId val="981071568"/>
      </c:barChart>
      <c:catAx>
        <c:axId val="98108068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1071568"/>
        <c:crosses val="autoZero"/>
        <c:auto val="1"/>
        <c:lblAlgn val="ctr"/>
        <c:lblOffset val="100"/>
        <c:noMultiLvlLbl val="0"/>
      </c:catAx>
      <c:valAx>
        <c:axId val="9810715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1080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effectLst/>
              </a:rPr>
              <a:t>Reasons for Denial of Home Equity Loans and HELOCs (2023)</a:t>
            </a:r>
            <a:r>
              <a:rPr lang="en-IN" sz="1400" b="0" i="0" u="none" strike="noStrike" baseline="0"/>
              <a:t>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Sheet4!$B$6</c:f>
              <c:strCache>
                <c:ptCount val="1"/>
                <c:pt idx="0">
                  <c:v>Percentage of Home Equity Loan Denials (%)</c:v>
                </c:pt>
              </c:strCache>
            </c:strRef>
          </c:tx>
          <c:spPr>
            <a:solidFill>
              <a:schemeClr val="accent1"/>
            </a:solidFill>
            <a:ln>
              <a:noFill/>
            </a:ln>
            <a:effectLst/>
          </c:spPr>
          <c:invertIfNegative val="0"/>
          <c:cat>
            <c:strRef>
              <c:f>Sheet4!$A$7:$A$11</c:f>
              <c:strCache>
                <c:ptCount val="5"/>
                <c:pt idx="0">
                  <c:v>Insufficient Equity</c:v>
                </c:pt>
                <c:pt idx="1">
                  <c:v>Poor Credit History</c:v>
                </c:pt>
                <c:pt idx="2">
                  <c:v>High Debt-to-Income Ratio</c:v>
                </c:pt>
                <c:pt idx="3">
                  <c:v>Incomplete Documentation</c:v>
                </c:pt>
                <c:pt idx="4">
                  <c:v>Property Issues</c:v>
                </c:pt>
              </c:strCache>
            </c:strRef>
          </c:cat>
          <c:val>
            <c:numRef>
              <c:f>Sheet4!$B$7:$B$11</c:f>
              <c:numCache>
                <c:formatCode>General</c:formatCode>
                <c:ptCount val="5"/>
                <c:pt idx="0">
                  <c:v>30</c:v>
                </c:pt>
                <c:pt idx="1">
                  <c:v>25</c:v>
                </c:pt>
                <c:pt idx="2">
                  <c:v>20</c:v>
                </c:pt>
                <c:pt idx="3">
                  <c:v>15</c:v>
                </c:pt>
                <c:pt idx="4">
                  <c:v>10</c:v>
                </c:pt>
              </c:numCache>
            </c:numRef>
          </c:val>
          <c:extLst>
            <c:ext xmlns:c16="http://schemas.microsoft.com/office/drawing/2014/chart" uri="{C3380CC4-5D6E-409C-BE32-E72D297353CC}">
              <c16:uniqueId val="{00000000-FC30-4422-AAFD-4A2AF763A5CD}"/>
            </c:ext>
          </c:extLst>
        </c:ser>
        <c:dLbls>
          <c:showLegendKey val="0"/>
          <c:showVal val="0"/>
          <c:showCatName val="0"/>
          <c:showSerName val="0"/>
          <c:showPercent val="0"/>
          <c:showBubbleSize val="0"/>
        </c:dLbls>
        <c:gapWidth val="219"/>
        <c:overlap val="-27"/>
        <c:axId val="983392640"/>
        <c:axId val="983387360"/>
      </c:barChart>
      <c:catAx>
        <c:axId val="983392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3387360"/>
        <c:crosses val="autoZero"/>
        <c:auto val="1"/>
        <c:lblAlgn val="ctr"/>
        <c:lblOffset val="100"/>
        <c:noMultiLvlLbl val="0"/>
      </c:catAx>
      <c:valAx>
        <c:axId val="983387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33926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9</Pages>
  <Words>1734</Words>
  <Characters>9887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NANDEESH A M</dc:creator>
  <cp:keywords/>
  <dc:description/>
  <cp:lastModifiedBy>NANDEESH A M</cp:lastModifiedBy>
  <cp:revision>1</cp:revision>
  <dcterms:created xsi:type="dcterms:W3CDTF">2024-06-28T08:09:00Z</dcterms:created>
  <dcterms:modified xsi:type="dcterms:W3CDTF">2024-06-28T08:43:00Z</dcterms:modified>
</cp:coreProperties>
</file>