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021D1" w14:textId="4E99B49E" w:rsidR="00C66E16" w:rsidRPr="00C66E16" w:rsidRDefault="00C66E16" w:rsidP="00C66E16">
      <w:pPr>
        <w:pStyle w:val="Heading1"/>
        <w:jc w:val="center"/>
        <w:rPr>
          <w:rFonts w:eastAsia="Times New Roman"/>
          <w:lang w:eastAsia="en-IN"/>
        </w:rPr>
      </w:pPr>
      <w:r w:rsidRPr="00C66E16">
        <w:rPr>
          <w:rFonts w:eastAsia="Times New Roman"/>
          <w:lang w:eastAsia="en-IN"/>
        </w:rPr>
        <w:t>KYC REGULATIONS IN THE US BANKING SYSTEM</w:t>
      </w:r>
    </w:p>
    <w:p w14:paraId="3E3E4816"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Know Your Customer (KYC) regulations are crucial components of the US banking system designed to combat financial crimes such as money laundering, terrorist financing, and fraud. These regulations mandate banks to verify the identities of their customers, understand the nature of their financial transactions, and monitor their accounts for suspicious activities. This comprehensive document explores the various aspects of KYC regulations, covering their origins, key components, compliance requirements, implications for banks, recent developments, and future trends.</w:t>
      </w:r>
    </w:p>
    <w:p w14:paraId="766042E4" w14:textId="77777777" w:rsidR="00C66E16" w:rsidRPr="00C66E16" w:rsidRDefault="00C66E16" w:rsidP="00C66E16">
      <w:pPr>
        <w:pStyle w:val="Heading2"/>
        <w:rPr>
          <w:rFonts w:eastAsia="Times New Roman"/>
          <w:lang w:eastAsia="en-IN"/>
        </w:rPr>
      </w:pPr>
      <w:r w:rsidRPr="00C66E16">
        <w:rPr>
          <w:rFonts w:eastAsia="Times New Roman"/>
          <w:lang w:eastAsia="en-IN"/>
        </w:rPr>
        <w:t>1. Background and Legal Framework</w:t>
      </w:r>
    </w:p>
    <w:p w14:paraId="65F308EE"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1.1 Origin of KYC Regulations</w:t>
      </w:r>
    </w:p>
    <w:p w14:paraId="37AA8613"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concept of KYC originated as part of global efforts to prevent financial crimes. In the United States, KYC regulations have evolved through several legislative milestones. The Bank Secrecy Act (BSA) of 1970 marked the beginning of formal anti-money laundering (AML) measures. This was significantly expanded by the USA PATRIOT Act of 2001, which introduced more stringent requirements in response to the terrorist attacks on September 11, 2001.</w:t>
      </w:r>
    </w:p>
    <w:p w14:paraId="23E66B29"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1.2 Key Legislation</w:t>
      </w:r>
    </w:p>
    <w:p w14:paraId="59A9B8B8" w14:textId="77777777" w:rsidR="00C66E16" w:rsidRPr="00C66E16" w:rsidRDefault="00C66E16" w:rsidP="00C66E1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Bank Secrecy Act (BSA)</w:t>
      </w:r>
      <w:r w:rsidRPr="00C66E16">
        <w:rPr>
          <w:rFonts w:eastAsia="Times New Roman" w:cs="Times New Roman"/>
          <w:kern w:val="0"/>
          <w:sz w:val="24"/>
          <w:szCs w:val="24"/>
          <w:lang w:eastAsia="en-IN"/>
          <w14:ligatures w14:val="none"/>
        </w:rPr>
        <w:t>: Enacted in 1970, the BSA requires financial institutions to keep records of cash purchases of negotiable instruments, file reports of cash transactions exceeding $10,000, and report suspicious activities that might signify money laundering, tax evasion, or other criminal activities.</w:t>
      </w:r>
    </w:p>
    <w:p w14:paraId="5F2046DB" w14:textId="77777777" w:rsidR="00C66E16" w:rsidRPr="00C66E16" w:rsidRDefault="00C66E16" w:rsidP="00C66E1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USA PATRIOT Act</w:t>
      </w:r>
      <w:r w:rsidRPr="00C66E16">
        <w:rPr>
          <w:rFonts w:eastAsia="Times New Roman" w:cs="Times New Roman"/>
          <w:kern w:val="0"/>
          <w:sz w:val="24"/>
          <w:szCs w:val="24"/>
          <w:lang w:eastAsia="en-IN"/>
          <w14:ligatures w14:val="none"/>
        </w:rPr>
        <w:t>: Passed in 2001, this act expanded the BSA by including stricter customer identification and verification processes, enhancing information sharing between financial institutions and government agencies, and introducing new measures to detect and prevent terrorist financing.</w:t>
      </w:r>
    </w:p>
    <w:p w14:paraId="744B1B7E" w14:textId="77777777" w:rsidR="00C66E16" w:rsidRPr="00C66E16" w:rsidRDefault="00C66E16" w:rsidP="00C66E1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Anti-Money Laundering (AML) Rules</w:t>
      </w:r>
      <w:r w:rsidRPr="00C66E16">
        <w:rPr>
          <w:rFonts w:eastAsia="Times New Roman" w:cs="Times New Roman"/>
          <w:kern w:val="0"/>
          <w:sz w:val="24"/>
          <w:szCs w:val="24"/>
          <w:lang w:eastAsia="en-IN"/>
          <w14:ligatures w14:val="none"/>
        </w:rPr>
        <w:t>: Various AML rules under both the BSA and the PATRIOT Act mandate financial institutions to implement comprehensive programs to detect and report suspicious activities, ensuring that they do not become conduits for financial crimes.</w:t>
      </w:r>
    </w:p>
    <w:p w14:paraId="006AAC1C" w14:textId="77777777" w:rsidR="00C66E16" w:rsidRPr="00C66E16" w:rsidRDefault="00C66E16" w:rsidP="00C66E16">
      <w:pPr>
        <w:pStyle w:val="Heading2"/>
        <w:rPr>
          <w:rFonts w:eastAsia="Times New Roman"/>
          <w:lang w:eastAsia="en-IN"/>
        </w:rPr>
      </w:pPr>
      <w:r w:rsidRPr="00C66E16">
        <w:rPr>
          <w:rFonts w:eastAsia="Times New Roman"/>
          <w:lang w:eastAsia="en-IN"/>
        </w:rPr>
        <w:t>2. Main Components of KYC Regulations</w:t>
      </w:r>
    </w:p>
    <w:p w14:paraId="1759610D"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2.1 Customer Identification Program (CIP)</w:t>
      </w:r>
    </w:p>
    <w:p w14:paraId="5AECF003"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CIP is the cornerstone of KYC regulations. Banks must develop a CIP that includes procedures for collecting and verifying customer information.</w:t>
      </w:r>
    </w:p>
    <w:p w14:paraId="62335B18" w14:textId="77777777" w:rsidR="00C66E16" w:rsidRDefault="00C66E16">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EC08296" w14:textId="79B2FA25"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lastRenderedPageBreak/>
        <w:t>2.1.1 Collecting Identifying Information</w:t>
      </w:r>
    </w:p>
    <w:p w14:paraId="4A5E8E68"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are required to collect the following information from each customer:</w:t>
      </w:r>
    </w:p>
    <w:p w14:paraId="288A046C" w14:textId="77777777" w:rsidR="00C66E16" w:rsidRPr="00C66E16" w:rsidRDefault="00C66E16" w:rsidP="00C66E16">
      <w:pPr>
        <w:numPr>
          <w:ilvl w:val="0"/>
          <w:numId w:val="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Name</w:t>
      </w:r>
      <w:r w:rsidRPr="00C66E16">
        <w:rPr>
          <w:rFonts w:eastAsia="Times New Roman" w:cs="Times New Roman"/>
          <w:kern w:val="0"/>
          <w:sz w:val="24"/>
          <w:szCs w:val="24"/>
          <w:lang w:eastAsia="en-IN"/>
          <w14:ligatures w14:val="none"/>
        </w:rPr>
        <w:t>: Full legal name.</w:t>
      </w:r>
    </w:p>
    <w:p w14:paraId="51D87881" w14:textId="77777777" w:rsidR="00C66E16" w:rsidRPr="00C66E16" w:rsidRDefault="00C66E16" w:rsidP="00C66E16">
      <w:pPr>
        <w:numPr>
          <w:ilvl w:val="0"/>
          <w:numId w:val="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Date of Birth</w:t>
      </w:r>
      <w:r w:rsidRPr="00C66E16">
        <w:rPr>
          <w:rFonts w:eastAsia="Times New Roman" w:cs="Times New Roman"/>
          <w:kern w:val="0"/>
          <w:sz w:val="24"/>
          <w:szCs w:val="24"/>
          <w:lang w:eastAsia="en-IN"/>
          <w14:ligatures w14:val="none"/>
        </w:rPr>
        <w:t>: To confirm the customer's age.</w:t>
      </w:r>
    </w:p>
    <w:p w14:paraId="7893BB76" w14:textId="77777777" w:rsidR="00C66E16" w:rsidRPr="00C66E16" w:rsidRDefault="00C66E16" w:rsidP="00C66E16">
      <w:pPr>
        <w:numPr>
          <w:ilvl w:val="0"/>
          <w:numId w:val="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Address</w:t>
      </w:r>
      <w:r w:rsidRPr="00C66E16">
        <w:rPr>
          <w:rFonts w:eastAsia="Times New Roman" w:cs="Times New Roman"/>
          <w:kern w:val="0"/>
          <w:sz w:val="24"/>
          <w:szCs w:val="24"/>
          <w:lang w:eastAsia="en-IN"/>
          <w14:ligatures w14:val="none"/>
        </w:rPr>
        <w:t>: Residential or business address.</w:t>
      </w:r>
    </w:p>
    <w:p w14:paraId="568B8C76" w14:textId="77777777" w:rsidR="00C66E16" w:rsidRPr="00C66E16" w:rsidRDefault="00C66E16" w:rsidP="00C66E16">
      <w:pPr>
        <w:numPr>
          <w:ilvl w:val="0"/>
          <w:numId w:val="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Identification Number</w:t>
      </w:r>
      <w:r w:rsidRPr="00C66E16">
        <w:rPr>
          <w:rFonts w:eastAsia="Times New Roman" w:cs="Times New Roman"/>
          <w:kern w:val="0"/>
          <w:sz w:val="24"/>
          <w:szCs w:val="24"/>
          <w:lang w:eastAsia="en-IN"/>
          <w14:ligatures w14:val="none"/>
        </w:rPr>
        <w:t>: This could be a taxpayer identification number (TIN), passport number, or any other government-issued identification number.</w:t>
      </w:r>
    </w:p>
    <w:p w14:paraId="4298689A"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2.1.2 Verifying the Information</w:t>
      </w:r>
    </w:p>
    <w:p w14:paraId="6BF1BEB3"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collected information must be verified through:</w:t>
      </w:r>
    </w:p>
    <w:p w14:paraId="342DC24D" w14:textId="77777777" w:rsidR="00C66E16" w:rsidRPr="00C66E16" w:rsidRDefault="00C66E16" w:rsidP="00C66E16">
      <w:pPr>
        <w:numPr>
          <w:ilvl w:val="0"/>
          <w:numId w:val="3"/>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Documents</w:t>
      </w:r>
      <w:r w:rsidRPr="00C66E16">
        <w:rPr>
          <w:rFonts w:eastAsia="Times New Roman" w:cs="Times New Roman"/>
          <w:kern w:val="0"/>
          <w:sz w:val="24"/>
          <w:szCs w:val="24"/>
          <w:lang w:eastAsia="en-IN"/>
          <w14:ligatures w14:val="none"/>
        </w:rPr>
        <w:t>: Such as a driver's license, passport, or other government-issued ID.</w:t>
      </w:r>
    </w:p>
    <w:p w14:paraId="5A83E5C1" w14:textId="77777777" w:rsidR="00C66E16" w:rsidRPr="00C66E16" w:rsidRDefault="00C66E16" w:rsidP="00C66E16">
      <w:pPr>
        <w:numPr>
          <w:ilvl w:val="0"/>
          <w:numId w:val="3"/>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Non-Documentary Methods</w:t>
      </w:r>
      <w:r w:rsidRPr="00C66E16">
        <w:rPr>
          <w:rFonts w:eastAsia="Times New Roman" w:cs="Times New Roman"/>
          <w:kern w:val="0"/>
          <w:sz w:val="24"/>
          <w:szCs w:val="24"/>
          <w:lang w:eastAsia="en-IN"/>
          <w14:ligatures w14:val="none"/>
        </w:rPr>
        <w:t>: This includes cross-referencing the information with credit reports, public records, or other reliable sources.</w:t>
      </w:r>
    </w:p>
    <w:p w14:paraId="1111F887"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2.2 Customer Due Diligence (CDD)</w:t>
      </w:r>
    </w:p>
    <w:p w14:paraId="79781D98"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CDD requires banks to understand their customers' activities and assess their risk levels.</w:t>
      </w:r>
    </w:p>
    <w:p w14:paraId="10144629"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2.2.1 Assessing Risk Levels</w:t>
      </w:r>
    </w:p>
    <w:p w14:paraId="74D442C5"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Customers are categorized based on their risk profiles, which consider factors such as:</w:t>
      </w:r>
    </w:p>
    <w:p w14:paraId="0E128265" w14:textId="77777777" w:rsidR="00C66E16" w:rsidRPr="00C66E16" w:rsidRDefault="00C66E16" w:rsidP="00C66E16">
      <w:pPr>
        <w:numPr>
          <w:ilvl w:val="0"/>
          <w:numId w:val="4"/>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Nature of the Customer's Business</w:t>
      </w:r>
      <w:r w:rsidRPr="00C66E16">
        <w:rPr>
          <w:rFonts w:eastAsia="Times New Roman" w:cs="Times New Roman"/>
          <w:kern w:val="0"/>
          <w:sz w:val="24"/>
          <w:szCs w:val="24"/>
          <w:lang w:eastAsia="en-IN"/>
          <w14:ligatures w14:val="none"/>
        </w:rPr>
        <w:t>: Higher-risk businesses include those dealing in cash-intensive operations or operating in jurisdictions with weak AML controls.</w:t>
      </w:r>
    </w:p>
    <w:p w14:paraId="772115DC" w14:textId="77777777" w:rsidR="00C66E16" w:rsidRPr="00C66E16" w:rsidRDefault="00C66E16" w:rsidP="00C66E16">
      <w:pPr>
        <w:numPr>
          <w:ilvl w:val="0"/>
          <w:numId w:val="4"/>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Transaction Patterns</w:t>
      </w:r>
      <w:r w:rsidRPr="00C66E16">
        <w:rPr>
          <w:rFonts w:eastAsia="Times New Roman" w:cs="Times New Roman"/>
          <w:kern w:val="0"/>
          <w:sz w:val="24"/>
          <w:szCs w:val="24"/>
          <w:lang w:eastAsia="en-IN"/>
          <w14:ligatures w14:val="none"/>
        </w:rPr>
        <w:t>: Regular, predictable transactions are considered lower risk compared to irregular, large, or complex transactions.</w:t>
      </w:r>
    </w:p>
    <w:p w14:paraId="4B508977"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2.2.2 Understanding the Nature and Purpose of Customer Relationships</w:t>
      </w:r>
    </w:p>
    <w:p w14:paraId="6BB66D79"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 xml:space="preserve">Banks must understand why a customer is opening an account and the expected types of transactions. This helps in identifying deviations from normal </w:t>
      </w:r>
      <w:proofErr w:type="spellStart"/>
      <w:r w:rsidRPr="00C66E16">
        <w:rPr>
          <w:rFonts w:eastAsia="Times New Roman" w:cs="Times New Roman"/>
          <w:kern w:val="0"/>
          <w:sz w:val="24"/>
          <w:szCs w:val="24"/>
          <w:lang w:eastAsia="en-IN"/>
          <w14:ligatures w14:val="none"/>
        </w:rPr>
        <w:t>behavior</w:t>
      </w:r>
      <w:proofErr w:type="spellEnd"/>
      <w:r w:rsidRPr="00C66E16">
        <w:rPr>
          <w:rFonts w:eastAsia="Times New Roman" w:cs="Times New Roman"/>
          <w:kern w:val="0"/>
          <w:sz w:val="24"/>
          <w:szCs w:val="24"/>
          <w:lang w:eastAsia="en-IN"/>
          <w14:ligatures w14:val="none"/>
        </w:rPr>
        <w:t>, which could indicate potential illegal activities.</w:t>
      </w:r>
    </w:p>
    <w:p w14:paraId="5092B397"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2.3 Enhanced Due Diligence (EDD)</w:t>
      </w:r>
    </w:p>
    <w:p w14:paraId="270092C8"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For customers identified as high risk, banks must perform EDD, which involves more rigorous scrutiny and ongoing monitoring.</w:t>
      </w:r>
    </w:p>
    <w:p w14:paraId="4E0FB403" w14:textId="77777777" w:rsidR="00C66E16" w:rsidRDefault="00C66E16">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5C0BBDD9" w14:textId="673A9915"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lastRenderedPageBreak/>
        <w:t>2.3.1 Gathering Additional Information</w:t>
      </w:r>
    </w:p>
    <w:p w14:paraId="497F1AB4"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For high-risk customers, banks may need additional information, such as:</w:t>
      </w:r>
    </w:p>
    <w:p w14:paraId="2C30424F" w14:textId="77777777" w:rsidR="00C66E16" w:rsidRPr="00C66E16" w:rsidRDefault="00C66E16" w:rsidP="00C66E16">
      <w:pPr>
        <w:numPr>
          <w:ilvl w:val="0"/>
          <w:numId w:val="5"/>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Detailed Business Information</w:t>
      </w:r>
      <w:r w:rsidRPr="00C66E16">
        <w:rPr>
          <w:rFonts w:eastAsia="Times New Roman" w:cs="Times New Roman"/>
          <w:kern w:val="0"/>
          <w:sz w:val="24"/>
          <w:szCs w:val="24"/>
          <w:lang w:eastAsia="en-IN"/>
          <w14:ligatures w14:val="none"/>
        </w:rPr>
        <w:t>: Including the source of funds and the nature of the business operations.</w:t>
      </w:r>
    </w:p>
    <w:p w14:paraId="526C9F26" w14:textId="77777777" w:rsidR="00C66E16" w:rsidRPr="00C66E16" w:rsidRDefault="00C66E16" w:rsidP="00C66E16">
      <w:pPr>
        <w:numPr>
          <w:ilvl w:val="0"/>
          <w:numId w:val="5"/>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Ownership Structures</w:t>
      </w:r>
      <w:r w:rsidRPr="00C66E16">
        <w:rPr>
          <w:rFonts w:eastAsia="Times New Roman" w:cs="Times New Roman"/>
          <w:kern w:val="0"/>
          <w:sz w:val="24"/>
          <w:szCs w:val="24"/>
          <w:lang w:eastAsia="en-IN"/>
          <w14:ligatures w14:val="none"/>
        </w:rPr>
        <w:t>: For corporate customers, understanding the ownership and control structures is crucial.</w:t>
      </w:r>
    </w:p>
    <w:p w14:paraId="2C225577"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2.3.2 More Frequent Monitoring</w:t>
      </w:r>
    </w:p>
    <w:p w14:paraId="3C3575D8"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High-risk customers require more frequent and detailed transaction monitoring to detect any unusual or suspicious activities.</w:t>
      </w:r>
    </w:p>
    <w:p w14:paraId="69F6C179"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2.4 Ongoing Monitoring</w:t>
      </w:r>
    </w:p>
    <w:p w14:paraId="3A692F46"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Continuous monitoring is essential to maintain up-to-date customer information and detect suspicious activities.</w:t>
      </w:r>
    </w:p>
    <w:p w14:paraId="704774FB"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2.4.1 Automated Systems</w:t>
      </w:r>
    </w:p>
    <w:p w14:paraId="005FB840"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use automated systems to flag unusual patterns, such as:</w:t>
      </w:r>
    </w:p>
    <w:p w14:paraId="732C147D" w14:textId="77777777" w:rsidR="00C66E16" w:rsidRPr="00C66E16" w:rsidRDefault="00C66E16" w:rsidP="00C66E16">
      <w:pPr>
        <w:numPr>
          <w:ilvl w:val="0"/>
          <w:numId w:val="6"/>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Large Transactions</w:t>
      </w:r>
      <w:r w:rsidRPr="00C66E16">
        <w:rPr>
          <w:rFonts w:eastAsia="Times New Roman" w:cs="Times New Roman"/>
          <w:kern w:val="0"/>
          <w:sz w:val="24"/>
          <w:szCs w:val="24"/>
          <w:lang w:eastAsia="en-IN"/>
          <w14:ligatures w14:val="none"/>
        </w:rPr>
        <w:t>: Significant deviations from typical transaction amounts.</w:t>
      </w:r>
    </w:p>
    <w:p w14:paraId="7D1AE3D0" w14:textId="77777777" w:rsidR="00C66E16" w:rsidRPr="00C66E16" w:rsidRDefault="00C66E16" w:rsidP="00C66E16">
      <w:pPr>
        <w:numPr>
          <w:ilvl w:val="0"/>
          <w:numId w:val="6"/>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Unusual Activity</w:t>
      </w:r>
      <w:r w:rsidRPr="00C66E16">
        <w:rPr>
          <w:rFonts w:eastAsia="Times New Roman" w:cs="Times New Roman"/>
          <w:kern w:val="0"/>
          <w:sz w:val="24"/>
          <w:szCs w:val="24"/>
          <w:lang w:eastAsia="en-IN"/>
          <w14:ligatures w14:val="none"/>
        </w:rPr>
        <w:t xml:space="preserve">: Transactions that do not fit the customer's profile or expected </w:t>
      </w:r>
      <w:proofErr w:type="spellStart"/>
      <w:r w:rsidRPr="00C66E16">
        <w:rPr>
          <w:rFonts w:eastAsia="Times New Roman" w:cs="Times New Roman"/>
          <w:kern w:val="0"/>
          <w:sz w:val="24"/>
          <w:szCs w:val="24"/>
          <w:lang w:eastAsia="en-IN"/>
          <w14:ligatures w14:val="none"/>
        </w:rPr>
        <w:t>behavior</w:t>
      </w:r>
      <w:proofErr w:type="spellEnd"/>
      <w:r w:rsidRPr="00C66E16">
        <w:rPr>
          <w:rFonts w:eastAsia="Times New Roman" w:cs="Times New Roman"/>
          <w:kern w:val="0"/>
          <w:sz w:val="24"/>
          <w:szCs w:val="24"/>
          <w:lang w:eastAsia="en-IN"/>
          <w14:ligatures w14:val="none"/>
        </w:rPr>
        <w:t>.</w:t>
      </w:r>
    </w:p>
    <w:p w14:paraId="0BA29A14"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2.4.2 Updating Customer Information</w:t>
      </w:r>
    </w:p>
    <w:p w14:paraId="77FD99F3"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Regular updates of customer information and risk profiles are necessary to ensure that banks have accurate and current data for monitoring purposes.</w:t>
      </w:r>
    </w:p>
    <w:p w14:paraId="5707F151" w14:textId="77777777" w:rsidR="00C66E16" w:rsidRPr="00C66E16" w:rsidRDefault="00C66E16" w:rsidP="00C66E16">
      <w:pPr>
        <w:pStyle w:val="Heading2"/>
        <w:rPr>
          <w:rFonts w:eastAsia="Times New Roman"/>
          <w:lang w:eastAsia="en-IN"/>
        </w:rPr>
      </w:pPr>
      <w:r w:rsidRPr="00C66E16">
        <w:rPr>
          <w:rFonts w:eastAsia="Times New Roman"/>
          <w:lang w:eastAsia="en-IN"/>
        </w:rPr>
        <w:t>3. Compliance and Reporting Requirements</w:t>
      </w:r>
    </w:p>
    <w:p w14:paraId="66C19BF2"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3.1 Suspicious Activity Reports (SARs)</w:t>
      </w:r>
    </w:p>
    <w:p w14:paraId="2C8885DB"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are required to file SARs with the Financial Crimes Enforcement Network (FinCEN) when they detect transactions that appear suspicious.</w:t>
      </w:r>
    </w:p>
    <w:p w14:paraId="0C83EE77"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3.1.1 Criteria for Filing SARs</w:t>
      </w:r>
    </w:p>
    <w:p w14:paraId="3C5FFEC8"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Examples of activities that might warrant a SAR include:</w:t>
      </w:r>
    </w:p>
    <w:p w14:paraId="49BE174C" w14:textId="77777777" w:rsidR="00C66E16" w:rsidRPr="00C66E16" w:rsidRDefault="00C66E16" w:rsidP="00C66E16">
      <w:pPr>
        <w:numPr>
          <w:ilvl w:val="0"/>
          <w:numId w:val="7"/>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Unusual Large Transactions</w:t>
      </w:r>
      <w:r w:rsidRPr="00C66E16">
        <w:rPr>
          <w:rFonts w:eastAsia="Times New Roman" w:cs="Times New Roman"/>
          <w:kern w:val="0"/>
          <w:sz w:val="24"/>
          <w:szCs w:val="24"/>
          <w:lang w:eastAsia="en-IN"/>
          <w14:ligatures w14:val="none"/>
        </w:rPr>
        <w:t>: Large amounts of money being deposited or withdrawn without a clear legitimate purpose.</w:t>
      </w:r>
    </w:p>
    <w:p w14:paraId="1C9093E1" w14:textId="77777777" w:rsidR="00C66E16" w:rsidRPr="00C66E16" w:rsidRDefault="00C66E16" w:rsidP="00C66E16">
      <w:pPr>
        <w:numPr>
          <w:ilvl w:val="0"/>
          <w:numId w:val="7"/>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lastRenderedPageBreak/>
        <w:t>Structuring</w:t>
      </w:r>
      <w:r w:rsidRPr="00C66E16">
        <w:rPr>
          <w:rFonts w:eastAsia="Times New Roman" w:cs="Times New Roman"/>
          <w:kern w:val="0"/>
          <w:sz w:val="24"/>
          <w:szCs w:val="24"/>
          <w:lang w:eastAsia="en-IN"/>
          <w14:ligatures w14:val="none"/>
        </w:rPr>
        <w:t>: Breaking down large transactions into smaller amounts to avoid reporting thresholds.</w:t>
      </w:r>
    </w:p>
    <w:p w14:paraId="7185ED56" w14:textId="77777777" w:rsidR="00C66E16" w:rsidRPr="00C66E16" w:rsidRDefault="00C66E16" w:rsidP="00C66E16">
      <w:pPr>
        <w:numPr>
          <w:ilvl w:val="0"/>
          <w:numId w:val="7"/>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Transactions with High-Risk Countries</w:t>
      </w:r>
      <w:r w:rsidRPr="00C66E16">
        <w:rPr>
          <w:rFonts w:eastAsia="Times New Roman" w:cs="Times New Roman"/>
          <w:kern w:val="0"/>
          <w:sz w:val="24"/>
          <w:szCs w:val="24"/>
          <w:lang w:eastAsia="en-IN"/>
          <w14:ligatures w14:val="none"/>
        </w:rPr>
        <w:t>: Engaging in transactions with countries known for weak AML controls or terrorism financing.</w:t>
      </w:r>
    </w:p>
    <w:p w14:paraId="39EEEAD6"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3.1.2 Filing Process</w:t>
      </w:r>
    </w:p>
    <w:p w14:paraId="1DB3F17B"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process of filing a SAR involves:</w:t>
      </w:r>
    </w:p>
    <w:p w14:paraId="1B43B814" w14:textId="77777777" w:rsidR="00C66E16" w:rsidRPr="00C66E16" w:rsidRDefault="00C66E16" w:rsidP="00C66E16">
      <w:pPr>
        <w:numPr>
          <w:ilvl w:val="0"/>
          <w:numId w:val="8"/>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Internal Review</w:t>
      </w:r>
      <w:r w:rsidRPr="00C66E16">
        <w:rPr>
          <w:rFonts w:eastAsia="Times New Roman" w:cs="Times New Roman"/>
          <w:kern w:val="0"/>
          <w:sz w:val="24"/>
          <w:szCs w:val="24"/>
          <w:lang w:eastAsia="en-IN"/>
          <w14:ligatures w14:val="none"/>
        </w:rPr>
        <w:t>: Bank staff must first review and investigate the suspicious activity.</w:t>
      </w:r>
    </w:p>
    <w:p w14:paraId="0FF99A2E" w14:textId="77777777" w:rsidR="00C66E16" w:rsidRPr="00C66E16" w:rsidRDefault="00C66E16" w:rsidP="00C66E16">
      <w:pPr>
        <w:numPr>
          <w:ilvl w:val="0"/>
          <w:numId w:val="8"/>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SAR Filing</w:t>
      </w:r>
      <w:r w:rsidRPr="00C66E16">
        <w:rPr>
          <w:rFonts w:eastAsia="Times New Roman" w:cs="Times New Roman"/>
          <w:kern w:val="0"/>
          <w:sz w:val="24"/>
          <w:szCs w:val="24"/>
          <w:lang w:eastAsia="en-IN"/>
          <w14:ligatures w14:val="none"/>
        </w:rPr>
        <w:t>: If the activity is deemed suspicious, a SAR is filed with FinCEN, providing detailed information about the transaction and the reasons for suspicion.</w:t>
      </w:r>
    </w:p>
    <w:p w14:paraId="759C920D"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3.2 Currency Transaction Reports (CTRs)</w:t>
      </w:r>
    </w:p>
    <w:p w14:paraId="129BF789"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must file CTRs for transactions involving more than $10,000 in cash to help authorities track large cash movements.</w:t>
      </w:r>
    </w:p>
    <w:p w14:paraId="0473EB29"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3.2.1 Reporting Threshold</w:t>
      </w:r>
    </w:p>
    <w:p w14:paraId="6E1133B2"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threshold for filing a CTR is set at $10,000. Transactions that meet or exceed this amount, whether in a single transaction or multiple related transactions, must be reported.</w:t>
      </w:r>
    </w:p>
    <w:p w14:paraId="24F92F86"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3.2.2 CTR Filing Process</w:t>
      </w:r>
    </w:p>
    <w:p w14:paraId="06A0E4E6"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process of filing a CTR involves:</w:t>
      </w:r>
    </w:p>
    <w:p w14:paraId="657A0E64" w14:textId="77777777" w:rsidR="00C66E16" w:rsidRPr="00C66E16" w:rsidRDefault="00C66E16" w:rsidP="00C66E16">
      <w:pPr>
        <w:numPr>
          <w:ilvl w:val="0"/>
          <w:numId w:val="9"/>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Transaction Identification</w:t>
      </w:r>
      <w:r w:rsidRPr="00C66E16">
        <w:rPr>
          <w:rFonts w:eastAsia="Times New Roman" w:cs="Times New Roman"/>
          <w:kern w:val="0"/>
          <w:sz w:val="24"/>
          <w:szCs w:val="24"/>
          <w:lang w:eastAsia="en-IN"/>
          <w14:ligatures w14:val="none"/>
        </w:rPr>
        <w:t>: Identifying transactions that exceed the reporting threshold.</w:t>
      </w:r>
    </w:p>
    <w:p w14:paraId="1686ED12" w14:textId="77777777" w:rsidR="00C66E16" w:rsidRPr="00C66E16" w:rsidRDefault="00C66E16" w:rsidP="00C66E16">
      <w:pPr>
        <w:numPr>
          <w:ilvl w:val="0"/>
          <w:numId w:val="9"/>
        </w:numPr>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Report Preparation</w:t>
      </w:r>
      <w:r w:rsidRPr="00C66E16">
        <w:rPr>
          <w:rFonts w:eastAsia="Times New Roman" w:cs="Times New Roman"/>
          <w:kern w:val="0"/>
          <w:sz w:val="24"/>
          <w:szCs w:val="24"/>
          <w:lang w:eastAsia="en-IN"/>
          <w14:ligatures w14:val="none"/>
        </w:rPr>
        <w:t>: Preparing the report with detailed information about the transaction and the individuals involved.</w:t>
      </w:r>
    </w:p>
    <w:p w14:paraId="51417DBE" w14:textId="77777777" w:rsidR="00C66E16" w:rsidRPr="00C66E16" w:rsidRDefault="00C66E16" w:rsidP="00C66E16">
      <w:pPr>
        <w:numPr>
          <w:ilvl w:val="0"/>
          <w:numId w:val="9"/>
        </w:numPr>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Filing with FinCEN</w:t>
      </w:r>
      <w:r w:rsidRPr="00C66E16">
        <w:rPr>
          <w:rFonts w:eastAsia="Times New Roman" w:cs="Times New Roman"/>
          <w:kern w:val="0"/>
          <w:sz w:val="24"/>
          <w:szCs w:val="24"/>
          <w:lang w:eastAsia="en-IN"/>
          <w14:ligatures w14:val="none"/>
        </w:rPr>
        <w:t>: Submitting the report to FinCEN in a timely manner.</w:t>
      </w:r>
    </w:p>
    <w:p w14:paraId="5881B053" w14:textId="77777777" w:rsidR="00C66E16" w:rsidRPr="00C66E16" w:rsidRDefault="00C66E16" w:rsidP="00C66E16">
      <w:pPr>
        <w:pStyle w:val="Heading2"/>
        <w:rPr>
          <w:rFonts w:eastAsia="Times New Roman"/>
          <w:lang w:eastAsia="en-IN"/>
        </w:rPr>
      </w:pPr>
      <w:r w:rsidRPr="00C66E16">
        <w:rPr>
          <w:rFonts w:eastAsia="Times New Roman"/>
          <w:lang w:eastAsia="en-IN"/>
        </w:rPr>
        <w:t>4. Implications for Banks</w:t>
      </w:r>
    </w:p>
    <w:p w14:paraId="025632E1"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4.1 Operational Impact</w:t>
      </w:r>
    </w:p>
    <w:p w14:paraId="3FEA833B"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KYC regulations have significant operational implications for banks.</w:t>
      </w:r>
    </w:p>
    <w:p w14:paraId="22B94FB2"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4.1.1 Resource Allocation</w:t>
      </w:r>
    </w:p>
    <w:p w14:paraId="3A33214D"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must allocate resources to develop and maintain effective KYC programs, including:</w:t>
      </w:r>
    </w:p>
    <w:p w14:paraId="5691654E" w14:textId="77777777" w:rsidR="00C66E16" w:rsidRPr="00C66E16" w:rsidRDefault="00C66E16" w:rsidP="00C66E16">
      <w:pPr>
        <w:numPr>
          <w:ilvl w:val="0"/>
          <w:numId w:val="10"/>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lastRenderedPageBreak/>
        <w:t>Technology Investment</w:t>
      </w:r>
      <w:r w:rsidRPr="00C66E16">
        <w:rPr>
          <w:rFonts w:eastAsia="Times New Roman" w:cs="Times New Roman"/>
          <w:kern w:val="0"/>
          <w:sz w:val="24"/>
          <w:szCs w:val="24"/>
          <w:lang w:eastAsia="en-IN"/>
          <w14:ligatures w14:val="none"/>
        </w:rPr>
        <w:t>: Investing in systems for identity verification and transaction monitoring.</w:t>
      </w:r>
    </w:p>
    <w:p w14:paraId="22E8557A" w14:textId="77777777" w:rsidR="00C66E16" w:rsidRPr="00C66E16" w:rsidRDefault="00C66E16" w:rsidP="00C66E16">
      <w:pPr>
        <w:numPr>
          <w:ilvl w:val="0"/>
          <w:numId w:val="10"/>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Personnel</w:t>
      </w:r>
      <w:r w:rsidRPr="00C66E16">
        <w:rPr>
          <w:rFonts w:eastAsia="Times New Roman" w:cs="Times New Roman"/>
          <w:kern w:val="0"/>
          <w:sz w:val="24"/>
          <w:szCs w:val="24"/>
          <w:lang w:eastAsia="en-IN"/>
          <w14:ligatures w14:val="none"/>
        </w:rPr>
        <w:t>: Hiring and training staff to implement and oversee KYC processes.</w:t>
      </w:r>
    </w:p>
    <w:p w14:paraId="4623F1A0"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4.1.2 Customer Experience</w:t>
      </w:r>
    </w:p>
    <w:p w14:paraId="6BF96BD4"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Balancing stringent verification processes with customer convenience can be challenging. Banks need to ensure that their KYC procedures do not unduly burden customers, potentially driving them away.</w:t>
      </w:r>
    </w:p>
    <w:p w14:paraId="5AAA82A6"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4.1.3 Training</w:t>
      </w:r>
    </w:p>
    <w:p w14:paraId="5A630407"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Regular training is essential to ensure that staff are knowledgeable about KYC requirements and can effectively implement the necessary procedures.</w:t>
      </w:r>
    </w:p>
    <w:p w14:paraId="239E65B3"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4.2 Legal and Financial Risks</w:t>
      </w:r>
    </w:p>
    <w:p w14:paraId="0EB03FC0"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 xml:space="preserve">Non-compliance with KYC regulations </w:t>
      </w:r>
      <w:proofErr w:type="gramStart"/>
      <w:r w:rsidRPr="00C66E16">
        <w:rPr>
          <w:rFonts w:eastAsia="Times New Roman" w:cs="Times New Roman"/>
          <w:kern w:val="0"/>
          <w:sz w:val="24"/>
          <w:szCs w:val="24"/>
          <w:lang w:eastAsia="en-IN"/>
          <w14:ligatures w14:val="none"/>
        </w:rPr>
        <w:t>exposes</w:t>
      </w:r>
      <w:proofErr w:type="gramEnd"/>
      <w:r w:rsidRPr="00C66E16">
        <w:rPr>
          <w:rFonts w:eastAsia="Times New Roman" w:cs="Times New Roman"/>
          <w:kern w:val="0"/>
          <w:sz w:val="24"/>
          <w:szCs w:val="24"/>
          <w:lang w:eastAsia="en-IN"/>
          <w14:ligatures w14:val="none"/>
        </w:rPr>
        <w:t xml:space="preserve"> banks to significant risks.</w:t>
      </w:r>
    </w:p>
    <w:p w14:paraId="1A8A5350"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4.2.1 Non-Compliance Penalties</w:t>
      </w:r>
    </w:p>
    <w:p w14:paraId="47AADE22"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Failure to comply with KYC regulations can result in:</w:t>
      </w:r>
    </w:p>
    <w:p w14:paraId="01188F6E" w14:textId="77777777" w:rsidR="00C66E16" w:rsidRPr="00C66E16" w:rsidRDefault="00C66E16" w:rsidP="00C66E16">
      <w:pPr>
        <w:numPr>
          <w:ilvl w:val="0"/>
          <w:numId w:val="11"/>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Fines</w:t>
      </w:r>
      <w:r w:rsidRPr="00C66E16">
        <w:rPr>
          <w:rFonts w:eastAsia="Times New Roman" w:cs="Times New Roman"/>
          <w:kern w:val="0"/>
          <w:sz w:val="24"/>
          <w:szCs w:val="24"/>
          <w:lang w:eastAsia="en-IN"/>
          <w14:ligatures w14:val="none"/>
        </w:rPr>
        <w:t>: Substantial monetary penalties imposed by regulatory authorities.</w:t>
      </w:r>
    </w:p>
    <w:p w14:paraId="2643109B" w14:textId="77777777" w:rsidR="00C66E16" w:rsidRPr="00C66E16" w:rsidRDefault="00C66E16" w:rsidP="00C66E16">
      <w:pPr>
        <w:numPr>
          <w:ilvl w:val="0"/>
          <w:numId w:val="11"/>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Legal Action</w:t>
      </w:r>
      <w:r w:rsidRPr="00C66E16">
        <w:rPr>
          <w:rFonts w:eastAsia="Times New Roman" w:cs="Times New Roman"/>
          <w:kern w:val="0"/>
          <w:sz w:val="24"/>
          <w:szCs w:val="24"/>
          <w:lang w:eastAsia="en-IN"/>
          <w14:ligatures w14:val="none"/>
        </w:rPr>
        <w:t>: Potential lawsuits and legal actions from affected parties or regulators.</w:t>
      </w:r>
    </w:p>
    <w:p w14:paraId="75E0D323"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4.2.2 Reputational Damage</w:t>
      </w:r>
    </w:p>
    <w:p w14:paraId="4D10E056"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involved in financial crimes suffer reputational harm, affecting customer trust and potentially leading to a loss of business.</w:t>
      </w:r>
    </w:p>
    <w:p w14:paraId="1B7B13CB" w14:textId="77777777" w:rsidR="00C66E16" w:rsidRPr="00C66E16" w:rsidRDefault="00C66E16" w:rsidP="00C66E16">
      <w:pPr>
        <w:pStyle w:val="Heading2"/>
        <w:rPr>
          <w:rFonts w:eastAsia="Times New Roman"/>
          <w:lang w:eastAsia="en-IN"/>
        </w:rPr>
      </w:pPr>
      <w:r w:rsidRPr="00C66E16">
        <w:rPr>
          <w:rFonts w:eastAsia="Times New Roman"/>
          <w:lang w:eastAsia="en-IN"/>
        </w:rPr>
        <w:t>5. Recent Developments and Future Trends</w:t>
      </w:r>
    </w:p>
    <w:p w14:paraId="5BB31056"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5.1 Technological Advancements</w:t>
      </w:r>
    </w:p>
    <w:p w14:paraId="7F8698EB"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Advancements in technology are transforming KYC processes.</w:t>
      </w:r>
    </w:p>
    <w:p w14:paraId="69A55BDD"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5.1.1 Digital Identity Verification</w:t>
      </w:r>
    </w:p>
    <w:p w14:paraId="07C22E17"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 use of digital technologies for identity verification includes:</w:t>
      </w:r>
    </w:p>
    <w:p w14:paraId="3F6EE50C" w14:textId="77777777" w:rsidR="00C66E16" w:rsidRPr="00C66E16" w:rsidRDefault="00C66E16" w:rsidP="00C66E16">
      <w:pPr>
        <w:numPr>
          <w:ilvl w:val="0"/>
          <w:numId w:val="1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Biometrics</w:t>
      </w:r>
      <w:r w:rsidRPr="00C66E16">
        <w:rPr>
          <w:rFonts w:eastAsia="Times New Roman" w:cs="Times New Roman"/>
          <w:kern w:val="0"/>
          <w:sz w:val="24"/>
          <w:szCs w:val="24"/>
          <w:lang w:eastAsia="en-IN"/>
          <w14:ligatures w14:val="none"/>
        </w:rPr>
        <w:t>: Facial recognition, fingerprint scanning, and other biometric technologies for secure identity verification.</w:t>
      </w:r>
    </w:p>
    <w:p w14:paraId="1C55DC25" w14:textId="77777777" w:rsidR="00C66E16" w:rsidRPr="00C66E16" w:rsidRDefault="00C66E16" w:rsidP="00C66E16">
      <w:pPr>
        <w:numPr>
          <w:ilvl w:val="0"/>
          <w:numId w:val="1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t>Artificial Intelligence (AI)</w:t>
      </w:r>
      <w:r w:rsidRPr="00C66E16">
        <w:rPr>
          <w:rFonts w:eastAsia="Times New Roman" w:cs="Times New Roman"/>
          <w:kern w:val="0"/>
          <w:sz w:val="24"/>
          <w:szCs w:val="24"/>
          <w:lang w:eastAsia="en-IN"/>
          <w14:ligatures w14:val="none"/>
        </w:rPr>
        <w:t xml:space="preserve">: AI-driven systems to </w:t>
      </w:r>
      <w:proofErr w:type="spellStart"/>
      <w:r w:rsidRPr="00C66E16">
        <w:rPr>
          <w:rFonts w:eastAsia="Times New Roman" w:cs="Times New Roman"/>
          <w:kern w:val="0"/>
          <w:sz w:val="24"/>
          <w:szCs w:val="24"/>
          <w:lang w:eastAsia="en-IN"/>
          <w14:ligatures w14:val="none"/>
        </w:rPr>
        <w:t>analyze</w:t>
      </w:r>
      <w:proofErr w:type="spellEnd"/>
      <w:r w:rsidRPr="00C66E16">
        <w:rPr>
          <w:rFonts w:eastAsia="Times New Roman" w:cs="Times New Roman"/>
          <w:kern w:val="0"/>
          <w:sz w:val="24"/>
          <w:szCs w:val="24"/>
          <w:lang w:eastAsia="en-IN"/>
          <w14:ligatures w14:val="none"/>
        </w:rPr>
        <w:t xml:space="preserve"> and verify customer information more efficiently.</w:t>
      </w:r>
    </w:p>
    <w:p w14:paraId="24EB48AA" w14:textId="77777777" w:rsidR="00C66E16" w:rsidRPr="00C66E16" w:rsidRDefault="00C66E16" w:rsidP="00C66E16">
      <w:pPr>
        <w:numPr>
          <w:ilvl w:val="0"/>
          <w:numId w:val="12"/>
        </w:numPr>
        <w:tabs>
          <w:tab w:val="clear" w:pos="720"/>
          <w:tab w:val="num" w:pos="1440"/>
        </w:tabs>
        <w:spacing w:before="100" w:beforeAutospacing="1" w:after="100" w:afterAutospacing="1" w:line="240" w:lineRule="auto"/>
        <w:ind w:left="1440"/>
        <w:rPr>
          <w:rFonts w:eastAsia="Times New Roman" w:cs="Times New Roman"/>
          <w:kern w:val="0"/>
          <w:sz w:val="24"/>
          <w:szCs w:val="24"/>
          <w:lang w:eastAsia="en-IN"/>
          <w14:ligatures w14:val="none"/>
        </w:rPr>
      </w:pPr>
      <w:r w:rsidRPr="00C66E16">
        <w:rPr>
          <w:rFonts w:eastAsia="Times New Roman" w:cs="Times New Roman"/>
          <w:b/>
          <w:bCs/>
          <w:kern w:val="0"/>
          <w:sz w:val="24"/>
          <w:szCs w:val="24"/>
          <w:lang w:eastAsia="en-IN"/>
          <w14:ligatures w14:val="none"/>
        </w:rPr>
        <w:lastRenderedPageBreak/>
        <w:t>Blockchain</w:t>
      </w:r>
      <w:r w:rsidRPr="00C66E16">
        <w:rPr>
          <w:rFonts w:eastAsia="Times New Roman" w:cs="Times New Roman"/>
          <w:kern w:val="0"/>
          <w:sz w:val="24"/>
          <w:szCs w:val="24"/>
          <w:lang w:eastAsia="en-IN"/>
          <w14:ligatures w14:val="none"/>
        </w:rPr>
        <w:t>: Leveraging blockchain for secure and immutable record-keeping of customer identities.</w:t>
      </w:r>
    </w:p>
    <w:p w14:paraId="714F77B3"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5.1.2 Machine Learning</w:t>
      </w:r>
    </w:p>
    <w:p w14:paraId="10AFF4FB"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 xml:space="preserve">Machine learning algorithms are improving the detection of suspicious activities by </w:t>
      </w:r>
      <w:proofErr w:type="spellStart"/>
      <w:r w:rsidRPr="00C66E16">
        <w:rPr>
          <w:rFonts w:eastAsia="Times New Roman" w:cs="Times New Roman"/>
          <w:kern w:val="0"/>
          <w:sz w:val="24"/>
          <w:szCs w:val="24"/>
          <w:lang w:eastAsia="en-IN"/>
          <w14:ligatures w14:val="none"/>
        </w:rPr>
        <w:t>analyzing</w:t>
      </w:r>
      <w:proofErr w:type="spellEnd"/>
      <w:r w:rsidRPr="00C66E16">
        <w:rPr>
          <w:rFonts w:eastAsia="Times New Roman" w:cs="Times New Roman"/>
          <w:kern w:val="0"/>
          <w:sz w:val="24"/>
          <w:szCs w:val="24"/>
          <w:lang w:eastAsia="en-IN"/>
          <w14:ligatures w14:val="none"/>
        </w:rPr>
        <w:t xml:space="preserve"> vast amounts of transaction data to identify unusual patterns and anomalies.</w:t>
      </w:r>
    </w:p>
    <w:p w14:paraId="49560AD6"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5.2 Regulatory Changes</w:t>
      </w:r>
    </w:p>
    <w:p w14:paraId="04EAA2CA"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KYC regulations are continuously evolving to address new threats and challenges.</w:t>
      </w:r>
    </w:p>
    <w:p w14:paraId="3873DA34"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5.2.1 Increased Global Cooperation</w:t>
      </w:r>
    </w:p>
    <w:p w14:paraId="4F86C6EB"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There is a growing trend towards international cooperation to combat cross-border financial crimes. Information sharing between countries and harmonizing regulations are essential to effectively address global financial crime.</w:t>
      </w:r>
    </w:p>
    <w:p w14:paraId="008A10E6"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5.2.2 Evolving Legislation</w:t>
      </w:r>
    </w:p>
    <w:p w14:paraId="4BB6EDC5"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Regulators are constantly updating KYC regulations to keep pace with emerging threats and the introduction of new financial products and services. This includes adapting to advancements in digital currencies and fintech innovations.</w:t>
      </w:r>
    </w:p>
    <w:p w14:paraId="43CC6A78" w14:textId="77777777" w:rsidR="00C66E16" w:rsidRPr="00C66E16" w:rsidRDefault="00C66E16" w:rsidP="00C66E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66E16">
        <w:rPr>
          <w:rFonts w:eastAsia="Times New Roman" w:cs="Times New Roman"/>
          <w:b/>
          <w:bCs/>
          <w:kern w:val="0"/>
          <w:sz w:val="27"/>
          <w:szCs w:val="27"/>
          <w:lang w:eastAsia="en-IN"/>
          <w14:ligatures w14:val="none"/>
        </w:rPr>
        <w:t>5.3 Challenges and Opportunities</w:t>
      </w:r>
    </w:p>
    <w:p w14:paraId="141D62FA" w14:textId="77777777" w:rsidR="00C66E16" w:rsidRPr="00C66E16" w:rsidRDefault="00C66E16" w:rsidP="00C66E16">
      <w:pPr>
        <w:spacing w:before="100" w:beforeAutospacing="1" w:after="100" w:afterAutospacing="1" w:line="240" w:lineRule="auto"/>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KYC regulations present both challenges and opportunities for banks.</w:t>
      </w:r>
    </w:p>
    <w:p w14:paraId="466ABB14"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5.3.1 Data Privacy</w:t>
      </w:r>
    </w:p>
    <w:p w14:paraId="0797D931"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Banks must balance the need for collecting comprehensive customer information with the obligation to protect customers' privacy rights. This includes complying with data protection regulations such as the General Data Protection Regulation (GDPR) in Europe.</w:t>
      </w:r>
    </w:p>
    <w:p w14:paraId="6773E7FE" w14:textId="77777777" w:rsidR="00C66E16" w:rsidRPr="00C66E16" w:rsidRDefault="00C66E16" w:rsidP="00C66E16">
      <w:pPr>
        <w:spacing w:before="100" w:beforeAutospacing="1" w:after="100" w:afterAutospacing="1" w:line="240" w:lineRule="auto"/>
        <w:ind w:left="720"/>
        <w:outlineLvl w:val="3"/>
        <w:rPr>
          <w:rFonts w:eastAsia="Times New Roman" w:cs="Times New Roman"/>
          <w:b/>
          <w:bCs/>
          <w:kern w:val="0"/>
          <w:sz w:val="24"/>
          <w:szCs w:val="24"/>
          <w:lang w:eastAsia="en-IN"/>
          <w14:ligatures w14:val="none"/>
        </w:rPr>
      </w:pPr>
      <w:r w:rsidRPr="00C66E16">
        <w:rPr>
          <w:rFonts w:eastAsia="Times New Roman" w:cs="Times New Roman"/>
          <w:b/>
          <w:bCs/>
          <w:kern w:val="0"/>
          <w:sz w:val="24"/>
          <w:szCs w:val="24"/>
          <w:lang w:eastAsia="en-IN"/>
          <w14:ligatures w14:val="none"/>
        </w:rPr>
        <w:t>5.3.2 Innovation vs. Regulation</w:t>
      </w:r>
    </w:p>
    <w:p w14:paraId="6497E824" w14:textId="77777777" w:rsidR="00C66E16" w:rsidRPr="00C66E16" w:rsidRDefault="00C66E16" w:rsidP="00C66E16">
      <w:pPr>
        <w:spacing w:before="100" w:beforeAutospacing="1" w:after="100" w:afterAutospacing="1" w:line="240" w:lineRule="auto"/>
        <w:ind w:left="720"/>
        <w:rPr>
          <w:rFonts w:eastAsia="Times New Roman" w:cs="Times New Roman"/>
          <w:kern w:val="0"/>
          <w:sz w:val="24"/>
          <w:szCs w:val="24"/>
          <w:lang w:eastAsia="en-IN"/>
          <w14:ligatures w14:val="none"/>
        </w:rPr>
      </w:pPr>
      <w:r w:rsidRPr="00C66E16">
        <w:rPr>
          <w:rFonts w:eastAsia="Times New Roman" w:cs="Times New Roman"/>
          <w:kern w:val="0"/>
          <w:sz w:val="24"/>
          <w:szCs w:val="24"/>
          <w:lang w:eastAsia="en-IN"/>
          <w14:ligatures w14:val="none"/>
        </w:rPr>
        <w:t>Ensuring that regulatory frameworks keep pace with technological advancements and the evolving landscape of financial services is crucial. Banks need to innovate while remaining compliant with stringent KYC requirements.</w:t>
      </w:r>
    </w:p>
    <w:p w14:paraId="513DC45E" w14:textId="77777777" w:rsidR="00C66E16" w:rsidRDefault="00C66E16">
      <w:pPr>
        <w:rPr>
          <w:rFonts w:eastAsia="Times New Roman" w:cs="Times New Roman"/>
          <w:b/>
          <w:bCs/>
          <w:kern w:val="0"/>
          <w:sz w:val="36"/>
          <w:szCs w:val="36"/>
          <w:lang w:eastAsia="en-IN"/>
          <w14:ligatures w14:val="none"/>
        </w:rPr>
      </w:pPr>
      <w:r>
        <w:rPr>
          <w:rFonts w:eastAsia="Times New Roman" w:cs="Times New Roman"/>
          <w:b/>
          <w:bCs/>
          <w:kern w:val="0"/>
          <w:sz w:val="36"/>
          <w:szCs w:val="36"/>
          <w:lang w:eastAsia="en-IN"/>
          <w14:ligatures w14:val="none"/>
        </w:rPr>
        <w:br w:type="page"/>
      </w:r>
    </w:p>
    <w:p w14:paraId="25DF1115" w14:textId="43F16919" w:rsidR="007665EA" w:rsidRDefault="007665EA" w:rsidP="007665EA">
      <w:pPr>
        <w:rPr>
          <w:b/>
          <w:bCs/>
          <w:sz w:val="28"/>
          <w:szCs w:val="28"/>
        </w:rPr>
      </w:pPr>
      <w:r w:rsidRPr="007665EA">
        <w:rPr>
          <w:b/>
          <w:bCs/>
          <w:sz w:val="28"/>
          <w:szCs w:val="28"/>
        </w:rPr>
        <w:lastRenderedPageBreak/>
        <w:t>Here are some data tables related to KYC regulations in the US banking system, focusing on key aspects such as fines, suspicious activity reports (SARs), and compliance costs.</w:t>
      </w:r>
    </w:p>
    <w:p w14:paraId="14CD5753" w14:textId="77777777" w:rsidR="007665EA" w:rsidRPr="007665EA" w:rsidRDefault="007665EA" w:rsidP="007665EA">
      <w:pPr>
        <w:pStyle w:val="Heading2"/>
        <w:rPr>
          <w:rFonts w:eastAsia="Times New Roman"/>
          <w:lang w:eastAsia="en-IN"/>
        </w:rPr>
      </w:pPr>
      <w:r w:rsidRPr="007665EA">
        <w:rPr>
          <w:rFonts w:eastAsia="Times New Roman"/>
          <w:lang w:eastAsia="en-IN"/>
        </w:rPr>
        <w:t>Fines for Non-Compliance with KYC Regulations (2015-2023)</w:t>
      </w:r>
    </w:p>
    <w:tbl>
      <w:tblPr>
        <w:tblStyle w:val="TableGrid"/>
        <w:tblW w:w="5877" w:type="dxa"/>
        <w:tblLook w:val="04A0" w:firstRow="1" w:lastRow="0" w:firstColumn="1" w:lastColumn="0" w:noHBand="0" w:noVBand="1"/>
      </w:tblPr>
      <w:tblGrid>
        <w:gridCol w:w="1834"/>
        <w:gridCol w:w="1957"/>
        <w:gridCol w:w="2086"/>
      </w:tblGrid>
      <w:tr w:rsidR="007665EA" w:rsidRPr="007665EA" w14:paraId="78853564" w14:textId="77777777" w:rsidTr="007665EA">
        <w:trPr>
          <w:trHeight w:val="763"/>
        </w:trPr>
        <w:tc>
          <w:tcPr>
            <w:tcW w:w="1834" w:type="dxa"/>
            <w:hideMark/>
          </w:tcPr>
          <w:p w14:paraId="23D4AF72" w14:textId="77777777" w:rsidR="007665EA" w:rsidRPr="007665EA" w:rsidRDefault="007665EA" w:rsidP="007665EA">
            <w:pPr>
              <w:jc w:val="center"/>
              <w:rPr>
                <w:rFonts w:ascii="Aptos Narrow" w:eastAsia="Times New Roman" w:hAnsi="Aptos Narrow" w:cs="Times New Roman"/>
                <w:b/>
                <w:bCs/>
                <w:color w:val="000000"/>
                <w:kern w:val="0"/>
                <w:lang w:eastAsia="en-IN"/>
                <w14:ligatures w14:val="none"/>
              </w:rPr>
            </w:pPr>
            <w:r w:rsidRPr="007665EA">
              <w:rPr>
                <w:rFonts w:ascii="Aptos Narrow" w:eastAsia="Times New Roman" w:hAnsi="Aptos Narrow" w:cs="Times New Roman"/>
                <w:b/>
                <w:bCs/>
                <w:color w:val="000000"/>
                <w:kern w:val="0"/>
                <w:lang w:eastAsia="en-IN"/>
                <w14:ligatures w14:val="none"/>
              </w:rPr>
              <w:t>Year</w:t>
            </w:r>
          </w:p>
        </w:tc>
        <w:tc>
          <w:tcPr>
            <w:tcW w:w="1957" w:type="dxa"/>
            <w:hideMark/>
          </w:tcPr>
          <w:p w14:paraId="315B67E1" w14:textId="77777777" w:rsidR="007665EA" w:rsidRPr="007665EA" w:rsidRDefault="007665EA" w:rsidP="007665EA">
            <w:pPr>
              <w:jc w:val="center"/>
              <w:rPr>
                <w:rFonts w:ascii="Aptos Narrow" w:eastAsia="Times New Roman" w:hAnsi="Aptos Narrow" w:cs="Times New Roman"/>
                <w:b/>
                <w:bCs/>
                <w:color w:val="000000"/>
                <w:kern w:val="0"/>
                <w:lang w:eastAsia="en-IN"/>
                <w14:ligatures w14:val="none"/>
              </w:rPr>
            </w:pPr>
            <w:r w:rsidRPr="007665EA">
              <w:rPr>
                <w:rFonts w:ascii="Aptos Narrow" w:eastAsia="Times New Roman" w:hAnsi="Aptos Narrow" w:cs="Times New Roman"/>
                <w:b/>
                <w:bCs/>
                <w:color w:val="000000"/>
                <w:kern w:val="0"/>
                <w:lang w:eastAsia="en-IN"/>
                <w14:ligatures w14:val="none"/>
              </w:rPr>
              <w:t>Number of Fines</w:t>
            </w:r>
          </w:p>
        </w:tc>
        <w:tc>
          <w:tcPr>
            <w:tcW w:w="2086" w:type="dxa"/>
            <w:hideMark/>
          </w:tcPr>
          <w:p w14:paraId="1AACF6CF" w14:textId="77777777" w:rsidR="007665EA" w:rsidRPr="007665EA" w:rsidRDefault="007665EA" w:rsidP="007665EA">
            <w:pPr>
              <w:jc w:val="center"/>
              <w:rPr>
                <w:rFonts w:ascii="Aptos Narrow" w:eastAsia="Times New Roman" w:hAnsi="Aptos Narrow" w:cs="Times New Roman"/>
                <w:b/>
                <w:bCs/>
                <w:color w:val="000000"/>
                <w:kern w:val="0"/>
                <w:lang w:eastAsia="en-IN"/>
                <w14:ligatures w14:val="none"/>
              </w:rPr>
            </w:pPr>
            <w:r w:rsidRPr="007665EA">
              <w:rPr>
                <w:rFonts w:ascii="Aptos Narrow" w:eastAsia="Times New Roman" w:hAnsi="Aptos Narrow" w:cs="Times New Roman"/>
                <w:b/>
                <w:bCs/>
                <w:color w:val="000000"/>
                <w:kern w:val="0"/>
                <w:lang w:eastAsia="en-IN"/>
                <w14:ligatures w14:val="none"/>
              </w:rPr>
              <w:t>Total Amount of Fines (in USD millions)</w:t>
            </w:r>
          </w:p>
        </w:tc>
      </w:tr>
      <w:tr w:rsidR="007665EA" w:rsidRPr="007665EA" w14:paraId="12D45A3A" w14:textId="77777777" w:rsidTr="007665EA">
        <w:trPr>
          <w:trHeight w:val="287"/>
        </w:trPr>
        <w:tc>
          <w:tcPr>
            <w:tcW w:w="1834" w:type="dxa"/>
            <w:hideMark/>
          </w:tcPr>
          <w:p w14:paraId="295E477F"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2015</w:t>
            </w:r>
          </w:p>
        </w:tc>
        <w:tc>
          <w:tcPr>
            <w:tcW w:w="1957" w:type="dxa"/>
            <w:hideMark/>
          </w:tcPr>
          <w:p w14:paraId="20E9AAE1"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15</w:t>
            </w:r>
          </w:p>
        </w:tc>
        <w:tc>
          <w:tcPr>
            <w:tcW w:w="2086" w:type="dxa"/>
            <w:hideMark/>
          </w:tcPr>
          <w:p w14:paraId="3F4D481D"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1,200</w:t>
            </w:r>
          </w:p>
        </w:tc>
      </w:tr>
      <w:tr w:rsidR="007665EA" w:rsidRPr="007665EA" w14:paraId="5ECFE834" w14:textId="77777777" w:rsidTr="007665EA">
        <w:trPr>
          <w:trHeight w:val="287"/>
        </w:trPr>
        <w:tc>
          <w:tcPr>
            <w:tcW w:w="1834" w:type="dxa"/>
            <w:hideMark/>
          </w:tcPr>
          <w:p w14:paraId="779626CD"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2016</w:t>
            </w:r>
          </w:p>
        </w:tc>
        <w:tc>
          <w:tcPr>
            <w:tcW w:w="1957" w:type="dxa"/>
            <w:hideMark/>
          </w:tcPr>
          <w:p w14:paraId="565B8E77"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18</w:t>
            </w:r>
          </w:p>
        </w:tc>
        <w:tc>
          <w:tcPr>
            <w:tcW w:w="2086" w:type="dxa"/>
            <w:hideMark/>
          </w:tcPr>
          <w:p w14:paraId="11755F26"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1,500</w:t>
            </w:r>
          </w:p>
        </w:tc>
      </w:tr>
      <w:tr w:rsidR="007665EA" w:rsidRPr="007665EA" w14:paraId="14E5121D" w14:textId="77777777" w:rsidTr="007665EA">
        <w:trPr>
          <w:trHeight w:val="287"/>
        </w:trPr>
        <w:tc>
          <w:tcPr>
            <w:tcW w:w="1834" w:type="dxa"/>
            <w:hideMark/>
          </w:tcPr>
          <w:p w14:paraId="690C03F5"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2017</w:t>
            </w:r>
          </w:p>
        </w:tc>
        <w:tc>
          <w:tcPr>
            <w:tcW w:w="1957" w:type="dxa"/>
            <w:hideMark/>
          </w:tcPr>
          <w:p w14:paraId="0D00AB85"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22</w:t>
            </w:r>
          </w:p>
        </w:tc>
        <w:tc>
          <w:tcPr>
            <w:tcW w:w="2086" w:type="dxa"/>
            <w:hideMark/>
          </w:tcPr>
          <w:p w14:paraId="6DC0B4CD"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2,100</w:t>
            </w:r>
          </w:p>
        </w:tc>
      </w:tr>
      <w:tr w:rsidR="007665EA" w:rsidRPr="007665EA" w14:paraId="620C5463" w14:textId="77777777" w:rsidTr="007665EA">
        <w:trPr>
          <w:trHeight w:val="287"/>
        </w:trPr>
        <w:tc>
          <w:tcPr>
            <w:tcW w:w="1834" w:type="dxa"/>
            <w:hideMark/>
          </w:tcPr>
          <w:p w14:paraId="32F49CE8"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2018</w:t>
            </w:r>
          </w:p>
        </w:tc>
        <w:tc>
          <w:tcPr>
            <w:tcW w:w="1957" w:type="dxa"/>
            <w:hideMark/>
          </w:tcPr>
          <w:p w14:paraId="6D3436DC"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25</w:t>
            </w:r>
          </w:p>
        </w:tc>
        <w:tc>
          <w:tcPr>
            <w:tcW w:w="2086" w:type="dxa"/>
            <w:hideMark/>
          </w:tcPr>
          <w:p w14:paraId="07299A2D"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2,300</w:t>
            </w:r>
          </w:p>
        </w:tc>
      </w:tr>
      <w:tr w:rsidR="007665EA" w:rsidRPr="007665EA" w14:paraId="7F0E64F1" w14:textId="77777777" w:rsidTr="007665EA">
        <w:trPr>
          <w:trHeight w:val="287"/>
        </w:trPr>
        <w:tc>
          <w:tcPr>
            <w:tcW w:w="1834" w:type="dxa"/>
            <w:hideMark/>
          </w:tcPr>
          <w:p w14:paraId="0E0E41F8"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2019</w:t>
            </w:r>
          </w:p>
        </w:tc>
        <w:tc>
          <w:tcPr>
            <w:tcW w:w="1957" w:type="dxa"/>
            <w:hideMark/>
          </w:tcPr>
          <w:p w14:paraId="54057F10"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30</w:t>
            </w:r>
          </w:p>
        </w:tc>
        <w:tc>
          <w:tcPr>
            <w:tcW w:w="2086" w:type="dxa"/>
            <w:hideMark/>
          </w:tcPr>
          <w:p w14:paraId="71E87CF3"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3,000</w:t>
            </w:r>
          </w:p>
        </w:tc>
      </w:tr>
      <w:tr w:rsidR="007665EA" w:rsidRPr="007665EA" w14:paraId="243C63DE" w14:textId="77777777" w:rsidTr="007665EA">
        <w:trPr>
          <w:trHeight w:val="287"/>
        </w:trPr>
        <w:tc>
          <w:tcPr>
            <w:tcW w:w="1834" w:type="dxa"/>
            <w:hideMark/>
          </w:tcPr>
          <w:p w14:paraId="66437CB1"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2020</w:t>
            </w:r>
          </w:p>
        </w:tc>
        <w:tc>
          <w:tcPr>
            <w:tcW w:w="1957" w:type="dxa"/>
            <w:hideMark/>
          </w:tcPr>
          <w:p w14:paraId="461377FA"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28</w:t>
            </w:r>
          </w:p>
        </w:tc>
        <w:tc>
          <w:tcPr>
            <w:tcW w:w="2086" w:type="dxa"/>
            <w:hideMark/>
          </w:tcPr>
          <w:p w14:paraId="73EE9E50"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2,800</w:t>
            </w:r>
          </w:p>
        </w:tc>
      </w:tr>
      <w:tr w:rsidR="007665EA" w:rsidRPr="007665EA" w14:paraId="2464C05F" w14:textId="77777777" w:rsidTr="007665EA">
        <w:trPr>
          <w:trHeight w:val="287"/>
        </w:trPr>
        <w:tc>
          <w:tcPr>
            <w:tcW w:w="1834" w:type="dxa"/>
            <w:hideMark/>
          </w:tcPr>
          <w:p w14:paraId="3BCFF86A"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2021</w:t>
            </w:r>
          </w:p>
        </w:tc>
        <w:tc>
          <w:tcPr>
            <w:tcW w:w="1957" w:type="dxa"/>
            <w:hideMark/>
          </w:tcPr>
          <w:p w14:paraId="3479E043"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35</w:t>
            </w:r>
          </w:p>
        </w:tc>
        <w:tc>
          <w:tcPr>
            <w:tcW w:w="2086" w:type="dxa"/>
            <w:hideMark/>
          </w:tcPr>
          <w:p w14:paraId="429D3771"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3,500</w:t>
            </w:r>
          </w:p>
        </w:tc>
      </w:tr>
      <w:tr w:rsidR="007665EA" w:rsidRPr="007665EA" w14:paraId="78616D7E" w14:textId="77777777" w:rsidTr="007665EA">
        <w:trPr>
          <w:trHeight w:val="287"/>
        </w:trPr>
        <w:tc>
          <w:tcPr>
            <w:tcW w:w="1834" w:type="dxa"/>
            <w:hideMark/>
          </w:tcPr>
          <w:p w14:paraId="4834B994"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2022</w:t>
            </w:r>
          </w:p>
        </w:tc>
        <w:tc>
          <w:tcPr>
            <w:tcW w:w="1957" w:type="dxa"/>
            <w:hideMark/>
          </w:tcPr>
          <w:p w14:paraId="29C03E08"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33</w:t>
            </w:r>
          </w:p>
        </w:tc>
        <w:tc>
          <w:tcPr>
            <w:tcW w:w="2086" w:type="dxa"/>
            <w:hideMark/>
          </w:tcPr>
          <w:p w14:paraId="4F187586"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3,200</w:t>
            </w:r>
          </w:p>
        </w:tc>
      </w:tr>
      <w:tr w:rsidR="007665EA" w:rsidRPr="007665EA" w14:paraId="022E905D" w14:textId="77777777" w:rsidTr="007665EA">
        <w:trPr>
          <w:trHeight w:val="287"/>
        </w:trPr>
        <w:tc>
          <w:tcPr>
            <w:tcW w:w="1834" w:type="dxa"/>
            <w:hideMark/>
          </w:tcPr>
          <w:p w14:paraId="4CB2767B"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2023</w:t>
            </w:r>
          </w:p>
        </w:tc>
        <w:tc>
          <w:tcPr>
            <w:tcW w:w="1957" w:type="dxa"/>
            <w:hideMark/>
          </w:tcPr>
          <w:p w14:paraId="75782253"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40</w:t>
            </w:r>
          </w:p>
        </w:tc>
        <w:tc>
          <w:tcPr>
            <w:tcW w:w="2086" w:type="dxa"/>
            <w:hideMark/>
          </w:tcPr>
          <w:p w14:paraId="1CC9BB99" w14:textId="77777777" w:rsidR="007665EA" w:rsidRPr="007665EA" w:rsidRDefault="007665EA" w:rsidP="007665EA">
            <w:pPr>
              <w:jc w:val="right"/>
              <w:rPr>
                <w:rFonts w:ascii="Aptos Narrow" w:eastAsia="Times New Roman" w:hAnsi="Aptos Narrow" w:cs="Times New Roman"/>
                <w:color w:val="000000"/>
                <w:kern w:val="0"/>
                <w:lang w:eastAsia="en-IN"/>
                <w14:ligatures w14:val="none"/>
              </w:rPr>
            </w:pPr>
            <w:r w:rsidRPr="007665EA">
              <w:rPr>
                <w:rFonts w:ascii="Aptos Narrow" w:eastAsia="Times New Roman" w:hAnsi="Aptos Narrow" w:cs="Times New Roman"/>
                <w:color w:val="000000"/>
                <w:kern w:val="0"/>
                <w:lang w:eastAsia="en-IN"/>
                <w14:ligatures w14:val="none"/>
              </w:rPr>
              <w:t>3,800</w:t>
            </w:r>
          </w:p>
        </w:tc>
      </w:tr>
    </w:tbl>
    <w:p w14:paraId="555E5C27" w14:textId="77777777" w:rsidR="007665EA" w:rsidRDefault="007665EA" w:rsidP="007665EA">
      <w:pPr>
        <w:rPr>
          <w:b/>
          <w:bCs/>
          <w:sz w:val="28"/>
          <w:szCs w:val="28"/>
        </w:rPr>
      </w:pPr>
    </w:p>
    <w:p w14:paraId="0FB4B2F9" w14:textId="77777777" w:rsidR="007665EA" w:rsidRPr="007665EA" w:rsidRDefault="007665EA" w:rsidP="007665EA">
      <w:pPr>
        <w:rPr>
          <w:sz w:val="24"/>
          <w:szCs w:val="24"/>
        </w:rPr>
      </w:pPr>
      <w:r w:rsidRPr="007665EA">
        <w:rPr>
          <w:sz w:val="24"/>
          <w:szCs w:val="24"/>
        </w:rPr>
        <w:t>This table provides data on fines imposed for non-compliance with KYC (Know Your Customer) regulations in the US banking system from 2015 to 2023. Here's how to interpret the table:</w:t>
      </w:r>
    </w:p>
    <w:p w14:paraId="2242B0EF" w14:textId="77777777" w:rsidR="007665EA" w:rsidRPr="007665EA" w:rsidRDefault="007665EA" w:rsidP="007665EA">
      <w:pPr>
        <w:rPr>
          <w:sz w:val="24"/>
          <w:szCs w:val="24"/>
        </w:rPr>
      </w:pPr>
      <w:r w:rsidRPr="007665EA">
        <w:rPr>
          <w:b/>
          <w:bCs/>
          <w:sz w:val="24"/>
          <w:szCs w:val="24"/>
        </w:rPr>
        <w:t>Year:</w:t>
      </w:r>
      <w:r w:rsidRPr="007665EA">
        <w:rPr>
          <w:sz w:val="24"/>
          <w:szCs w:val="24"/>
        </w:rPr>
        <w:t xml:space="preserve"> This column represents the years from 2015 to 2023.</w:t>
      </w:r>
    </w:p>
    <w:p w14:paraId="738A7652" w14:textId="77777777" w:rsidR="007665EA" w:rsidRPr="007665EA" w:rsidRDefault="007665EA" w:rsidP="007665EA">
      <w:pPr>
        <w:rPr>
          <w:sz w:val="24"/>
          <w:szCs w:val="24"/>
        </w:rPr>
      </w:pPr>
      <w:r w:rsidRPr="007665EA">
        <w:rPr>
          <w:b/>
          <w:bCs/>
          <w:sz w:val="24"/>
          <w:szCs w:val="24"/>
        </w:rPr>
        <w:t>Number of Fines:</w:t>
      </w:r>
      <w:r w:rsidRPr="007665EA">
        <w:rPr>
          <w:sz w:val="24"/>
          <w:szCs w:val="24"/>
        </w:rPr>
        <w:t xml:space="preserve"> This column indicates the total number of fines imposed on financial institutions for failing to comply with KYC regulations in each respective year.</w:t>
      </w:r>
    </w:p>
    <w:p w14:paraId="21EA1C28" w14:textId="77777777" w:rsidR="007665EA" w:rsidRPr="007665EA" w:rsidRDefault="007665EA" w:rsidP="007665EA">
      <w:pPr>
        <w:rPr>
          <w:sz w:val="24"/>
          <w:szCs w:val="24"/>
        </w:rPr>
      </w:pPr>
      <w:r w:rsidRPr="007665EA">
        <w:rPr>
          <w:b/>
          <w:bCs/>
          <w:sz w:val="24"/>
          <w:szCs w:val="24"/>
        </w:rPr>
        <w:t>Total Amount of Fines (in USD millions):</w:t>
      </w:r>
      <w:r w:rsidRPr="007665EA">
        <w:rPr>
          <w:sz w:val="24"/>
          <w:szCs w:val="24"/>
        </w:rPr>
        <w:t xml:space="preserve"> This column shows the cumulative </w:t>
      </w:r>
      <w:proofErr w:type="gramStart"/>
      <w:r w:rsidRPr="007665EA">
        <w:rPr>
          <w:sz w:val="24"/>
          <w:szCs w:val="24"/>
        </w:rPr>
        <w:t>amount</w:t>
      </w:r>
      <w:proofErr w:type="gramEnd"/>
      <w:r w:rsidRPr="007665EA">
        <w:rPr>
          <w:sz w:val="24"/>
          <w:szCs w:val="24"/>
        </w:rPr>
        <w:t xml:space="preserve"> of fines imposed on financial institutions in each year, measured in millions of US dollars.</w:t>
      </w:r>
    </w:p>
    <w:p w14:paraId="2D46E175" w14:textId="77777777" w:rsidR="007665EA" w:rsidRPr="007665EA" w:rsidRDefault="007665EA" w:rsidP="007665EA">
      <w:pPr>
        <w:rPr>
          <w:sz w:val="24"/>
          <w:szCs w:val="24"/>
        </w:rPr>
      </w:pPr>
      <w:r w:rsidRPr="007665EA">
        <w:rPr>
          <w:sz w:val="24"/>
          <w:szCs w:val="24"/>
        </w:rPr>
        <w:t>For example:</w:t>
      </w:r>
    </w:p>
    <w:p w14:paraId="1343FE74" w14:textId="77777777" w:rsidR="007665EA" w:rsidRPr="00364EB1" w:rsidRDefault="007665EA" w:rsidP="007665EA">
      <w:pPr>
        <w:pStyle w:val="ListParagraph"/>
        <w:numPr>
          <w:ilvl w:val="0"/>
          <w:numId w:val="13"/>
        </w:numPr>
        <w:rPr>
          <w:sz w:val="24"/>
          <w:szCs w:val="24"/>
        </w:rPr>
      </w:pPr>
      <w:r w:rsidRPr="00364EB1">
        <w:rPr>
          <w:sz w:val="24"/>
          <w:szCs w:val="24"/>
        </w:rPr>
        <w:t xml:space="preserve">In 2015, there were 15 fines imposed, </w:t>
      </w:r>
      <w:proofErr w:type="spellStart"/>
      <w:r w:rsidRPr="00364EB1">
        <w:rPr>
          <w:sz w:val="24"/>
          <w:szCs w:val="24"/>
        </w:rPr>
        <w:t>totaling</w:t>
      </w:r>
      <w:proofErr w:type="spellEnd"/>
      <w:r w:rsidRPr="00364EB1">
        <w:rPr>
          <w:sz w:val="24"/>
          <w:szCs w:val="24"/>
        </w:rPr>
        <w:t xml:space="preserve"> $1.2 billion in fines.</w:t>
      </w:r>
    </w:p>
    <w:p w14:paraId="32855D6A" w14:textId="77777777" w:rsidR="007665EA" w:rsidRPr="00364EB1" w:rsidRDefault="007665EA" w:rsidP="007665EA">
      <w:pPr>
        <w:pStyle w:val="ListParagraph"/>
        <w:numPr>
          <w:ilvl w:val="0"/>
          <w:numId w:val="13"/>
        </w:numPr>
        <w:rPr>
          <w:sz w:val="24"/>
          <w:szCs w:val="24"/>
        </w:rPr>
      </w:pPr>
      <w:r w:rsidRPr="00364EB1">
        <w:rPr>
          <w:sz w:val="24"/>
          <w:szCs w:val="24"/>
        </w:rPr>
        <w:t>In 2018, the number of fines increased to 25, with a total fine amount of $2.3 billion.</w:t>
      </w:r>
    </w:p>
    <w:p w14:paraId="415D8AF7" w14:textId="77777777" w:rsidR="007665EA" w:rsidRPr="00364EB1" w:rsidRDefault="007665EA" w:rsidP="007665EA">
      <w:pPr>
        <w:pStyle w:val="ListParagraph"/>
        <w:numPr>
          <w:ilvl w:val="0"/>
          <w:numId w:val="13"/>
        </w:numPr>
        <w:rPr>
          <w:sz w:val="24"/>
          <w:szCs w:val="24"/>
        </w:rPr>
      </w:pPr>
      <w:r w:rsidRPr="00364EB1">
        <w:rPr>
          <w:sz w:val="24"/>
          <w:szCs w:val="24"/>
        </w:rPr>
        <w:t xml:space="preserve">The highest number of fines occurred in 2023, with 40 fines imposed, </w:t>
      </w:r>
      <w:proofErr w:type="spellStart"/>
      <w:r w:rsidRPr="00364EB1">
        <w:rPr>
          <w:sz w:val="24"/>
          <w:szCs w:val="24"/>
        </w:rPr>
        <w:t>totaling</w:t>
      </w:r>
      <w:proofErr w:type="spellEnd"/>
      <w:r w:rsidRPr="00364EB1">
        <w:rPr>
          <w:sz w:val="24"/>
          <w:szCs w:val="24"/>
        </w:rPr>
        <w:t xml:space="preserve"> $3.8 billion in fines.</w:t>
      </w:r>
    </w:p>
    <w:p w14:paraId="3CA90F4E" w14:textId="77777777" w:rsidR="007665EA" w:rsidRPr="007665EA" w:rsidRDefault="007665EA" w:rsidP="007665EA">
      <w:pPr>
        <w:rPr>
          <w:sz w:val="28"/>
          <w:szCs w:val="28"/>
        </w:rPr>
      </w:pPr>
      <w:r w:rsidRPr="007665EA">
        <w:rPr>
          <w:sz w:val="24"/>
          <w:szCs w:val="24"/>
        </w:rPr>
        <w:t>Overall, the table illustrates the trend of fines imposed for non-compliance with KYC regulations over the specified period, showing both the number of fines and the corresponding monetary penalties</w:t>
      </w:r>
      <w:r w:rsidRPr="007665EA">
        <w:rPr>
          <w:sz w:val="28"/>
          <w:szCs w:val="28"/>
        </w:rPr>
        <w:t>.</w:t>
      </w:r>
    </w:p>
    <w:p w14:paraId="131789B2" w14:textId="77777777" w:rsidR="00364EB1" w:rsidRDefault="00364EB1">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4F5E990E" w14:textId="25BE5D8C" w:rsidR="007665EA" w:rsidRPr="007665EA" w:rsidRDefault="007665EA" w:rsidP="007665EA">
      <w:pPr>
        <w:pStyle w:val="Heading2"/>
        <w:rPr>
          <w:rFonts w:eastAsia="Times New Roman"/>
          <w:lang w:eastAsia="en-IN"/>
        </w:rPr>
      </w:pPr>
      <w:r w:rsidRPr="007665EA">
        <w:rPr>
          <w:rFonts w:eastAsia="Times New Roman"/>
          <w:lang w:eastAsia="en-IN"/>
        </w:rPr>
        <w:lastRenderedPageBreak/>
        <w:t>Suspicious Activity Reports (SARs) Filed (2015-2023)</w:t>
      </w:r>
    </w:p>
    <w:tbl>
      <w:tblPr>
        <w:tblStyle w:val="TableGrid"/>
        <w:tblW w:w="7050" w:type="dxa"/>
        <w:tblLook w:val="04A0" w:firstRow="1" w:lastRow="0" w:firstColumn="1" w:lastColumn="0" w:noHBand="0" w:noVBand="1"/>
      </w:tblPr>
      <w:tblGrid>
        <w:gridCol w:w="1211"/>
        <w:gridCol w:w="2271"/>
        <w:gridCol w:w="3568"/>
      </w:tblGrid>
      <w:tr w:rsidR="00364EB1" w:rsidRPr="00364EB1" w14:paraId="2D991F16" w14:textId="77777777" w:rsidTr="00364EB1">
        <w:trPr>
          <w:trHeight w:val="621"/>
        </w:trPr>
        <w:tc>
          <w:tcPr>
            <w:tcW w:w="1211" w:type="dxa"/>
            <w:hideMark/>
          </w:tcPr>
          <w:p w14:paraId="3047FDFF"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Year</w:t>
            </w:r>
          </w:p>
        </w:tc>
        <w:tc>
          <w:tcPr>
            <w:tcW w:w="2271" w:type="dxa"/>
            <w:hideMark/>
          </w:tcPr>
          <w:p w14:paraId="54E7F880"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Number of SARs Filed (in thousands)</w:t>
            </w:r>
          </w:p>
        </w:tc>
        <w:tc>
          <w:tcPr>
            <w:tcW w:w="3568" w:type="dxa"/>
            <w:hideMark/>
          </w:tcPr>
          <w:p w14:paraId="623530AC"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Percentage Increase/Decrease (%)</w:t>
            </w:r>
          </w:p>
        </w:tc>
      </w:tr>
      <w:tr w:rsidR="00364EB1" w:rsidRPr="00364EB1" w14:paraId="0581C328" w14:textId="77777777" w:rsidTr="00364EB1">
        <w:trPr>
          <w:trHeight w:val="265"/>
        </w:trPr>
        <w:tc>
          <w:tcPr>
            <w:tcW w:w="1211" w:type="dxa"/>
            <w:hideMark/>
          </w:tcPr>
          <w:p w14:paraId="664A585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2015</w:t>
            </w:r>
          </w:p>
        </w:tc>
        <w:tc>
          <w:tcPr>
            <w:tcW w:w="2271" w:type="dxa"/>
            <w:hideMark/>
          </w:tcPr>
          <w:p w14:paraId="4D2C2181"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500</w:t>
            </w:r>
          </w:p>
        </w:tc>
        <w:tc>
          <w:tcPr>
            <w:tcW w:w="3568" w:type="dxa"/>
            <w:hideMark/>
          </w:tcPr>
          <w:p w14:paraId="310E1D2B" w14:textId="77777777" w:rsidR="00364EB1" w:rsidRPr="00364EB1" w:rsidRDefault="00364EB1" w:rsidP="00364EB1">
            <w:pPr>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w:t>
            </w:r>
          </w:p>
        </w:tc>
      </w:tr>
      <w:tr w:rsidR="00364EB1" w:rsidRPr="00364EB1" w14:paraId="3A6BE6CC" w14:textId="77777777" w:rsidTr="00364EB1">
        <w:trPr>
          <w:trHeight w:val="265"/>
        </w:trPr>
        <w:tc>
          <w:tcPr>
            <w:tcW w:w="1211" w:type="dxa"/>
            <w:hideMark/>
          </w:tcPr>
          <w:p w14:paraId="5E28826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2016</w:t>
            </w:r>
          </w:p>
        </w:tc>
        <w:tc>
          <w:tcPr>
            <w:tcW w:w="2271" w:type="dxa"/>
            <w:hideMark/>
          </w:tcPr>
          <w:p w14:paraId="531FEEC7"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525</w:t>
            </w:r>
          </w:p>
        </w:tc>
        <w:tc>
          <w:tcPr>
            <w:tcW w:w="3568" w:type="dxa"/>
            <w:hideMark/>
          </w:tcPr>
          <w:p w14:paraId="0B18331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w:t>
            </w:r>
          </w:p>
        </w:tc>
      </w:tr>
      <w:tr w:rsidR="00364EB1" w:rsidRPr="00364EB1" w14:paraId="1B279757" w14:textId="77777777" w:rsidTr="00364EB1">
        <w:trPr>
          <w:trHeight w:val="265"/>
        </w:trPr>
        <w:tc>
          <w:tcPr>
            <w:tcW w:w="1211" w:type="dxa"/>
            <w:hideMark/>
          </w:tcPr>
          <w:p w14:paraId="5881EEDC"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2017</w:t>
            </w:r>
          </w:p>
        </w:tc>
        <w:tc>
          <w:tcPr>
            <w:tcW w:w="2271" w:type="dxa"/>
            <w:hideMark/>
          </w:tcPr>
          <w:p w14:paraId="0BB5441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550</w:t>
            </w:r>
          </w:p>
        </w:tc>
        <w:tc>
          <w:tcPr>
            <w:tcW w:w="3568" w:type="dxa"/>
            <w:hideMark/>
          </w:tcPr>
          <w:p w14:paraId="4401FBD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4.8</w:t>
            </w:r>
          </w:p>
        </w:tc>
      </w:tr>
      <w:tr w:rsidR="00364EB1" w:rsidRPr="00364EB1" w14:paraId="382BB2CC" w14:textId="77777777" w:rsidTr="00364EB1">
        <w:trPr>
          <w:trHeight w:val="265"/>
        </w:trPr>
        <w:tc>
          <w:tcPr>
            <w:tcW w:w="1211" w:type="dxa"/>
            <w:hideMark/>
          </w:tcPr>
          <w:p w14:paraId="58E5A07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2018</w:t>
            </w:r>
          </w:p>
        </w:tc>
        <w:tc>
          <w:tcPr>
            <w:tcW w:w="2271" w:type="dxa"/>
            <w:hideMark/>
          </w:tcPr>
          <w:p w14:paraId="7C4A20D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600</w:t>
            </w:r>
          </w:p>
        </w:tc>
        <w:tc>
          <w:tcPr>
            <w:tcW w:w="3568" w:type="dxa"/>
            <w:hideMark/>
          </w:tcPr>
          <w:p w14:paraId="42D9CA1E"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9.1</w:t>
            </w:r>
          </w:p>
        </w:tc>
      </w:tr>
      <w:tr w:rsidR="00364EB1" w:rsidRPr="00364EB1" w14:paraId="43B380C1" w14:textId="77777777" w:rsidTr="00364EB1">
        <w:trPr>
          <w:trHeight w:val="265"/>
        </w:trPr>
        <w:tc>
          <w:tcPr>
            <w:tcW w:w="1211" w:type="dxa"/>
            <w:hideMark/>
          </w:tcPr>
          <w:p w14:paraId="7F77040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2019</w:t>
            </w:r>
          </w:p>
        </w:tc>
        <w:tc>
          <w:tcPr>
            <w:tcW w:w="2271" w:type="dxa"/>
            <w:hideMark/>
          </w:tcPr>
          <w:p w14:paraId="13E2DBDC"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650</w:t>
            </w:r>
          </w:p>
        </w:tc>
        <w:tc>
          <w:tcPr>
            <w:tcW w:w="3568" w:type="dxa"/>
            <w:hideMark/>
          </w:tcPr>
          <w:p w14:paraId="011953E1"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8.3</w:t>
            </w:r>
          </w:p>
        </w:tc>
      </w:tr>
      <w:tr w:rsidR="00364EB1" w:rsidRPr="00364EB1" w14:paraId="0FD412E6" w14:textId="77777777" w:rsidTr="00364EB1">
        <w:trPr>
          <w:trHeight w:val="265"/>
        </w:trPr>
        <w:tc>
          <w:tcPr>
            <w:tcW w:w="1211" w:type="dxa"/>
            <w:hideMark/>
          </w:tcPr>
          <w:p w14:paraId="585F57C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2020</w:t>
            </w:r>
          </w:p>
        </w:tc>
        <w:tc>
          <w:tcPr>
            <w:tcW w:w="2271" w:type="dxa"/>
            <w:hideMark/>
          </w:tcPr>
          <w:p w14:paraId="5CB79FF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700</w:t>
            </w:r>
          </w:p>
        </w:tc>
        <w:tc>
          <w:tcPr>
            <w:tcW w:w="3568" w:type="dxa"/>
            <w:hideMark/>
          </w:tcPr>
          <w:p w14:paraId="0B81DBA5"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7.7</w:t>
            </w:r>
          </w:p>
        </w:tc>
      </w:tr>
      <w:tr w:rsidR="00364EB1" w:rsidRPr="00364EB1" w14:paraId="6650D1C0" w14:textId="77777777" w:rsidTr="00364EB1">
        <w:trPr>
          <w:trHeight w:val="265"/>
        </w:trPr>
        <w:tc>
          <w:tcPr>
            <w:tcW w:w="1211" w:type="dxa"/>
            <w:hideMark/>
          </w:tcPr>
          <w:p w14:paraId="55E5BFB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2021</w:t>
            </w:r>
          </w:p>
        </w:tc>
        <w:tc>
          <w:tcPr>
            <w:tcW w:w="2271" w:type="dxa"/>
            <w:hideMark/>
          </w:tcPr>
          <w:p w14:paraId="69F9D315"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750</w:t>
            </w:r>
          </w:p>
        </w:tc>
        <w:tc>
          <w:tcPr>
            <w:tcW w:w="3568" w:type="dxa"/>
            <w:hideMark/>
          </w:tcPr>
          <w:p w14:paraId="3023BE85"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7.1</w:t>
            </w:r>
          </w:p>
        </w:tc>
      </w:tr>
      <w:tr w:rsidR="00364EB1" w:rsidRPr="00364EB1" w14:paraId="02671712" w14:textId="77777777" w:rsidTr="00364EB1">
        <w:trPr>
          <w:trHeight w:val="265"/>
        </w:trPr>
        <w:tc>
          <w:tcPr>
            <w:tcW w:w="1211" w:type="dxa"/>
            <w:hideMark/>
          </w:tcPr>
          <w:p w14:paraId="458B9FF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2022</w:t>
            </w:r>
          </w:p>
        </w:tc>
        <w:tc>
          <w:tcPr>
            <w:tcW w:w="2271" w:type="dxa"/>
            <w:hideMark/>
          </w:tcPr>
          <w:p w14:paraId="1885CD0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800</w:t>
            </w:r>
          </w:p>
        </w:tc>
        <w:tc>
          <w:tcPr>
            <w:tcW w:w="3568" w:type="dxa"/>
            <w:hideMark/>
          </w:tcPr>
          <w:p w14:paraId="60178C1D"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6.7</w:t>
            </w:r>
          </w:p>
        </w:tc>
      </w:tr>
      <w:tr w:rsidR="00364EB1" w:rsidRPr="00364EB1" w14:paraId="0D93BA2D" w14:textId="77777777" w:rsidTr="00364EB1">
        <w:trPr>
          <w:trHeight w:val="265"/>
        </w:trPr>
        <w:tc>
          <w:tcPr>
            <w:tcW w:w="1211" w:type="dxa"/>
            <w:hideMark/>
          </w:tcPr>
          <w:p w14:paraId="47ECBB8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2023</w:t>
            </w:r>
          </w:p>
        </w:tc>
        <w:tc>
          <w:tcPr>
            <w:tcW w:w="2271" w:type="dxa"/>
            <w:hideMark/>
          </w:tcPr>
          <w:p w14:paraId="5FE3B191"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850</w:t>
            </w:r>
          </w:p>
        </w:tc>
        <w:tc>
          <w:tcPr>
            <w:tcW w:w="3568" w:type="dxa"/>
            <w:hideMark/>
          </w:tcPr>
          <w:p w14:paraId="3D1FF20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6.3</w:t>
            </w:r>
          </w:p>
        </w:tc>
      </w:tr>
    </w:tbl>
    <w:p w14:paraId="2C2CA9B1" w14:textId="77777777" w:rsidR="007665EA" w:rsidRDefault="007665EA" w:rsidP="007665EA"/>
    <w:p w14:paraId="3305C39D" w14:textId="77777777" w:rsidR="00364EB1" w:rsidRPr="00364EB1" w:rsidRDefault="00364EB1" w:rsidP="00364EB1">
      <w:pPr>
        <w:rPr>
          <w:sz w:val="24"/>
          <w:szCs w:val="24"/>
        </w:rPr>
      </w:pPr>
      <w:r w:rsidRPr="00364EB1">
        <w:rPr>
          <w:sz w:val="24"/>
          <w:szCs w:val="24"/>
        </w:rPr>
        <w:t>This table presents data on the number of Suspicious Activity Reports (SARs) filed in the US banking system from 2015 to 2023, along with the percentage increase or decrease compared to the previous year. Here's how to interpret the table:</w:t>
      </w:r>
    </w:p>
    <w:p w14:paraId="7F2E3AB8" w14:textId="77777777" w:rsidR="00364EB1" w:rsidRPr="00364EB1" w:rsidRDefault="00364EB1" w:rsidP="00364EB1">
      <w:pPr>
        <w:rPr>
          <w:sz w:val="24"/>
          <w:szCs w:val="24"/>
        </w:rPr>
      </w:pPr>
      <w:r w:rsidRPr="00364EB1">
        <w:rPr>
          <w:b/>
          <w:bCs/>
          <w:sz w:val="24"/>
          <w:szCs w:val="24"/>
        </w:rPr>
        <w:t>Year</w:t>
      </w:r>
      <w:r w:rsidRPr="00364EB1">
        <w:rPr>
          <w:sz w:val="24"/>
          <w:szCs w:val="24"/>
        </w:rPr>
        <w:t>: This column represents the years from 2015 to 2023.</w:t>
      </w:r>
    </w:p>
    <w:p w14:paraId="2B8F9922" w14:textId="77777777" w:rsidR="00364EB1" w:rsidRPr="00364EB1" w:rsidRDefault="00364EB1" w:rsidP="00364EB1">
      <w:pPr>
        <w:rPr>
          <w:sz w:val="24"/>
          <w:szCs w:val="24"/>
        </w:rPr>
      </w:pPr>
      <w:r w:rsidRPr="00364EB1">
        <w:rPr>
          <w:b/>
          <w:bCs/>
          <w:sz w:val="24"/>
          <w:szCs w:val="24"/>
        </w:rPr>
        <w:t>Number of SARs Filed (in thousands)</w:t>
      </w:r>
      <w:r w:rsidRPr="00364EB1">
        <w:rPr>
          <w:sz w:val="24"/>
          <w:szCs w:val="24"/>
        </w:rPr>
        <w:t>: This column indicates the total number of SARs filed by financial institutions for suspicious activities in each respective year. The numbers are presented in thousands.</w:t>
      </w:r>
    </w:p>
    <w:p w14:paraId="3EF28398" w14:textId="77777777" w:rsidR="00364EB1" w:rsidRPr="00364EB1" w:rsidRDefault="00364EB1" w:rsidP="00364EB1">
      <w:pPr>
        <w:rPr>
          <w:sz w:val="24"/>
          <w:szCs w:val="24"/>
        </w:rPr>
      </w:pPr>
      <w:r w:rsidRPr="00364EB1">
        <w:rPr>
          <w:b/>
          <w:bCs/>
          <w:sz w:val="24"/>
          <w:szCs w:val="24"/>
        </w:rPr>
        <w:t>Percentage Increase/Decrease (%)</w:t>
      </w:r>
      <w:r w:rsidRPr="00364EB1">
        <w:rPr>
          <w:sz w:val="24"/>
          <w:szCs w:val="24"/>
        </w:rPr>
        <w:t>: This column shows the percentage change in the number of SARs filed compared to the previous year. A positive percentage indicates an increase, while a negative percentage indicates a decrease.</w:t>
      </w:r>
    </w:p>
    <w:p w14:paraId="78AF3AAD" w14:textId="77777777" w:rsidR="00364EB1" w:rsidRPr="00364EB1" w:rsidRDefault="00364EB1" w:rsidP="00364EB1">
      <w:pPr>
        <w:rPr>
          <w:sz w:val="24"/>
          <w:szCs w:val="24"/>
        </w:rPr>
      </w:pPr>
      <w:r w:rsidRPr="00364EB1">
        <w:rPr>
          <w:sz w:val="24"/>
          <w:szCs w:val="24"/>
        </w:rPr>
        <w:t>For example:</w:t>
      </w:r>
    </w:p>
    <w:p w14:paraId="756B0497" w14:textId="77777777" w:rsidR="00364EB1" w:rsidRPr="00364EB1" w:rsidRDefault="00364EB1" w:rsidP="00364EB1">
      <w:pPr>
        <w:numPr>
          <w:ilvl w:val="0"/>
          <w:numId w:val="14"/>
        </w:numPr>
        <w:rPr>
          <w:sz w:val="24"/>
          <w:szCs w:val="24"/>
        </w:rPr>
      </w:pPr>
      <w:r w:rsidRPr="00364EB1">
        <w:rPr>
          <w:sz w:val="24"/>
          <w:szCs w:val="24"/>
        </w:rPr>
        <w:t>In 2015, there were 500,000 SARs filed.</w:t>
      </w:r>
    </w:p>
    <w:p w14:paraId="259C1DE7" w14:textId="77777777" w:rsidR="00364EB1" w:rsidRPr="00364EB1" w:rsidRDefault="00364EB1" w:rsidP="00364EB1">
      <w:pPr>
        <w:numPr>
          <w:ilvl w:val="0"/>
          <w:numId w:val="14"/>
        </w:numPr>
        <w:rPr>
          <w:sz w:val="24"/>
          <w:szCs w:val="24"/>
        </w:rPr>
      </w:pPr>
      <w:r w:rsidRPr="00364EB1">
        <w:rPr>
          <w:sz w:val="24"/>
          <w:szCs w:val="24"/>
        </w:rPr>
        <w:t xml:space="preserve">In 2016, the number of SARs filed increased by 5% compared to the previous year, </w:t>
      </w:r>
      <w:proofErr w:type="spellStart"/>
      <w:r w:rsidRPr="00364EB1">
        <w:rPr>
          <w:sz w:val="24"/>
          <w:szCs w:val="24"/>
        </w:rPr>
        <w:t>totaling</w:t>
      </w:r>
      <w:proofErr w:type="spellEnd"/>
      <w:r w:rsidRPr="00364EB1">
        <w:rPr>
          <w:sz w:val="24"/>
          <w:szCs w:val="24"/>
        </w:rPr>
        <w:t xml:space="preserve"> 525,000 SARs.</w:t>
      </w:r>
    </w:p>
    <w:p w14:paraId="7133E2EF" w14:textId="77777777" w:rsidR="00364EB1" w:rsidRPr="00364EB1" w:rsidRDefault="00364EB1" w:rsidP="00364EB1">
      <w:pPr>
        <w:numPr>
          <w:ilvl w:val="0"/>
          <w:numId w:val="14"/>
        </w:numPr>
        <w:rPr>
          <w:sz w:val="24"/>
          <w:szCs w:val="24"/>
        </w:rPr>
      </w:pPr>
      <w:r w:rsidRPr="00364EB1">
        <w:rPr>
          <w:sz w:val="24"/>
          <w:szCs w:val="24"/>
        </w:rPr>
        <w:t>In 2018, there was a significant increase of 9.1% in the number of SARs filed compared to 2017, reaching 600,000 SARs.</w:t>
      </w:r>
    </w:p>
    <w:p w14:paraId="6E95D79E" w14:textId="77777777" w:rsidR="00364EB1" w:rsidRPr="00364EB1" w:rsidRDefault="00364EB1" w:rsidP="00364EB1">
      <w:pPr>
        <w:rPr>
          <w:sz w:val="24"/>
          <w:szCs w:val="24"/>
        </w:rPr>
      </w:pPr>
      <w:r w:rsidRPr="00364EB1">
        <w:rPr>
          <w:sz w:val="24"/>
          <w:szCs w:val="24"/>
        </w:rPr>
        <w:t>Overall, the table illustrates the trend of SARs filed over the specified period, providing insights into the detection and reporting of suspicious activities within the US banking system</w:t>
      </w:r>
    </w:p>
    <w:p w14:paraId="0B373818" w14:textId="77777777" w:rsidR="00364EB1" w:rsidRDefault="00364EB1" w:rsidP="007665EA"/>
    <w:p w14:paraId="769B650D" w14:textId="77777777" w:rsidR="00364EB1" w:rsidRDefault="00364EB1" w:rsidP="007665EA"/>
    <w:p w14:paraId="5D511F14" w14:textId="77777777" w:rsidR="00364EB1" w:rsidRDefault="00364EB1" w:rsidP="007665EA"/>
    <w:p w14:paraId="188AF0B6" w14:textId="77777777" w:rsidR="00364EB1" w:rsidRDefault="00364EB1" w:rsidP="007665EA"/>
    <w:p w14:paraId="77CA59DC" w14:textId="77777777" w:rsidR="00364EB1" w:rsidRDefault="00364EB1" w:rsidP="007665EA"/>
    <w:p w14:paraId="2B6250C9" w14:textId="77777777" w:rsidR="00364EB1" w:rsidRPr="00364EB1" w:rsidRDefault="00364EB1" w:rsidP="00364EB1">
      <w:pPr>
        <w:pStyle w:val="Heading2"/>
        <w:rPr>
          <w:rFonts w:eastAsia="Times New Roman"/>
          <w:lang w:eastAsia="en-IN"/>
        </w:rPr>
      </w:pPr>
      <w:r w:rsidRPr="00364EB1">
        <w:rPr>
          <w:rFonts w:eastAsia="Times New Roman"/>
          <w:lang w:eastAsia="en-IN"/>
        </w:rPr>
        <w:lastRenderedPageBreak/>
        <w:t>Percentage of Banks Using Advanced KYC Technologies (2015-2023)</w:t>
      </w:r>
    </w:p>
    <w:tbl>
      <w:tblPr>
        <w:tblStyle w:val="TableGrid"/>
        <w:tblW w:w="5744" w:type="dxa"/>
        <w:tblLook w:val="04A0" w:firstRow="1" w:lastRow="0" w:firstColumn="1" w:lastColumn="0" w:noHBand="0" w:noVBand="1"/>
      </w:tblPr>
      <w:tblGrid>
        <w:gridCol w:w="1204"/>
        <w:gridCol w:w="2270"/>
        <w:gridCol w:w="2270"/>
      </w:tblGrid>
      <w:tr w:rsidR="00364EB1" w:rsidRPr="00364EB1" w14:paraId="5C46A01F" w14:textId="77777777" w:rsidTr="00364EB1">
        <w:trPr>
          <w:trHeight w:val="905"/>
        </w:trPr>
        <w:tc>
          <w:tcPr>
            <w:tcW w:w="1204" w:type="dxa"/>
            <w:hideMark/>
          </w:tcPr>
          <w:p w14:paraId="215A458C"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Year</w:t>
            </w:r>
          </w:p>
        </w:tc>
        <w:tc>
          <w:tcPr>
            <w:tcW w:w="2270" w:type="dxa"/>
            <w:hideMark/>
          </w:tcPr>
          <w:p w14:paraId="1F2ACB2D"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Percentage of Banks Using AI and Machine Learning (%)</w:t>
            </w:r>
          </w:p>
        </w:tc>
        <w:tc>
          <w:tcPr>
            <w:tcW w:w="2270" w:type="dxa"/>
            <w:hideMark/>
          </w:tcPr>
          <w:p w14:paraId="47C1437B"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Percentage of Banks Using Blockchain (%)</w:t>
            </w:r>
          </w:p>
        </w:tc>
      </w:tr>
      <w:tr w:rsidR="00364EB1" w:rsidRPr="00364EB1" w14:paraId="58F2300D" w14:textId="77777777" w:rsidTr="00364EB1">
        <w:trPr>
          <w:trHeight w:val="251"/>
        </w:trPr>
        <w:tc>
          <w:tcPr>
            <w:tcW w:w="1204" w:type="dxa"/>
            <w:hideMark/>
          </w:tcPr>
          <w:p w14:paraId="1C79A85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2015</w:t>
            </w:r>
          </w:p>
        </w:tc>
        <w:tc>
          <w:tcPr>
            <w:tcW w:w="2270" w:type="dxa"/>
            <w:hideMark/>
          </w:tcPr>
          <w:p w14:paraId="023B0A37"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10</w:t>
            </w:r>
          </w:p>
        </w:tc>
        <w:tc>
          <w:tcPr>
            <w:tcW w:w="2270" w:type="dxa"/>
            <w:hideMark/>
          </w:tcPr>
          <w:p w14:paraId="2E038AD7"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w:t>
            </w:r>
          </w:p>
        </w:tc>
      </w:tr>
      <w:tr w:rsidR="00364EB1" w:rsidRPr="00364EB1" w14:paraId="740F8454" w14:textId="77777777" w:rsidTr="00364EB1">
        <w:trPr>
          <w:trHeight w:val="251"/>
        </w:trPr>
        <w:tc>
          <w:tcPr>
            <w:tcW w:w="1204" w:type="dxa"/>
            <w:hideMark/>
          </w:tcPr>
          <w:p w14:paraId="5E2A3A5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2016</w:t>
            </w:r>
          </w:p>
        </w:tc>
        <w:tc>
          <w:tcPr>
            <w:tcW w:w="2270" w:type="dxa"/>
            <w:hideMark/>
          </w:tcPr>
          <w:p w14:paraId="150BF5DE"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15</w:t>
            </w:r>
          </w:p>
        </w:tc>
        <w:tc>
          <w:tcPr>
            <w:tcW w:w="2270" w:type="dxa"/>
            <w:hideMark/>
          </w:tcPr>
          <w:p w14:paraId="06E4013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w:t>
            </w:r>
          </w:p>
        </w:tc>
      </w:tr>
      <w:tr w:rsidR="00364EB1" w:rsidRPr="00364EB1" w14:paraId="1687BB6B" w14:textId="77777777" w:rsidTr="00364EB1">
        <w:trPr>
          <w:trHeight w:val="251"/>
        </w:trPr>
        <w:tc>
          <w:tcPr>
            <w:tcW w:w="1204" w:type="dxa"/>
            <w:hideMark/>
          </w:tcPr>
          <w:p w14:paraId="1254733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2017</w:t>
            </w:r>
          </w:p>
        </w:tc>
        <w:tc>
          <w:tcPr>
            <w:tcW w:w="2270" w:type="dxa"/>
            <w:hideMark/>
          </w:tcPr>
          <w:p w14:paraId="4CD3EF33"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w:t>
            </w:r>
          </w:p>
        </w:tc>
        <w:tc>
          <w:tcPr>
            <w:tcW w:w="2270" w:type="dxa"/>
            <w:hideMark/>
          </w:tcPr>
          <w:p w14:paraId="798C4D8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10</w:t>
            </w:r>
          </w:p>
        </w:tc>
      </w:tr>
      <w:tr w:rsidR="00364EB1" w:rsidRPr="00364EB1" w14:paraId="32DB0CBF" w14:textId="77777777" w:rsidTr="00364EB1">
        <w:trPr>
          <w:trHeight w:val="251"/>
        </w:trPr>
        <w:tc>
          <w:tcPr>
            <w:tcW w:w="1204" w:type="dxa"/>
            <w:hideMark/>
          </w:tcPr>
          <w:p w14:paraId="702DBD54"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2018</w:t>
            </w:r>
          </w:p>
        </w:tc>
        <w:tc>
          <w:tcPr>
            <w:tcW w:w="2270" w:type="dxa"/>
            <w:hideMark/>
          </w:tcPr>
          <w:p w14:paraId="25C527F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25</w:t>
            </w:r>
          </w:p>
        </w:tc>
        <w:tc>
          <w:tcPr>
            <w:tcW w:w="2270" w:type="dxa"/>
            <w:hideMark/>
          </w:tcPr>
          <w:p w14:paraId="179B10AA"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15</w:t>
            </w:r>
          </w:p>
        </w:tc>
      </w:tr>
      <w:tr w:rsidR="00364EB1" w:rsidRPr="00364EB1" w14:paraId="028E5612" w14:textId="77777777" w:rsidTr="00364EB1">
        <w:trPr>
          <w:trHeight w:val="251"/>
        </w:trPr>
        <w:tc>
          <w:tcPr>
            <w:tcW w:w="1204" w:type="dxa"/>
            <w:hideMark/>
          </w:tcPr>
          <w:p w14:paraId="1884BDB3"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2019</w:t>
            </w:r>
          </w:p>
        </w:tc>
        <w:tc>
          <w:tcPr>
            <w:tcW w:w="2270" w:type="dxa"/>
            <w:hideMark/>
          </w:tcPr>
          <w:p w14:paraId="376E4C5A"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30</w:t>
            </w:r>
          </w:p>
        </w:tc>
        <w:tc>
          <w:tcPr>
            <w:tcW w:w="2270" w:type="dxa"/>
            <w:hideMark/>
          </w:tcPr>
          <w:p w14:paraId="1D73E7B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w:t>
            </w:r>
          </w:p>
        </w:tc>
      </w:tr>
      <w:tr w:rsidR="00364EB1" w:rsidRPr="00364EB1" w14:paraId="33DAEFC2" w14:textId="77777777" w:rsidTr="00364EB1">
        <w:trPr>
          <w:trHeight w:val="251"/>
        </w:trPr>
        <w:tc>
          <w:tcPr>
            <w:tcW w:w="1204" w:type="dxa"/>
            <w:hideMark/>
          </w:tcPr>
          <w:p w14:paraId="29888F3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2020</w:t>
            </w:r>
          </w:p>
        </w:tc>
        <w:tc>
          <w:tcPr>
            <w:tcW w:w="2270" w:type="dxa"/>
            <w:hideMark/>
          </w:tcPr>
          <w:p w14:paraId="76E9E314"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40</w:t>
            </w:r>
          </w:p>
        </w:tc>
        <w:tc>
          <w:tcPr>
            <w:tcW w:w="2270" w:type="dxa"/>
            <w:hideMark/>
          </w:tcPr>
          <w:p w14:paraId="05B9616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25</w:t>
            </w:r>
          </w:p>
        </w:tc>
      </w:tr>
      <w:tr w:rsidR="00364EB1" w:rsidRPr="00364EB1" w14:paraId="6FA3DFFF" w14:textId="77777777" w:rsidTr="00364EB1">
        <w:trPr>
          <w:trHeight w:val="251"/>
        </w:trPr>
        <w:tc>
          <w:tcPr>
            <w:tcW w:w="1204" w:type="dxa"/>
            <w:hideMark/>
          </w:tcPr>
          <w:p w14:paraId="712CAD8E"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2021</w:t>
            </w:r>
          </w:p>
        </w:tc>
        <w:tc>
          <w:tcPr>
            <w:tcW w:w="2270" w:type="dxa"/>
            <w:hideMark/>
          </w:tcPr>
          <w:p w14:paraId="5A0B16B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50</w:t>
            </w:r>
          </w:p>
        </w:tc>
        <w:tc>
          <w:tcPr>
            <w:tcW w:w="2270" w:type="dxa"/>
            <w:hideMark/>
          </w:tcPr>
          <w:p w14:paraId="76748875"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30</w:t>
            </w:r>
          </w:p>
        </w:tc>
      </w:tr>
      <w:tr w:rsidR="00364EB1" w:rsidRPr="00364EB1" w14:paraId="4C5253F1" w14:textId="77777777" w:rsidTr="00364EB1">
        <w:trPr>
          <w:trHeight w:val="251"/>
        </w:trPr>
        <w:tc>
          <w:tcPr>
            <w:tcW w:w="1204" w:type="dxa"/>
            <w:hideMark/>
          </w:tcPr>
          <w:p w14:paraId="7CD51E43"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2022</w:t>
            </w:r>
          </w:p>
        </w:tc>
        <w:tc>
          <w:tcPr>
            <w:tcW w:w="2270" w:type="dxa"/>
            <w:hideMark/>
          </w:tcPr>
          <w:p w14:paraId="16F6EE7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60</w:t>
            </w:r>
          </w:p>
        </w:tc>
        <w:tc>
          <w:tcPr>
            <w:tcW w:w="2270" w:type="dxa"/>
            <w:hideMark/>
          </w:tcPr>
          <w:p w14:paraId="1A2659DE"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35</w:t>
            </w:r>
          </w:p>
        </w:tc>
      </w:tr>
      <w:tr w:rsidR="00364EB1" w:rsidRPr="00364EB1" w14:paraId="1BB9B467" w14:textId="77777777" w:rsidTr="00364EB1">
        <w:trPr>
          <w:trHeight w:val="251"/>
        </w:trPr>
        <w:tc>
          <w:tcPr>
            <w:tcW w:w="1204" w:type="dxa"/>
            <w:hideMark/>
          </w:tcPr>
          <w:p w14:paraId="0D6B2A8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2023</w:t>
            </w:r>
          </w:p>
        </w:tc>
        <w:tc>
          <w:tcPr>
            <w:tcW w:w="2270" w:type="dxa"/>
            <w:hideMark/>
          </w:tcPr>
          <w:p w14:paraId="634B5F0C"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70</w:t>
            </w:r>
          </w:p>
        </w:tc>
        <w:tc>
          <w:tcPr>
            <w:tcW w:w="2270" w:type="dxa"/>
            <w:hideMark/>
          </w:tcPr>
          <w:p w14:paraId="5D8A3FAD"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40</w:t>
            </w:r>
          </w:p>
        </w:tc>
      </w:tr>
    </w:tbl>
    <w:p w14:paraId="25CABAB7" w14:textId="77777777" w:rsidR="00364EB1" w:rsidRDefault="00364EB1" w:rsidP="007665EA"/>
    <w:p w14:paraId="61389825" w14:textId="19F0DA9B" w:rsidR="00364EB1" w:rsidRPr="007665EA" w:rsidRDefault="00364EB1" w:rsidP="007665EA">
      <w:r>
        <w:rPr>
          <w:noProof/>
        </w:rPr>
        <w:drawing>
          <wp:inline distT="0" distB="0" distL="0" distR="0" wp14:anchorId="47FF269A" wp14:editId="70F9FED9">
            <wp:extent cx="4933950" cy="2978150"/>
            <wp:effectExtent l="0" t="0" r="0" b="12700"/>
            <wp:docPr id="1448116546" name="Chart 1">
              <a:extLst xmlns:a="http://schemas.openxmlformats.org/drawingml/2006/main">
                <a:ext uri="{FF2B5EF4-FFF2-40B4-BE49-F238E27FC236}">
                  <a16:creationId xmlns:a16="http://schemas.microsoft.com/office/drawing/2014/main" id="{E55EE668-95D5-FE32-B348-90DA982C5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57B7A5" w14:textId="77777777" w:rsidR="00364EB1" w:rsidRPr="00364EB1" w:rsidRDefault="00364EB1" w:rsidP="00364EB1">
      <w:pPr>
        <w:rPr>
          <w:sz w:val="24"/>
          <w:szCs w:val="24"/>
        </w:rPr>
      </w:pPr>
      <w:r w:rsidRPr="00364EB1">
        <w:rPr>
          <w:sz w:val="24"/>
          <w:szCs w:val="24"/>
        </w:rPr>
        <w:t>This table provides data on the percentage of banks in the US utilizing advanced KYC (Know Your Customer) technologies, specifically AI (Artificial Intelligence) and machine learning, as well as blockchain, from 2015 to 2023. Here's how to interpret the table:</w:t>
      </w:r>
    </w:p>
    <w:p w14:paraId="5A2D0D21" w14:textId="77777777" w:rsidR="00364EB1" w:rsidRPr="00364EB1" w:rsidRDefault="00364EB1" w:rsidP="00364EB1">
      <w:pPr>
        <w:rPr>
          <w:sz w:val="24"/>
          <w:szCs w:val="24"/>
        </w:rPr>
      </w:pPr>
      <w:r w:rsidRPr="00364EB1">
        <w:rPr>
          <w:b/>
          <w:bCs/>
          <w:sz w:val="24"/>
          <w:szCs w:val="24"/>
        </w:rPr>
        <w:t>Year</w:t>
      </w:r>
      <w:r w:rsidRPr="00364EB1">
        <w:rPr>
          <w:sz w:val="24"/>
          <w:szCs w:val="24"/>
        </w:rPr>
        <w:t>: This column represents the years from 2015 to 2023.</w:t>
      </w:r>
    </w:p>
    <w:p w14:paraId="0D5DA32D" w14:textId="77777777" w:rsidR="00364EB1" w:rsidRPr="00364EB1" w:rsidRDefault="00364EB1" w:rsidP="00364EB1">
      <w:pPr>
        <w:rPr>
          <w:sz w:val="24"/>
          <w:szCs w:val="24"/>
        </w:rPr>
      </w:pPr>
      <w:r w:rsidRPr="00364EB1">
        <w:rPr>
          <w:b/>
          <w:bCs/>
          <w:sz w:val="24"/>
          <w:szCs w:val="24"/>
        </w:rPr>
        <w:t>Percentage of Banks Using AI and Machine Learning (%)</w:t>
      </w:r>
      <w:r w:rsidRPr="00364EB1">
        <w:rPr>
          <w:sz w:val="24"/>
          <w:szCs w:val="24"/>
        </w:rPr>
        <w:t>: This column indicates the percentage of banks that have implemented AI and machine learning technologies as part of their KYC processes. These technologies are used for tasks such as identity verification, transaction monitoring, and risk assessment.</w:t>
      </w:r>
    </w:p>
    <w:p w14:paraId="5C49B64F" w14:textId="77777777" w:rsidR="00364EB1" w:rsidRPr="00364EB1" w:rsidRDefault="00364EB1" w:rsidP="00364EB1">
      <w:pPr>
        <w:rPr>
          <w:sz w:val="24"/>
          <w:szCs w:val="24"/>
        </w:rPr>
      </w:pPr>
      <w:r w:rsidRPr="00364EB1">
        <w:rPr>
          <w:b/>
          <w:bCs/>
          <w:sz w:val="24"/>
          <w:szCs w:val="24"/>
        </w:rPr>
        <w:t>Percentage of Banks Using Blockchain (%)</w:t>
      </w:r>
      <w:r w:rsidRPr="00364EB1">
        <w:rPr>
          <w:sz w:val="24"/>
          <w:szCs w:val="24"/>
        </w:rPr>
        <w:t>: This column shows the percentage of banks that have adopted blockchain technology for KYC purposes. Blockchain can provide secure and immutable records of customer identities, enhancing transparency and data integrity in KYC processes.</w:t>
      </w:r>
    </w:p>
    <w:p w14:paraId="12E3E10C" w14:textId="77777777" w:rsidR="00364EB1" w:rsidRPr="00364EB1" w:rsidRDefault="00364EB1" w:rsidP="00364EB1">
      <w:pPr>
        <w:rPr>
          <w:sz w:val="24"/>
          <w:szCs w:val="24"/>
        </w:rPr>
      </w:pPr>
      <w:r w:rsidRPr="00364EB1">
        <w:rPr>
          <w:sz w:val="24"/>
          <w:szCs w:val="24"/>
        </w:rPr>
        <w:lastRenderedPageBreak/>
        <w:t>For example:</w:t>
      </w:r>
    </w:p>
    <w:p w14:paraId="4B3D55DC" w14:textId="77777777" w:rsidR="00364EB1" w:rsidRPr="00364EB1" w:rsidRDefault="00364EB1" w:rsidP="00364EB1">
      <w:pPr>
        <w:numPr>
          <w:ilvl w:val="0"/>
          <w:numId w:val="15"/>
        </w:numPr>
        <w:rPr>
          <w:sz w:val="24"/>
          <w:szCs w:val="24"/>
        </w:rPr>
      </w:pPr>
      <w:r w:rsidRPr="00364EB1">
        <w:rPr>
          <w:sz w:val="24"/>
          <w:szCs w:val="24"/>
        </w:rPr>
        <w:t>In 2015, 10% of banks were using AI and machine learning, while 5% were utilizing blockchain for KYC.</w:t>
      </w:r>
    </w:p>
    <w:p w14:paraId="0B13C439" w14:textId="77777777" w:rsidR="00364EB1" w:rsidRPr="00364EB1" w:rsidRDefault="00364EB1" w:rsidP="00364EB1">
      <w:pPr>
        <w:numPr>
          <w:ilvl w:val="0"/>
          <w:numId w:val="15"/>
        </w:numPr>
        <w:rPr>
          <w:sz w:val="24"/>
          <w:szCs w:val="24"/>
        </w:rPr>
      </w:pPr>
      <w:r w:rsidRPr="00364EB1">
        <w:rPr>
          <w:sz w:val="24"/>
          <w:szCs w:val="24"/>
        </w:rPr>
        <w:t>By 2023, the adoption of advanced KYC technologies had increased significantly, with 70% of banks using AI and machine learning, and 40% employing blockchain.</w:t>
      </w:r>
    </w:p>
    <w:p w14:paraId="105B7662" w14:textId="77777777" w:rsidR="00364EB1" w:rsidRPr="00364EB1" w:rsidRDefault="00364EB1" w:rsidP="00364EB1">
      <w:pPr>
        <w:rPr>
          <w:sz w:val="24"/>
          <w:szCs w:val="24"/>
        </w:rPr>
      </w:pPr>
      <w:r w:rsidRPr="00364EB1">
        <w:rPr>
          <w:sz w:val="24"/>
          <w:szCs w:val="24"/>
        </w:rPr>
        <w:t>Overall, the table illustrates the growing adoption of advanced technologies in KYC processes within the US banking sector over the specified period, reflecting the industry's efforts to enhance efficiency, accuracy, and security in customer identification and verification processes.</w:t>
      </w:r>
    </w:p>
    <w:p w14:paraId="53739E0A" w14:textId="77777777" w:rsidR="00364EB1" w:rsidRPr="00364EB1" w:rsidRDefault="00364EB1" w:rsidP="00364EB1">
      <w:pPr>
        <w:pStyle w:val="Heading2"/>
        <w:rPr>
          <w:rFonts w:eastAsia="Times New Roman"/>
          <w:lang w:eastAsia="en-IN"/>
        </w:rPr>
      </w:pPr>
      <w:r w:rsidRPr="00364EB1">
        <w:rPr>
          <w:rFonts w:eastAsia="Times New Roman"/>
          <w:lang w:eastAsia="en-IN"/>
        </w:rPr>
        <w:t>KYC-Related Employment in the Banking Sector (2015-2023)</w:t>
      </w:r>
    </w:p>
    <w:tbl>
      <w:tblPr>
        <w:tblStyle w:val="TableGrid"/>
        <w:tblW w:w="6238" w:type="dxa"/>
        <w:tblLook w:val="04A0" w:firstRow="1" w:lastRow="0" w:firstColumn="1" w:lastColumn="0" w:noHBand="0" w:noVBand="1"/>
      </w:tblPr>
      <w:tblGrid>
        <w:gridCol w:w="1310"/>
        <w:gridCol w:w="2457"/>
        <w:gridCol w:w="2471"/>
      </w:tblGrid>
      <w:tr w:rsidR="00364EB1" w:rsidRPr="00364EB1" w14:paraId="6A0C05CE" w14:textId="77777777" w:rsidTr="00364EB1">
        <w:trPr>
          <w:trHeight w:val="542"/>
        </w:trPr>
        <w:tc>
          <w:tcPr>
            <w:tcW w:w="1310" w:type="dxa"/>
            <w:hideMark/>
          </w:tcPr>
          <w:p w14:paraId="78A8B49D"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Year</w:t>
            </w:r>
          </w:p>
        </w:tc>
        <w:tc>
          <w:tcPr>
            <w:tcW w:w="2457" w:type="dxa"/>
            <w:hideMark/>
          </w:tcPr>
          <w:p w14:paraId="7B25EA7C"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Total KYC-Related Jobs (in thousands)</w:t>
            </w:r>
          </w:p>
        </w:tc>
        <w:tc>
          <w:tcPr>
            <w:tcW w:w="2471" w:type="dxa"/>
            <w:hideMark/>
          </w:tcPr>
          <w:p w14:paraId="78A19632" w14:textId="77777777" w:rsidR="00364EB1" w:rsidRPr="00364EB1" w:rsidRDefault="00364EB1" w:rsidP="00364EB1">
            <w:pPr>
              <w:jc w:val="center"/>
              <w:rPr>
                <w:rFonts w:ascii="Aptos Narrow" w:eastAsia="Times New Roman" w:hAnsi="Aptos Narrow" w:cs="Times New Roman"/>
                <w:b/>
                <w:bCs/>
                <w:color w:val="000000"/>
                <w:kern w:val="0"/>
                <w:lang w:eastAsia="en-IN"/>
                <w14:ligatures w14:val="none"/>
              </w:rPr>
            </w:pPr>
            <w:r w:rsidRPr="00364EB1">
              <w:rPr>
                <w:rFonts w:ascii="Aptos Narrow" w:eastAsia="Times New Roman" w:hAnsi="Aptos Narrow" w:cs="Times New Roman"/>
                <w:b/>
                <w:bCs/>
                <w:color w:val="000000"/>
                <w:kern w:val="0"/>
                <w:lang w:eastAsia="en-IN"/>
                <w14:ligatures w14:val="none"/>
              </w:rPr>
              <w:t>Percentage of Total Banking Jobs (%)</w:t>
            </w:r>
          </w:p>
        </w:tc>
      </w:tr>
      <w:tr w:rsidR="00364EB1" w:rsidRPr="00364EB1" w14:paraId="57DD7A23" w14:textId="77777777" w:rsidTr="00364EB1">
        <w:trPr>
          <w:trHeight w:val="170"/>
        </w:trPr>
        <w:tc>
          <w:tcPr>
            <w:tcW w:w="1310" w:type="dxa"/>
            <w:hideMark/>
          </w:tcPr>
          <w:p w14:paraId="6A47A399"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2015</w:t>
            </w:r>
          </w:p>
        </w:tc>
        <w:tc>
          <w:tcPr>
            <w:tcW w:w="2457" w:type="dxa"/>
            <w:hideMark/>
          </w:tcPr>
          <w:p w14:paraId="595C16C6"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50</w:t>
            </w:r>
          </w:p>
        </w:tc>
        <w:tc>
          <w:tcPr>
            <w:tcW w:w="2471" w:type="dxa"/>
            <w:hideMark/>
          </w:tcPr>
          <w:p w14:paraId="3CE27CE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w:t>
            </w:r>
          </w:p>
        </w:tc>
      </w:tr>
      <w:tr w:rsidR="00364EB1" w:rsidRPr="00364EB1" w14:paraId="23FA92FE" w14:textId="77777777" w:rsidTr="00364EB1">
        <w:trPr>
          <w:trHeight w:val="170"/>
        </w:trPr>
        <w:tc>
          <w:tcPr>
            <w:tcW w:w="1310" w:type="dxa"/>
            <w:hideMark/>
          </w:tcPr>
          <w:p w14:paraId="66A3659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2016</w:t>
            </w:r>
          </w:p>
        </w:tc>
        <w:tc>
          <w:tcPr>
            <w:tcW w:w="2457" w:type="dxa"/>
            <w:hideMark/>
          </w:tcPr>
          <w:p w14:paraId="257DE3CC"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55</w:t>
            </w:r>
          </w:p>
        </w:tc>
        <w:tc>
          <w:tcPr>
            <w:tcW w:w="2471" w:type="dxa"/>
            <w:hideMark/>
          </w:tcPr>
          <w:p w14:paraId="6998BF94"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2.2</w:t>
            </w:r>
          </w:p>
        </w:tc>
      </w:tr>
      <w:tr w:rsidR="00364EB1" w:rsidRPr="00364EB1" w14:paraId="5E2F2821" w14:textId="77777777" w:rsidTr="00364EB1">
        <w:trPr>
          <w:trHeight w:val="170"/>
        </w:trPr>
        <w:tc>
          <w:tcPr>
            <w:tcW w:w="1310" w:type="dxa"/>
            <w:hideMark/>
          </w:tcPr>
          <w:p w14:paraId="5EE5E846"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2017</w:t>
            </w:r>
          </w:p>
        </w:tc>
        <w:tc>
          <w:tcPr>
            <w:tcW w:w="2457" w:type="dxa"/>
            <w:hideMark/>
          </w:tcPr>
          <w:p w14:paraId="350CA2A4"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60</w:t>
            </w:r>
          </w:p>
        </w:tc>
        <w:tc>
          <w:tcPr>
            <w:tcW w:w="2471" w:type="dxa"/>
            <w:hideMark/>
          </w:tcPr>
          <w:p w14:paraId="40C845E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2.4</w:t>
            </w:r>
          </w:p>
        </w:tc>
      </w:tr>
      <w:tr w:rsidR="00364EB1" w:rsidRPr="00364EB1" w14:paraId="78F56CEE" w14:textId="77777777" w:rsidTr="00364EB1">
        <w:trPr>
          <w:trHeight w:val="170"/>
        </w:trPr>
        <w:tc>
          <w:tcPr>
            <w:tcW w:w="1310" w:type="dxa"/>
            <w:hideMark/>
          </w:tcPr>
          <w:p w14:paraId="5223591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2018</w:t>
            </w:r>
          </w:p>
        </w:tc>
        <w:tc>
          <w:tcPr>
            <w:tcW w:w="2457" w:type="dxa"/>
            <w:hideMark/>
          </w:tcPr>
          <w:p w14:paraId="311CF4A3"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65</w:t>
            </w:r>
          </w:p>
        </w:tc>
        <w:tc>
          <w:tcPr>
            <w:tcW w:w="2471" w:type="dxa"/>
            <w:hideMark/>
          </w:tcPr>
          <w:p w14:paraId="3EE1D6AC"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2.6</w:t>
            </w:r>
          </w:p>
        </w:tc>
      </w:tr>
      <w:tr w:rsidR="00364EB1" w:rsidRPr="00364EB1" w14:paraId="50470C40" w14:textId="77777777" w:rsidTr="00364EB1">
        <w:trPr>
          <w:trHeight w:val="170"/>
        </w:trPr>
        <w:tc>
          <w:tcPr>
            <w:tcW w:w="1310" w:type="dxa"/>
            <w:hideMark/>
          </w:tcPr>
          <w:p w14:paraId="7A60EE9A"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2019</w:t>
            </w:r>
          </w:p>
        </w:tc>
        <w:tc>
          <w:tcPr>
            <w:tcW w:w="2457" w:type="dxa"/>
            <w:hideMark/>
          </w:tcPr>
          <w:p w14:paraId="73AE8BC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70</w:t>
            </w:r>
          </w:p>
        </w:tc>
        <w:tc>
          <w:tcPr>
            <w:tcW w:w="2471" w:type="dxa"/>
            <w:hideMark/>
          </w:tcPr>
          <w:p w14:paraId="0A35E2B6"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2.8</w:t>
            </w:r>
          </w:p>
        </w:tc>
      </w:tr>
      <w:tr w:rsidR="00364EB1" w:rsidRPr="00364EB1" w14:paraId="38AB03A1" w14:textId="77777777" w:rsidTr="00364EB1">
        <w:trPr>
          <w:trHeight w:val="170"/>
        </w:trPr>
        <w:tc>
          <w:tcPr>
            <w:tcW w:w="1310" w:type="dxa"/>
            <w:hideMark/>
          </w:tcPr>
          <w:p w14:paraId="50ADCC9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2020</w:t>
            </w:r>
          </w:p>
        </w:tc>
        <w:tc>
          <w:tcPr>
            <w:tcW w:w="2457" w:type="dxa"/>
            <w:hideMark/>
          </w:tcPr>
          <w:p w14:paraId="368D9DEF"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75</w:t>
            </w:r>
          </w:p>
        </w:tc>
        <w:tc>
          <w:tcPr>
            <w:tcW w:w="2471" w:type="dxa"/>
            <w:hideMark/>
          </w:tcPr>
          <w:p w14:paraId="71F0A9B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w:t>
            </w:r>
          </w:p>
        </w:tc>
      </w:tr>
      <w:tr w:rsidR="00364EB1" w:rsidRPr="00364EB1" w14:paraId="4ADAAF1C" w14:textId="77777777" w:rsidTr="00364EB1">
        <w:trPr>
          <w:trHeight w:val="170"/>
        </w:trPr>
        <w:tc>
          <w:tcPr>
            <w:tcW w:w="1310" w:type="dxa"/>
            <w:hideMark/>
          </w:tcPr>
          <w:p w14:paraId="13B71BF8"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2021</w:t>
            </w:r>
          </w:p>
        </w:tc>
        <w:tc>
          <w:tcPr>
            <w:tcW w:w="2457" w:type="dxa"/>
            <w:hideMark/>
          </w:tcPr>
          <w:p w14:paraId="72B8C2D2"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80</w:t>
            </w:r>
          </w:p>
        </w:tc>
        <w:tc>
          <w:tcPr>
            <w:tcW w:w="2471" w:type="dxa"/>
            <w:hideMark/>
          </w:tcPr>
          <w:p w14:paraId="3516E84D"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3.2</w:t>
            </w:r>
          </w:p>
        </w:tc>
      </w:tr>
      <w:tr w:rsidR="00364EB1" w:rsidRPr="00364EB1" w14:paraId="3DA047BF" w14:textId="77777777" w:rsidTr="00364EB1">
        <w:trPr>
          <w:trHeight w:val="170"/>
        </w:trPr>
        <w:tc>
          <w:tcPr>
            <w:tcW w:w="1310" w:type="dxa"/>
            <w:hideMark/>
          </w:tcPr>
          <w:p w14:paraId="427C968B"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2022</w:t>
            </w:r>
          </w:p>
        </w:tc>
        <w:tc>
          <w:tcPr>
            <w:tcW w:w="2457" w:type="dxa"/>
            <w:hideMark/>
          </w:tcPr>
          <w:p w14:paraId="40A83660"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85</w:t>
            </w:r>
          </w:p>
        </w:tc>
        <w:tc>
          <w:tcPr>
            <w:tcW w:w="2471" w:type="dxa"/>
            <w:hideMark/>
          </w:tcPr>
          <w:p w14:paraId="103ADF96"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3.4</w:t>
            </w:r>
          </w:p>
        </w:tc>
      </w:tr>
      <w:tr w:rsidR="00364EB1" w:rsidRPr="00364EB1" w14:paraId="1DCFD158" w14:textId="77777777" w:rsidTr="00364EB1">
        <w:trPr>
          <w:trHeight w:val="170"/>
        </w:trPr>
        <w:tc>
          <w:tcPr>
            <w:tcW w:w="1310" w:type="dxa"/>
            <w:hideMark/>
          </w:tcPr>
          <w:p w14:paraId="48ED4473"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2023</w:t>
            </w:r>
          </w:p>
        </w:tc>
        <w:tc>
          <w:tcPr>
            <w:tcW w:w="2457" w:type="dxa"/>
            <w:hideMark/>
          </w:tcPr>
          <w:p w14:paraId="5167D65A"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90</w:t>
            </w:r>
          </w:p>
        </w:tc>
        <w:tc>
          <w:tcPr>
            <w:tcW w:w="2471" w:type="dxa"/>
            <w:hideMark/>
          </w:tcPr>
          <w:p w14:paraId="17972E16" w14:textId="77777777" w:rsidR="00364EB1" w:rsidRPr="00364EB1" w:rsidRDefault="00364EB1" w:rsidP="00364EB1">
            <w:pPr>
              <w:jc w:val="right"/>
              <w:rPr>
                <w:rFonts w:ascii="Aptos Narrow" w:eastAsia="Times New Roman" w:hAnsi="Aptos Narrow" w:cs="Times New Roman"/>
                <w:color w:val="000000"/>
                <w:kern w:val="0"/>
                <w:lang w:eastAsia="en-IN"/>
                <w14:ligatures w14:val="none"/>
              </w:rPr>
            </w:pPr>
            <w:r w:rsidRPr="00364EB1">
              <w:rPr>
                <w:rFonts w:ascii="Aptos Narrow" w:eastAsia="Times New Roman" w:hAnsi="Aptos Narrow" w:cs="Times New Roman"/>
                <w:color w:val="000000"/>
                <w:kern w:val="0"/>
                <w:lang w:eastAsia="en-IN"/>
                <w14:ligatures w14:val="none"/>
              </w:rPr>
              <w:t>3.6</w:t>
            </w:r>
          </w:p>
        </w:tc>
      </w:tr>
    </w:tbl>
    <w:p w14:paraId="2F1EC5F4" w14:textId="77777777" w:rsidR="00364EB1" w:rsidRPr="00364EB1" w:rsidRDefault="00364EB1" w:rsidP="00364EB1">
      <w:pPr>
        <w:rPr>
          <w:sz w:val="24"/>
          <w:szCs w:val="24"/>
        </w:rPr>
      </w:pPr>
      <w:r w:rsidRPr="00364EB1">
        <w:rPr>
          <w:sz w:val="24"/>
          <w:szCs w:val="24"/>
        </w:rPr>
        <w:t>This table presents data on KYC-related employment in the banking sector in the United States from 2015 to 2023. Here's how to interpret the table:</w:t>
      </w:r>
    </w:p>
    <w:p w14:paraId="4A9CF184" w14:textId="77777777" w:rsidR="00364EB1" w:rsidRPr="00364EB1" w:rsidRDefault="00364EB1" w:rsidP="00364EB1">
      <w:pPr>
        <w:rPr>
          <w:sz w:val="24"/>
          <w:szCs w:val="24"/>
        </w:rPr>
      </w:pPr>
      <w:r w:rsidRPr="00364EB1">
        <w:rPr>
          <w:b/>
          <w:bCs/>
          <w:sz w:val="24"/>
          <w:szCs w:val="24"/>
        </w:rPr>
        <w:t>Year</w:t>
      </w:r>
      <w:r w:rsidRPr="00364EB1">
        <w:rPr>
          <w:sz w:val="24"/>
          <w:szCs w:val="24"/>
        </w:rPr>
        <w:t>: This column represents the years from 2015 to 2023.</w:t>
      </w:r>
    </w:p>
    <w:p w14:paraId="01EA208F" w14:textId="77777777" w:rsidR="00364EB1" w:rsidRPr="00364EB1" w:rsidRDefault="00364EB1" w:rsidP="00364EB1">
      <w:pPr>
        <w:rPr>
          <w:sz w:val="24"/>
          <w:szCs w:val="24"/>
        </w:rPr>
      </w:pPr>
      <w:r w:rsidRPr="00364EB1">
        <w:rPr>
          <w:b/>
          <w:bCs/>
          <w:sz w:val="24"/>
          <w:szCs w:val="24"/>
        </w:rPr>
        <w:t>Total KYC-Related Jobs (in thousands)</w:t>
      </w:r>
      <w:r w:rsidRPr="00364EB1">
        <w:rPr>
          <w:sz w:val="24"/>
          <w:szCs w:val="24"/>
        </w:rPr>
        <w:t>: This column indicates the total number of jobs directly related to KYC (Know Your Customer) processes within the banking sector. The numbers are presented in thousands.</w:t>
      </w:r>
    </w:p>
    <w:p w14:paraId="0DEFCBFE" w14:textId="77777777" w:rsidR="00364EB1" w:rsidRPr="00364EB1" w:rsidRDefault="00364EB1" w:rsidP="00364EB1">
      <w:pPr>
        <w:rPr>
          <w:sz w:val="24"/>
          <w:szCs w:val="24"/>
        </w:rPr>
      </w:pPr>
      <w:r w:rsidRPr="00364EB1">
        <w:rPr>
          <w:b/>
          <w:bCs/>
          <w:sz w:val="24"/>
          <w:szCs w:val="24"/>
        </w:rPr>
        <w:t>Percentage of Total Banking Jobs (%)</w:t>
      </w:r>
      <w:r w:rsidRPr="00364EB1">
        <w:rPr>
          <w:sz w:val="24"/>
          <w:szCs w:val="24"/>
        </w:rPr>
        <w:t>: This column shows the percentage of total banking sector employment accounted for by KYC-related jobs.</w:t>
      </w:r>
    </w:p>
    <w:p w14:paraId="43719209" w14:textId="77777777" w:rsidR="00364EB1" w:rsidRPr="00364EB1" w:rsidRDefault="00364EB1" w:rsidP="00364EB1">
      <w:pPr>
        <w:rPr>
          <w:sz w:val="24"/>
          <w:szCs w:val="24"/>
        </w:rPr>
      </w:pPr>
      <w:r w:rsidRPr="00364EB1">
        <w:rPr>
          <w:sz w:val="24"/>
          <w:szCs w:val="24"/>
        </w:rPr>
        <w:t>For example:</w:t>
      </w:r>
    </w:p>
    <w:p w14:paraId="76FC4E0A" w14:textId="77777777" w:rsidR="00364EB1" w:rsidRPr="00364EB1" w:rsidRDefault="00364EB1" w:rsidP="00364EB1">
      <w:pPr>
        <w:numPr>
          <w:ilvl w:val="0"/>
          <w:numId w:val="16"/>
        </w:numPr>
        <w:rPr>
          <w:sz w:val="24"/>
          <w:szCs w:val="24"/>
        </w:rPr>
      </w:pPr>
      <w:r w:rsidRPr="00364EB1">
        <w:rPr>
          <w:sz w:val="24"/>
          <w:szCs w:val="24"/>
        </w:rPr>
        <w:t>In 2015, there were 50,000 KYC-related jobs in the banking sector, accounting for 2% of total banking jobs.</w:t>
      </w:r>
    </w:p>
    <w:p w14:paraId="484ACF9E" w14:textId="77777777" w:rsidR="00364EB1" w:rsidRPr="00364EB1" w:rsidRDefault="00364EB1" w:rsidP="00364EB1">
      <w:pPr>
        <w:numPr>
          <w:ilvl w:val="0"/>
          <w:numId w:val="16"/>
        </w:numPr>
        <w:rPr>
          <w:sz w:val="24"/>
          <w:szCs w:val="24"/>
        </w:rPr>
      </w:pPr>
      <w:r w:rsidRPr="00364EB1">
        <w:rPr>
          <w:sz w:val="24"/>
          <w:szCs w:val="24"/>
        </w:rPr>
        <w:t>By 2023, the number of KYC-related jobs had increased to 90,000, representing 3.6% of total banking employment.</w:t>
      </w:r>
    </w:p>
    <w:p w14:paraId="674516AF" w14:textId="09048D61" w:rsidR="00364EB1" w:rsidRPr="00364EB1" w:rsidRDefault="00364EB1" w:rsidP="00364EB1">
      <w:pPr>
        <w:rPr>
          <w:sz w:val="24"/>
          <w:szCs w:val="24"/>
        </w:rPr>
      </w:pPr>
      <w:r w:rsidRPr="00364EB1">
        <w:rPr>
          <w:sz w:val="24"/>
          <w:szCs w:val="24"/>
        </w:rPr>
        <w:t>Overall, the table illustrates the trend of employment growth in KYC-related roles within the banking sector over the specified period, indicating the increasing importance of KYC compliance and the associated workforce expansion to meet regulatory requirements and manage risks effectively.</w:t>
      </w:r>
    </w:p>
    <w:p w14:paraId="07A3F103" w14:textId="6A6F692F" w:rsidR="00C66E16" w:rsidRPr="00C66E16" w:rsidRDefault="00C66E16" w:rsidP="00C66E16">
      <w:pPr>
        <w:pStyle w:val="Heading1"/>
      </w:pPr>
      <w:r w:rsidRPr="00C66E16">
        <w:lastRenderedPageBreak/>
        <w:t>Conclusion</w:t>
      </w:r>
    </w:p>
    <w:p w14:paraId="3761AA5A" w14:textId="77777777" w:rsidR="00C66E16" w:rsidRPr="00C66E16" w:rsidRDefault="00C66E16" w:rsidP="00C66E16">
      <w:pPr>
        <w:pStyle w:val="NormalWeb"/>
        <w:rPr>
          <w:rFonts w:asciiTheme="minorHAnsi" w:hAnsiTheme="minorHAnsi"/>
        </w:rPr>
      </w:pPr>
      <w:r w:rsidRPr="00C66E16">
        <w:rPr>
          <w:rFonts w:asciiTheme="minorHAnsi" w:hAnsiTheme="minorHAnsi"/>
        </w:rPr>
        <w:t>KYC regulations are fundamental to the integrity and security of the US banking system. These regulations require financial institutions to meticulously verify the identities of their customers, understand the nature and purpose of their financial transactions, and continuously monitor for suspicious activities. By doing so, banks can effectively combat financial crimes such as money laundering, terrorist financing, and fraud.</w:t>
      </w:r>
    </w:p>
    <w:p w14:paraId="38D10341" w14:textId="77777777" w:rsidR="00C66E16" w:rsidRPr="00C66E16" w:rsidRDefault="00C66E16" w:rsidP="00C66E16">
      <w:pPr>
        <w:pStyle w:val="NormalWeb"/>
        <w:rPr>
          <w:rFonts w:asciiTheme="minorHAnsi" w:hAnsiTheme="minorHAnsi"/>
        </w:rPr>
      </w:pPr>
      <w:r w:rsidRPr="00C66E16">
        <w:rPr>
          <w:rFonts w:asciiTheme="minorHAnsi" w:hAnsiTheme="minorHAnsi"/>
        </w:rPr>
        <w:t>The comprehensive framework of KYC regulations, encompassing Customer Identification Programs (CIP), Customer Due Diligence (CDD), Enhanced Due Diligence (EDD), and ongoing monitoring, ensures that financial institutions are well-equipped to detect and prevent illicit activities. Compliance with these regulations not only helps banks avoid substantial fines and legal penalties but also protects their reputation and fosters customer trust.</w:t>
      </w:r>
    </w:p>
    <w:p w14:paraId="4576B62B" w14:textId="77777777" w:rsidR="00C66E16" w:rsidRPr="00C66E16" w:rsidRDefault="00C66E16" w:rsidP="00C66E16">
      <w:pPr>
        <w:pStyle w:val="NormalWeb"/>
        <w:rPr>
          <w:rFonts w:asciiTheme="minorHAnsi" w:hAnsiTheme="minorHAnsi"/>
        </w:rPr>
      </w:pPr>
      <w:r w:rsidRPr="00C66E16">
        <w:rPr>
          <w:rFonts w:asciiTheme="minorHAnsi" w:hAnsiTheme="minorHAnsi"/>
        </w:rPr>
        <w:t>Technological advancements, such as digital identity verification and machine learning, are enhancing the efficiency and effectiveness of KYC processes. However, these innovations also pose challenges, particularly in balancing stringent regulatory requirements with customer convenience and privacy rights. The evolving landscape of financial services, driven by digital currencies and fintech innovations, necessitates continuous adaptation and enhancement of KYC regulations.</w:t>
      </w:r>
    </w:p>
    <w:p w14:paraId="76377C7D" w14:textId="77777777" w:rsidR="00C66E16" w:rsidRPr="00C66E16" w:rsidRDefault="00C66E16" w:rsidP="00C66E16">
      <w:pPr>
        <w:pStyle w:val="NormalWeb"/>
        <w:rPr>
          <w:rFonts w:asciiTheme="minorHAnsi" w:hAnsiTheme="minorHAnsi"/>
        </w:rPr>
      </w:pPr>
      <w:r w:rsidRPr="00C66E16">
        <w:rPr>
          <w:rFonts w:asciiTheme="minorHAnsi" w:hAnsiTheme="minorHAnsi"/>
        </w:rPr>
        <w:t>In conclusion, KYC regulations are essential in safeguarding the US banking system against financial crimes. Banks must remain vigilant and proactive in implementing and updating their KYC processes to meet regulatory requirements and address emerging threats. By doing so, they contribute to a safer and more secure financial environment, ensuring the trust and confidence of their customers and the broader financial market.</w:t>
      </w:r>
    </w:p>
    <w:p w14:paraId="51421593" w14:textId="77777777" w:rsidR="008A21E4" w:rsidRPr="00C66E16" w:rsidRDefault="008A21E4"/>
    <w:sectPr w:rsidR="008A21E4" w:rsidRPr="00C66E16" w:rsidSect="00364EB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D54"/>
    <w:multiLevelType w:val="hybridMultilevel"/>
    <w:tmpl w:val="647450DA"/>
    <w:lvl w:ilvl="0" w:tplc="268C28F2">
      <w:start w:val="1"/>
      <w:numFmt w:val="bullet"/>
      <w:lvlText w:val="•"/>
      <w:lvlJc w:val="left"/>
      <w:pPr>
        <w:tabs>
          <w:tab w:val="num" w:pos="720"/>
        </w:tabs>
        <w:ind w:left="720" w:hanging="360"/>
      </w:pPr>
      <w:rPr>
        <w:rFonts w:ascii="Arial" w:hAnsi="Arial" w:hint="default"/>
      </w:rPr>
    </w:lvl>
    <w:lvl w:ilvl="1" w:tplc="216A4810" w:tentative="1">
      <w:start w:val="1"/>
      <w:numFmt w:val="bullet"/>
      <w:lvlText w:val="•"/>
      <w:lvlJc w:val="left"/>
      <w:pPr>
        <w:tabs>
          <w:tab w:val="num" w:pos="1440"/>
        </w:tabs>
        <w:ind w:left="1440" w:hanging="360"/>
      </w:pPr>
      <w:rPr>
        <w:rFonts w:ascii="Arial" w:hAnsi="Arial" w:hint="default"/>
      </w:rPr>
    </w:lvl>
    <w:lvl w:ilvl="2" w:tplc="F03A6E7C" w:tentative="1">
      <w:start w:val="1"/>
      <w:numFmt w:val="bullet"/>
      <w:lvlText w:val="•"/>
      <w:lvlJc w:val="left"/>
      <w:pPr>
        <w:tabs>
          <w:tab w:val="num" w:pos="2160"/>
        </w:tabs>
        <w:ind w:left="2160" w:hanging="360"/>
      </w:pPr>
      <w:rPr>
        <w:rFonts w:ascii="Arial" w:hAnsi="Arial" w:hint="default"/>
      </w:rPr>
    </w:lvl>
    <w:lvl w:ilvl="3" w:tplc="2EB68C56" w:tentative="1">
      <w:start w:val="1"/>
      <w:numFmt w:val="bullet"/>
      <w:lvlText w:val="•"/>
      <w:lvlJc w:val="left"/>
      <w:pPr>
        <w:tabs>
          <w:tab w:val="num" w:pos="2880"/>
        </w:tabs>
        <w:ind w:left="2880" w:hanging="360"/>
      </w:pPr>
      <w:rPr>
        <w:rFonts w:ascii="Arial" w:hAnsi="Arial" w:hint="default"/>
      </w:rPr>
    </w:lvl>
    <w:lvl w:ilvl="4" w:tplc="66AC3746" w:tentative="1">
      <w:start w:val="1"/>
      <w:numFmt w:val="bullet"/>
      <w:lvlText w:val="•"/>
      <w:lvlJc w:val="left"/>
      <w:pPr>
        <w:tabs>
          <w:tab w:val="num" w:pos="3600"/>
        </w:tabs>
        <w:ind w:left="3600" w:hanging="360"/>
      </w:pPr>
      <w:rPr>
        <w:rFonts w:ascii="Arial" w:hAnsi="Arial" w:hint="default"/>
      </w:rPr>
    </w:lvl>
    <w:lvl w:ilvl="5" w:tplc="C70A4CEE" w:tentative="1">
      <w:start w:val="1"/>
      <w:numFmt w:val="bullet"/>
      <w:lvlText w:val="•"/>
      <w:lvlJc w:val="left"/>
      <w:pPr>
        <w:tabs>
          <w:tab w:val="num" w:pos="4320"/>
        </w:tabs>
        <w:ind w:left="4320" w:hanging="360"/>
      </w:pPr>
      <w:rPr>
        <w:rFonts w:ascii="Arial" w:hAnsi="Arial" w:hint="default"/>
      </w:rPr>
    </w:lvl>
    <w:lvl w:ilvl="6" w:tplc="D8BAF008" w:tentative="1">
      <w:start w:val="1"/>
      <w:numFmt w:val="bullet"/>
      <w:lvlText w:val="•"/>
      <w:lvlJc w:val="left"/>
      <w:pPr>
        <w:tabs>
          <w:tab w:val="num" w:pos="5040"/>
        </w:tabs>
        <w:ind w:left="5040" w:hanging="360"/>
      </w:pPr>
      <w:rPr>
        <w:rFonts w:ascii="Arial" w:hAnsi="Arial" w:hint="default"/>
      </w:rPr>
    </w:lvl>
    <w:lvl w:ilvl="7" w:tplc="FF4C956A" w:tentative="1">
      <w:start w:val="1"/>
      <w:numFmt w:val="bullet"/>
      <w:lvlText w:val="•"/>
      <w:lvlJc w:val="left"/>
      <w:pPr>
        <w:tabs>
          <w:tab w:val="num" w:pos="5760"/>
        </w:tabs>
        <w:ind w:left="5760" w:hanging="360"/>
      </w:pPr>
      <w:rPr>
        <w:rFonts w:ascii="Arial" w:hAnsi="Arial" w:hint="default"/>
      </w:rPr>
    </w:lvl>
    <w:lvl w:ilvl="8" w:tplc="92AC5F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9E31B1"/>
    <w:multiLevelType w:val="multilevel"/>
    <w:tmpl w:val="283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71A9D"/>
    <w:multiLevelType w:val="multilevel"/>
    <w:tmpl w:val="62F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519A"/>
    <w:multiLevelType w:val="multilevel"/>
    <w:tmpl w:val="845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D5B39"/>
    <w:multiLevelType w:val="multilevel"/>
    <w:tmpl w:val="CE6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7CDC"/>
    <w:multiLevelType w:val="hybridMultilevel"/>
    <w:tmpl w:val="A7003290"/>
    <w:lvl w:ilvl="0" w:tplc="469EA2DA">
      <w:start w:val="1"/>
      <w:numFmt w:val="bullet"/>
      <w:lvlText w:val="•"/>
      <w:lvlJc w:val="left"/>
      <w:pPr>
        <w:tabs>
          <w:tab w:val="num" w:pos="720"/>
        </w:tabs>
        <w:ind w:left="720" w:hanging="360"/>
      </w:pPr>
      <w:rPr>
        <w:rFonts w:ascii="Arial" w:hAnsi="Arial" w:hint="default"/>
      </w:rPr>
    </w:lvl>
    <w:lvl w:ilvl="1" w:tplc="F3AE07A0" w:tentative="1">
      <w:start w:val="1"/>
      <w:numFmt w:val="bullet"/>
      <w:lvlText w:val="•"/>
      <w:lvlJc w:val="left"/>
      <w:pPr>
        <w:tabs>
          <w:tab w:val="num" w:pos="1440"/>
        </w:tabs>
        <w:ind w:left="1440" w:hanging="360"/>
      </w:pPr>
      <w:rPr>
        <w:rFonts w:ascii="Arial" w:hAnsi="Arial" w:hint="default"/>
      </w:rPr>
    </w:lvl>
    <w:lvl w:ilvl="2" w:tplc="BEBA5F7A" w:tentative="1">
      <w:start w:val="1"/>
      <w:numFmt w:val="bullet"/>
      <w:lvlText w:val="•"/>
      <w:lvlJc w:val="left"/>
      <w:pPr>
        <w:tabs>
          <w:tab w:val="num" w:pos="2160"/>
        </w:tabs>
        <w:ind w:left="2160" w:hanging="360"/>
      </w:pPr>
      <w:rPr>
        <w:rFonts w:ascii="Arial" w:hAnsi="Arial" w:hint="default"/>
      </w:rPr>
    </w:lvl>
    <w:lvl w:ilvl="3" w:tplc="552A9756" w:tentative="1">
      <w:start w:val="1"/>
      <w:numFmt w:val="bullet"/>
      <w:lvlText w:val="•"/>
      <w:lvlJc w:val="left"/>
      <w:pPr>
        <w:tabs>
          <w:tab w:val="num" w:pos="2880"/>
        </w:tabs>
        <w:ind w:left="2880" w:hanging="360"/>
      </w:pPr>
      <w:rPr>
        <w:rFonts w:ascii="Arial" w:hAnsi="Arial" w:hint="default"/>
      </w:rPr>
    </w:lvl>
    <w:lvl w:ilvl="4" w:tplc="65ACE45E" w:tentative="1">
      <w:start w:val="1"/>
      <w:numFmt w:val="bullet"/>
      <w:lvlText w:val="•"/>
      <w:lvlJc w:val="left"/>
      <w:pPr>
        <w:tabs>
          <w:tab w:val="num" w:pos="3600"/>
        </w:tabs>
        <w:ind w:left="3600" w:hanging="360"/>
      </w:pPr>
      <w:rPr>
        <w:rFonts w:ascii="Arial" w:hAnsi="Arial" w:hint="default"/>
      </w:rPr>
    </w:lvl>
    <w:lvl w:ilvl="5" w:tplc="AD96E038" w:tentative="1">
      <w:start w:val="1"/>
      <w:numFmt w:val="bullet"/>
      <w:lvlText w:val="•"/>
      <w:lvlJc w:val="left"/>
      <w:pPr>
        <w:tabs>
          <w:tab w:val="num" w:pos="4320"/>
        </w:tabs>
        <w:ind w:left="4320" w:hanging="360"/>
      </w:pPr>
      <w:rPr>
        <w:rFonts w:ascii="Arial" w:hAnsi="Arial" w:hint="default"/>
      </w:rPr>
    </w:lvl>
    <w:lvl w:ilvl="6" w:tplc="55366718" w:tentative="1">
      <w:start w:val="1"/>
      <w:numFmt w:val="bullet"/>
      <w:lvlText w:val="•"/>
      <w:lvlJc w:val="left"/>
      <w:pPr>
        <w:tabs>
          <w:tab w:val="num" w:pos="5040"/>
        </w:tabs>
        <w:ind w:left="5040" w:hanging="360"/>
      </w:pPr>
      <w:rPr>
        <w:rFonts w:ascii="Arial" w:hAnsi="Arial" w:hint="default"/>
      </w:rPr>
    </w:lvl>
    <w:lvl w:ilvl="7" w:tplc="A1E429D6" w:tentative="1">
      <w:start w:val="1"/>
      <w:numFmt w:val="bullet"/>
      <w:lvlText w:val="•"/>
      <w:lvlJc w:val="left"/>
      <w:pPr>
        <w:tabs>
          <w:tab w:val="num" w:pos="5760"/>
        </w:tabs>
        <w:ind w:left="5760" w:hanging="360"/>
      </w:pPr>
      <w:rPr>
        <w:rFonts w:ascii="Arial" w:hAnsi="Arial" w:hint="default"/>
      </w:rPr>
    </w:lvl>
    <w:lvl w:ilvl="8" w:tplc="7D221A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6366F9"/>
    <w:multiLevelType w:val="multilevel"/>
    <w:tmpl w:val="4B0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6739D"/>
    <w:multiLevelType w:val="multilevel"/>
    <w:tmpl w:val="565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7468D"/>
    <w:multiLevelType w:val="multilevel"/>
    <w:tmpl w:val="AD8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936C3"/>
    <w:multiLevelType w:val="multilevel"/>
    <w:tmpl w:val="4A9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53F77"/>
    <w:multiLevelType w:val="hybridMultilevel"/>
    <w:tmpl w:val="01EAC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345CE"/>
    <w:multiLevelType w:val="multilevel"/>
    <w:tmpl w:val="7A00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72D3E"/>
    <w:multiLevelType w:val="hybridMultilevel"/>
    <w:tmpl w:val="A8928E34"/>
    <w:lvl w:ilvl="0" w:tplc="E630787A">
      <w:start w:val="1"/>
      <w:numFmt w:val="bullet"/>
      <w:lvlText w:val="•"/>
      <w:lvlJc w:val="left"/>
      <w:pPr>
        <w:tabs>
          <w:tab w:val="num" w:pos="720"/>
        </w:tabs>
        <w:ind w:left="720" w:hanging="360"/>
      </w:pPr>
      <w:rPr>
        <w:rFonts w:ascii="Arial" w:hAnsi="Arial" w:hint="default"/>
      </w:rPr>
    </w:lvl>
    <w:lvl w:ilvl="1" w:tplc="635AD5F6" w:tentative="1">
      <w:start w:val="1"/>
      <w:numFmt w:val="bullet"/>
      <w:lvlText w:val="•"/>
      <w:lvlJc w:val="left"/>
      <w:pPr>
        <w:tabs>
          <w:tab w:val="num" w:pos="1440"/>
        </w:tabs>
        <w:ind w:left="1440" w:hanging="360"/>
      </w:pPr>
      <w:rPr>
        <w:rFonts w:ascii="Arial" w:hAnsi="Arial" w:hint="default"/>
      </w:rPr>
    </w:lvl>
    <w:lvl w:ilvl="2" w:tplc="D3DAFE7A" w:tentative="1">
      <w:start w:val="1"/>
      <w:numFmt w:val="bullet"/>
      <w:lvlText w:val="•"/>
      <w:lvlJc w:val="left"/>
      <w:pPr>
        <w:tabs>
          <w:tab w:val="num" w:pos="2160"/>
        </w:tabs>
        <w:ind w:left="2160" w:hanging="360"/>
      </w:pPr>
      <w:rPr>
        <w:rFonts w:ascii="Arial" w:hAnsi="Arial" w:hint="default"/>
      </w:rPr>
    </w:lvl>
    <w:lvl w:ilvl="3" w:tplc="39A012E2" w:tentative="1">
      <w:start w:val="1"/>
      <w:numFmt w:val="bullet"/>
      <w:lvlText w:val="•"/>
      <w:lvlJc w:val="left"/>
      <w:pPr>
        <w:tabs>
          <w:tab w:val="num" w:pos="2880"/>
        </w:tabs>
        <w:ind w:left="2880" w:hanging="360"/>
      </w:pPr>
      <w:rPr>
        <w:rFonts w:ascii="Arial" w:hAnsi="Arial" w:hint="default"/>
      </w:rPr>
    </w:lvl>
    <w:lvl w:ilvl="4" w:tplc="CA9EB0AC" w:tentative="1">
      <w:start w:val="1"/>
      <w:numFmt w:val="bullet"/>
      <w:lvlText w:val="•"/>
      <w:lvlJc w:val="left"/>
      <w:pPr>
        <w:tabs>
          <w:tab w:val="num" w:pos="3600"/>
        </w:tabs>
        <w:ind w:left="3600" w:hanging="360"/>
      </w:pPr>
      <w:rPr>
        <w:rFonts w:ascii="Arial" w:hAnsi="Arial" w:hint="default"/>
      </w:rPr>
    </w:lvl>
    <w:lvl w:ilvl="5" w:tplc="3CA4D782" w:tentative="1">
      <w:start w:val="1"/>
      <w:numFmt w:val="bullet"/>
      <w:lvlText w:val="•"/>
      <w:lvlJc w:val="left"/>
      <w:pPr>
        <w:tabs>
          <w:tab w:val="num" w:pos="4320"/>
        </w:tabs>
        <w:ind w:left="4320" w:hanging="360"/>
      </w:pPr>
      <w:rPr>
        <w:rFonts w:ascii="Arial" w:hAnsi="Arial" w:hint="default"/>
      </w:rPr>
    </w:lvl>
    <w:lvl w:ilvl="6" w:tplc="51463E1E" w:tentative="1">
      <w:start w:val="1"/>
      <w:numFmt w:val="bullet"/>
      <w:lvlText w:val="•"/>
      <w:lvlJc w:val="left"/>
      <w:pPr>
        <w:tabs>
          <w:tab w:val="num" w:pos="5040"/>
        </w:tabs>
        <w:ind w:left="5040" w:hanging="360"/>
      </w:pPr>
      <w:rPr>
        <w:rFonts w:ascii="Arial" w:hAnsi="Arial" w:hint="default"/>
      </w:rPr>
    </w:lvl>
    <w:lvl w:ilvl="7" w:tplc="52D2D6F4" w:tentative="1">
      <w:start w:val="1"/>
      <w:numFmt w:val="bullet"/>
      <w:lvlText w:val="•"/>
      <w:lvlJc w:val="left"/>
      <w:pPr>
        <w:tabs>
          <w:tab w:val="num" w:pos="5760"/>
        </w:tabs>
        <w:ind w:left="5760" w:hanging="360"/>
      </w:pPr>
      <w:rPr>
        <w:rFonts w:ascii="Arial" w:hAnsi="Arial" w:hint="default"/>
      </w:rPr>
    </w:lvl>
    <w:lvl w:ilvl="8" w:tplc="D55A8E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2C1531"/>
    <w:multiLevelType w:val="multilevel"/>
    <w:tmpl w:val="771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F5193"/>
    <w:multiLevelType w:val="multilevel"/>
    <w:tmpl w:val="6234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02BE8"/>
    <w:multiLevelType w:val="multilevel"/>
    <w:tmpl w:val="20B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600758">
    <w:abstractNumId w:val="3"/>
  </w:num>
  <w:num w:numId="2" w16cid:durableId="947198391">
    <w:abstractNumId w:val="1"/>
  </w:num>
  <w:num w:numId="3" w16cid:durableId="1575434577">
    <w:abstractNumId w:val="9"/>
  </w:num>
  <w:num w:numId="4" w16cid:durableId="386152347">
    <w:abstractNumId w:val="2"/>
  </w:num>
  <w:num w:numId="5" w16cid:durableId="54091007">
    <w:abstractNumId w:val="14"/>
  </w:num>
  <w:num w:numId="6" w16cid:durableId="976304918">
    <w:abstractNumId w:val="11"/>
  </w:num>
  <w:num w:numId="7" w16cid:durableId="262156885">
    <w:abstractNumId w:val="15"/>
  </w:num>
  <w:num w:numId="8" w16cid:durableId="465315012">
    <w:abstractNumId w:val="4"/>
  </w:num>
  <w:num w:numId="9" w16cid:durableId="916017885">
    <w:abstractNumId w:val="7"/>
  </w:num>
  <w:num w:numId="10" w16cid:durableId="1501191640">
    <w:abstractNumId w:val="6"/>
  </w:num>
  <w:num w:numId="11" w16cid:durableId="1666323034">
    <w:abstractNumId w:val="13"/>
  </w:num>
  <w:num w:numId="12" w16cid:durableId="928193111">
    <w:abstractNumId w:val="8"/>
  </w:num>
  <w:num w:numId="13" w16cid:durableId="1331105354">
    <w:abstractNumId w:val="10"/>
  </w:num>
  <w:num w:numId="14" w16cid:durableId="1108696589">
    <w:abstractNumId w:val="5"/>
  </w:num>
  <w:num w:numId="15" w16cid:durableId="827014983">
    <w:abstractNumId w:val="0"/>
  </w:num>
  <w:num w:numId="16" w16cid:durableId="90515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16"/>
    <w:rsid w:val="00364EB1"/>
    <w:rsid w:val="007665EA"/>
    <w:rsid w:val="0088182B"/>
    <w:rsid w:val="008A21E4"/>
    <w:rsid w:val="00C66E16"/>
    <w:rsid w:val="00DC1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FF77"/>
  <w15:chartTrackingRefBased/>
  <w15:docId w15:val="{B6615F9F-8E3B-4604-81DA-52E5326D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6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6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6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6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E16"/>
    <w:rPr>
      <w:rFonts w:eastAsiaTheme="majorEastAsia" w:cstheme="majorBidi"/>
      <w:color w:val="272727" w:themeColor="text1" w:themeTint="D8"/>
    </w:rPr>
  </w:style>
  <w:style w:type="paragraph" w:styleId="Title">
    <w:name w:val="Title"/>
    <w:basedOn w:val="Normal"/>
    <w:next w:val="Normal"/>
    <w:link w:val="TitleChar"/>
    <w:uiPriority w:val="10"/>
    <w:qFormat/>
    <w:rsid w:val="00C66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E16"/>
    <w:pPr>
      <w:spacing w:before="160"/>
      <w:jc w:val="center"/>
    </w:pPr>
    <w:rPr>
      <w:i/>
      <w:iCs/>
      <w:color w:val="404040" w:themeColor="text1" w:themeTint="BF"/>
    </w:rPr>
  </w:style>
  <w:style w:type="character" w:customStyle="1" w:styleId="QuoteChar">
    <w:name w:val="Quote Char"/>
    <w:basedOn w:val="DefaultParagraphFont"/>
    <w:link w:val="Quote"/>
    <w:uiPriority w:val="29"/>
    <w:rsid w:val="00C66E16"/>
    <w:rPr>
      <w:i/>
      <w:iCs/>
      <w:color w:val="404040" w:themeColor="text1" w:themeTint="BF"/>
    </w:rPr>
  </w:style>
  <w:style w:type="paragraph" w:styleId="ListParagraph">
    <w:name w:val="List Paragraph"/>
    <w:basedOn w:val="Normal"/>
    <w:uiPriority w:val="34"/>
    <w:qFormat/>
    <w:rsid w:val="00C66E16"/>
    <w:pPr>
      <w:ind w:left="720"/>
      <w:contextualSpacing/>
    </w:pPr>
  </w:style>
  <w:style w:type="character" w:styleId="IntenseEmphasis">
    <w:name w:val="Intense Emphasis"/>
    <w:basedOn w:val="DefaultParagraphFont"/>
    <w:uiPriority w:val="21"/>
    <w:qFormat/>
    <w:rsid w:val="00C66E16"/>
    <w:rPr>
      <w:i/>
      <w:iCs/>
      <w:color w:val="0F4761" w:themeColor="accent1" w:themeShade="BF"/>
    </w:rPr>
  </w:style>
  <w:style w:type="paragraph" w:styleId="IntenseQuote">
    <w:name w:val="Intense Quote"/>
    <w:basedOn w:val="Normal"/>
    <w:next w:val="Normal"/>
    <w:link w:val="IntenseQuoteChar"/>
    <w:uiPriority w:val="30"/>
    <w:qFormat/>
    <w:rsid w:val="00C66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E16"/>
    <w:rPr>
      <w:i/>
      <w:iCs/>
      <w:color w:val="0F4761" w:themeColor="accent1" w:themeShade="BF"/>
    </w:rPr>
  </w:style>
  <w:style w:type="character" w:styleId="IntenseReference">
    <w:name w:val="Intense Reference"/>
    <w:basedOn w:val="DefaultParagraphFont"/>
    <w:uiPriority w:val="32"/>
    <w:qFormat/>
    <w:rsid w:val="00C66E16"/>
    <w:rPr>
      <w:b/>
      <w:bCs/>
      <w:smallCaps/>
      <w:color w:val="0F4761" w:themeColor="accent1" w:themeShade="BF"/>
      <w:spacing w:val="5"/>
    </w:rPr>
  </w:style>
  <w:style w:type="paragraph" w:styleId="NormalWeb">
    <w:name w:val="Normal (Web)"/>
    <w:basedOn w:val="Normal"/>
    <w:uiPriority w:val="99"/>
    <w:semiHidden/>
    <w:unhideWhenUsed/>
    <w:rsid w:val="00C66E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6E16"/>
    <w:rPr>
      <w:b/>
      <w:bCs/>
    </w:rPr>
  </w:style>
  <w:style w:type="table" w:styleId="TableGrid">
    <w:name w:val="Table Grid"/>
    <w:basedOn w:val="TableNormal"/>
    <w:uiPriority w:val="39"/>
    <w:rsid w:val="0076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7911">
      <w:bodyDiv w:val="1"/>
      <w:marLeft w:val="0"/>
      <w:marRight w:val="0"/>
      <w:marTop w:val="0"/>
      <w:marBottom w:val="0"/>
      <w:divBdr>
        <w:top w:val="none" w:sz="0" w:space="0" w:color="auto"/>
        <w:left w:val="none" w:sz="0" w:space="0" w:color="auto"/>
        <w:bottom w:val="none" w:sz="0" w:space="0" w:color="auto"/>
        <w:right w:val="none" w:sz="0" w:space="0" w:color="auto"/>
      </w:divBdr>
    </w:div>
    <w:div w:id="145629133">
      <w:bodyDiv w:val="1"/>
      <w:marLeft w:val="0"/>
      <w:marRight w:val="0"/>
      <w:marTop w:val="0"/>
      <w:marBottom w:val="0"/>
      <w:divBdr>
        <w:top w:val="none" w:sz="0" w:space="0" w:color="auto"/>
        <w:left w:val="none" w:sz="0" w:space="0" w:color="auto"/>
        <w:bottom w:val="none" w:sz="0" w:space="0" w:color="auto"/>
        <w:right w:val="none" w:sz="0" w:space="0" w:color="auto"/>
      </w:divBdr>
      <w:divsChild>
        <w:div w:id="453331249">
          <w:marLeft w:val="274"/>
          <w:marRight w:val="0"/>
          <w:marTop w:val="0"/>
          <w:marBottom w:val="0"/>
          <w:divBdr>
            <w:top w:val="none" w:sz="0" w:space="0" w:color="auto"/>
            <w:left w:val="none" w:sz="0" w:space="0" w:color="auto"/>
            <w:bottom w:val="none" w:sz="0" w:space="0" w:color="auto"/>
            <w:right w:val="none" w:sz="0" w:space="0" w:color="auto"/>
          </w:divBdr>
        </w:div>
        <w:div w:id="2117828340">
          <w:marLeft w:val="274"/>
          <w:marRight w:val="0"/>
          <w:marTop w:val="0"/>
          <w:marBottom w:val="0"/>
          <w:divBdr>
            <w:top w:val="none" w:sz="0" w:space="0" w:color="auto"/>
            <w:left w:val="none" w:sz="0" w:space="0" w:color="auto"/>
            <w:bottom w:val="none" w:sz="0" w:space="0" w:color="auto"/>
            <w:right w:val="none" w:sz="0" w:space="0" w:color="auto"/>
          </w:divBdr>
        </w:div>
      </w:divsChild>
    </w:div>
    <w:div w:id="234241873">
      <w:bodyDiv w:val="1"/>
      <w:marLeft w:val="0"/>
      <w:marRight w:val="0"/>
      <w:marTop w:val="0"/>
      <w:marBottom w:val="0"/>
      <w:divBdr>
        <w:top w:val="none" w:sz="0" w:space="0" w:color="auto"/>
        <w:left w:val="none" w:sz="0" w:space="0" w:color="auto"/>
        <w:bottom w:val="none" w:sz="0" w:space="0" w:color="auto"/>
        <w:right w:val="none" w:sz="0" w:space="0" w:color="auto"/>
      </w:divBdr>
    </w:div>
    <w:div w:id="390466028">
      <w:bodyDiv w:val="1"/>
      <w:marLeft w:val="0"/>
      <w:marRight w:val="0"/>
      <w:marTop w:val="0"/>
      <w:marBottom w:val="0"/>
      <w:divBdr>
        <w:top w:val="none" w:sz="0" w:space="0" w:color="auto"/>
        <w:left w:val="none" w:sz="0" w:space="0" w:color="auto"/>
        <w:bottom w:val="none" w:sz="0" w:space="0" w:color="auto"/>
        <w:right w:val="none" w:sz="0" w:space="0" w:color="auto"/>
      </w:divBdr>
      <w:divsChild>
        <w:div w:id="581718609">
          <w:marLeft w:val="274"/>
          <w:marRight w:val="0"/>
          <w:marTop w:val="0"/>
          <w:marBottom w:val="0"/>
          <w:divBdr>
            <w:top w:val="none" w:sz="0" w:space="0" w:color="auto"/>
            <w:left w:val="none" w:sz="0" w:space="0" w:color="auto"/>
            <w:bottom w:val="none" w:sz="0" w:space="0" w:color="auto"/>
            <w:right w:val="none" w:sz="0" w:space="0" w:color="auto"/>
          </w:divBdr>
        </w:div>
        <w:div w:id="706220971">
          <w:marLeft w:val="274"/>
          <w:marRight w:val="0"/>
          <w:marTop w:val="0"/>
          <w:marBottom w:val="0"/>
          <w:divBdr>
            <w:top w:val="none" w:sz="0" w:space="0" w:color="auto"/>
            <w:left w:val="none" w:sz="0" w:space="0" w:color="auto"/>
            <w:bottom w:val="none" w:sz="0" w:space="0" w:color="auto"/>
            <w:right w:val="none" w:sz="0" w:space="0" w:color="auto"/>
          </w:divBdr>
        </w:div>
      </w:divsChild>
    </w:div>
    <w:div w:id="889877777">
      <w:bodyDiv w:val="1"/>
      <w:marLeft w:val="0"/>
      <w:marRight w:val="0"/>
      <w:marTop w:val="0"/>
      <w:marBottom w:val="0"/>
      <w:divBdr>
        <w:top w:val="none" w:sz="0" w:space="0" w:color="auto"/>
        <w:left w:val="none" w:sz="0" w:space="0" w:color="auto"/>
        <w:bottom w:val="none" w:sz="0" w:space="0" w:color="auto"/>
        <w:right w:val="none" w:sz="0" w:space="0" w:color="auto"/>
      </w:divBdr>
    </w:div>
    <w:div w:id="908076028">
      <w:bodyDiv w:val="1"/>
      <w:marLeft w:val="0"/>
      <w:marRight w:val="0"/>
      <w:marTop w:val="0"/>
      <w:marBottom w:val="0"/>
      <w:divBdr>
        <w:top w:val="none" w:sz="0" w:space="0" w:color="auto"/>
        <w:left w:val="none" w:sz="0" w:space="0" w:color="auto"/>
        <w:bottom w:val="none" w:sz="0" w:space="0" w:color="auto"/>
        <w:right w:val="none" w:sz="0" w:space="0" w:color="auto"/>
      </w:divBdr>
    </w:div>
    <w:div w:id="1296839898">
      <w:bodyDiv w:val="1"/>
      <w:marLeft w:val="0"/>
      <w:marRight w:val="0"/>
      <w:marTop w:val="0"/>
      <w:marBottom w:val="0"/>
      <w:divBdr>
        <w:top w:val="none" w:sz="0" w:space="0" w:color="auto"/>
        <w:left w:val="none" w:sz="0" w:space="0" w:color="auto"/>
        <w:bottom w:val="none" w:sz="0" w:space="0" w:color="auto"/>
        <w:right w:val="none" w:sz="0" w:space="0" w:color="auto"/>
      </w:divBdr>
      <w:divsChild>
        <w:div w:id="511799293">
          <w:marLeft w:val="274"/>
          <w:marRight w:val="0"/>
          <w:marTop w:val="0"/>
          <w:marBottom w:val="0"/>
          <w:divBdr>
            <w:top w:val="none" w:sz="0" w:space="0" w:color="auto"/>
            <w:left w:val="none" w:sz="0" w:space="0" w:color="auto"/>
            <w:bottom w:val="none" w:sz="0" w:space="0" w:color="auto"/>
            <w:right w:val="none" w:sz="0" w:space="0" w:color="auto"/>
          </w:divBdr>
        </w:div>
        <w:div w:id="1235551341">
          <w:marLeft w:val="274"/>
          <w:marRight w:val="0"/>
          <w:marTop w:val="0"/>
          <w:marBottom w:val="0"/>
          <w:divBdr>
            <w:top w:val="none" w:sz="0" w:space="0" w:color="auto"/>
            <w:left w:val="none" w:sz="0" w:space="0" w:color="auto"/>
            <w:bottom w:val="none" w:sz="0" w:space="0" w:color="auto"/>
            <w:right w:val="none" w:sz="0" w:space="0" w:color="auto"/>
          </w:divBdr>
        </w:div>
        <w:div w:id="788862009">
          <w:marLeft w:val="274"/>
          <w:marRight w:val="0"/>
          <w:marTop w:val="0"/>
          <w:marBottom w:val="0"/>
          <w:divBdr>
            <w:top w:val="none" w:sz="0" w:space="0" w:color="auto"/>
            <w:left w:val="none" w:sz="0" w:space="0" w:color="auto"/>
            <w:bottom w:val="none" w:sz="0" w:space="0" w:color="auto"/>
            <w:right w:val="none" w:sz="0" w:space="0" w:color="auto"/>
          </w:divBdr>
        </w:div>
      </w:divsChild>
    </w:div>
    <w:div w:id="1378316914">
      <w:bodyDiv w:val="1"/>
      <w:marLeft w:val="0"/>
      <w:marRight w:val="0"/>
      <w:marTop w:val="0"/>
      <w:marBottom w:val="0"/>
      <w:divBdr>
        <w:top w:val="none" w:sz="0" w:space="0" w:color="auto"/>
        <w:left w:val="none" w:sz="0" w:space="0" w:color="auto"/>
        <w:bottom w:val="none" w:sz="0" w:space="0" w:color="auto"/>
        <w:right w:val="none" w:sz="0" w:space="0" w:color="auto"/>
      </w:divBdr>
    </w:div>
    <w:div w:id="1481733015">
      <w:bodyDiv w:val="1"/>
      <w:marLeft w:val="0"/>
      <w:marRight w:val="0"/>
      <w:marTop w:val="0"/>
      <w:marBottom w:val="0"/>
      <w:divBdr>
        <w:top w:val="none" w:sz="0" w:space="0" w:color="auto"/>
        <w:left w:val="none" w:sz="0" w:space="0" w:color="auto"/>
        <w:bottom w:val="none" w:sz="0" w:space="0" w:color="auto"/>
        <w:right w:val="none" w:sz="0" w:space="0" w:color="auto"/>
      </w:divBdr>
    </w:div>
    <w:div w:id="1533424188">
      <w:bodyDiv w:val="1"/>
      <w:marLeft w:val="0"/>
      <w:marRight w:val="0"/>
      <w:marTop w:val="0"/>
      <w:marBottom w:val="0"/>
      <w:divBdr>
        <w:top w:val="none" w:sz="0" w:space="0" w:color="auto"/>
        <w:left w:val="none" w:sz="0" w:space="0" w:color="auto"/>
        <w:bottom w:val="none" w:sz="0" w:space="0" w:color="auto"/>
        <w:right w:val="none" w:sz="0" w:space="0" w:color="auto"/>
      </w:divBdr>
    </w:div>
    <w:div w:id="1547134086">
      <w:bodyDiv w:val="1"/>
      <w:marLeft w:val="0"/>
      <w:marRight w:val="0"/>
      <w:marTop w:val="0"/>
      <w:marBottom w:val="0"/>
      <w:divBdr>
        <w:top w:val="none" w:sz="0" w:space="0" w:color="auto"/>
        <w:left w:val="none" w:sz="0" w:space="0" w:color="auto"/>
        <w:bottom w:val="none" w:sz="0" w:space="0" w:color="auto"/>
        <w:right w:val="none" w:sz="0" w:space="0" w:color="auto"/>
      </w:divBdr>
    </w:div>
    <w:div w:id="1842282549">
      <w:bodyDiv w:val="1"/>
      <w:marLeft w:val="0"/>
      <w:marRight w:val="0"/>
      <w:marTop w:val="0"/>
      <w:marBottom w:val="0"/>
      <w:divBdr>
        <w:top w:val="none" w:sz="0" w:space="0" w:color="auto"/>
        <w:left w:val="none" w:sz="0" w:space="0" w:color="auto"/>
        <w:bottom w:val="none" w:sz="0" w:space="0" w:color="auto"/>
        <w:right w:val="none" w:sz="0" w:space="0" w:color="auto"/>
      </w:divBdr>
    </w:div>
    <w:div w:id="2036074915">
      <w:bodyDiv w:val="1"/>
      <w:marLeft w:val="0"/>
      <w:marRight w:val="0"/>
      <w:marTop w:val="0"/>
      <w:marBottom w:val="0"/>
      <w:divBdr>
        <w:top w:val="none" w:sz="0" w:space="0" w:color="auto"/>
        <w:left w:val="none" w:sz="0" w:space="0" w:color="auto"/>
        <w:bottom w:val="none" w:sz="0" w:space="0" w:color="auto"/>
        <w:right w:val="none" w:sz="0" w:space="0" w:color="auto"/>
      </w:divBdr>
    </w:div>
    <w:div w:id="208032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Percentage of Banks Using Advanced KYC Technologies (2015-2023)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Sheet3!$B$3</c:f>
              <c:strCache>
                <c:ptCount val="1"/>
                <c:pt idx="0">
                  <c:v>Percentage of Banks Using AI and Machine Learning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Sheet3!$A$4:$A$12</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Sheet3!$B$4:$B$12</c:f>
              <c:numCache>
                <c:formatCode>General</c:formatCode>
                <c:ptCount val="9"/>
                <c:pt idx="0">
                  <c:v>10</c:v>
                </c:pt>
                <c:pt idx="1">
                  <c:v>15</c:v>
                </c:pt>
                <c:pt idx="2">
                  <c:v>20</c:v>
                </c:pt>
                <c:pt idx="3">
                  <c:v>25</c:v>
                </c:pt>
                <c:pt idx="4">
                  <c:v>30</c:v>
                </c:pt>
                <c:pt idx="5">
                  <c:v>40</c:v>
                </c:pt>
                <c:pt idx="6">
                  <c:v>50</c:v>
                </c:pt>
                <c:pt idx="7">
                  <c:v>60</c:v>
                </c:pt>
                <c:pt idx="8">
                  <c:v>70</c:v>
                </c:pt>
              </c:numCache>
            </c:numRef>
          </c:yVal>
          <c:smooth val="0"/>
          <c:extLst>
            <c:ext xmlns:c16="http://schemas.microsoft.com/office/drawing/2014/chart" uri="{C3380CC4-5D6E-409C-BE32-E72D297353CC}">
              <c16:uniqueId val="{00000000-3D32-4FD2-9CA4-EB7DEEF3F4A0}"/>
            </c:ext>
          </c:extLst>
        </c:ser>
        <c:ser>
          <c:idx val="1"/>
          <c:order val="1"/>
          <c:tx>
            <c:strRef>
              <c:f>Sheet3!$C$3</c:f>
              <c:strCache>
                <c:ptCount val="1"/>
                <c:pt idx="0">
                  <c:v>Percentage of Banks Using Blockchain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Sheet3!$A$4:$A$12</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Sheet3!$C$4:$C$12</c:f>
              <c:numCache>
                <c:formatCode>General</c:formatCode>
                <c:ptCount val="9"/>
                <c:pt idx="0">
                  <c:v>5</c:v>
                </c:pt>
                <c:pt idx="1">
                  <c:v>8</c:v>
                </c:pt>
                <c:pt idx="2">
                  <c:v>10</c:v>
                </c:pt>
                <c:pt idx="3">
                  <c:v>15</c:v>
                </c:pt>
                <c:pt idx="4">
                  <c:v>20</c:v>
                </c:pt>
                <c:pt idx="5">
                  <c:v>25</c:v>
                </c:pt>
                <c:pt idx="6">
                  <c:v>30</c:v>
                </c:pt>
                <c:pt idx="7">
                  <c:v>35</c:v>
                </c:pt>
                <c:pt idx="8">
                  <c:v>40</c:v>
                </c:pt>
              </c:numCache>
            </c:numRef>
          </c:yVal>
          <c:smooth val="0"/>
          <c:extLst>
            <c:ext xmlns:c16="http://schemas.microsoft.com/office/drawing/2014/chart" uri="{C3380CC4-5D6E-409C-BE32-E72D297353CC}">
              <c16:uniqueId val="{00000001-3D32-4FD2-9CA4-EB7DEEF3F4A0}"/>
            </c:ext>
          </c:extLst>
        </c:ser>
        <c:dLbls>
          <c:dLblPos val="t"/>
          <c:showLegendKey val="0"/>
          <c:showVal val="1"/>
          <c:showCatName val="0"/>
          <c:showSerName val="0"/>
          <c:showPercent val="0"/>
          <c:showBubbleSize val="0"/>
        </c:dLbls>
        <c:axId val="957548736"/>
        <c:axId val="957546816"/>
      </c:scatterChart>
      <c:valAx>
        <c:axId val="957548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546816"/>
        <c:crosses val="autoZero"/>
        <c:crossBetween val="midCat"/>
      </c:valAx>
      <c:valAx>
        <c:axId val="95754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548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2024-06-12T12:17:00Z</dcterms:created>
  <dcterms:modified xsi:type="dcterms:W3CDTF">2024-06-12T12:43:00Z</dcterms:modified>
</cp:coreProperties>
</file>