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AF2D9" w14:textId="1E67EA94" w:rsidR="00DC62EE" w:rsidRPr="00DC62EE" w:rsidRDefault="00DC62EE" w:rsidP="00DC62EE">
      <w:pPr>
        <w:pStyle w:val="Heading1"/>
        <w:jc w:val="center"/>
        <w:rPr>
          <w:rFonts w:eastAsia="Times New Roman"/>
          <w:b/>
          <w:bCs/>
          <w:lang w:eastAsia="en-IN"/>
        </w:rPr>
      </w:pPr>
      <w:r w:rsidRPr="00DC62EE">
        <w:rPr>
          <w:rFonts w:eastAsia="Times New Roman"/>
          <w:b/>
          <w:bCs/>
          <w:lang w:eastAsia="en-IN"/>
        </w:rPr>
        <w:t>RISK MANAGEMENT IN BANKING OPERATIONS</w:t>
      </w:r>
    </w:p>
    <w:p w14:paraId="474352C9" w14:textId="77777777" w:rsidR="00DC62EE" w:rsidRPr="00DC62EE" w:rsidRDefault="00DC62EE" w:rsidP="00DC62EE">
      <w:pPr>
        <w:pStyle w:val="Heading2"/>
        <w:rPr>
          <w:rFonts w:eastAsia="Times New Roman"/>
          <w:lang w:eastAsia="en-IN"/>
        </w:rPr>
      </w:pPr>
      <w:r w:rsidRPr="00DC62EE">
        <w:rPr>
          <w:rFonts w:eastAsia="Times New Roman"/>
          <w:lang w:eastAsia="en-IN"/>
        </w:rPr>
        <w:t>Introduction</w:t>
      </w:r>
    </w:p>
    <w:p w14:paraId="7CCBCEB2"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Risk management in banking operations is a critical function that ensures the stability and profitability of financial institutions. This assignment will cover the key aspects of risk management, including types of risks, risk management frameworks, tools and techniques, the regulatory environment, and real-world examples of risk management in action.</w:t>
      </w:r>
    </w:p>
    <w:p w14:paraId="31C56F29" w14:textId="77777777" w:rsidR="00DC62EE" w:rsidRPr="00DC62EE" w:rsidRDefault="00DC62EE" w:rsidP="00DC62EE">
      <w:pPr>
        <w:spacing w:after="0"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pict w14:anchorId="3DBA3F0E">
          <v:rect id="_x0000_i1050" style="width:0;height:1.5pt" o:hralign="center" o:hrstd="t" o:hr="t" fillcolor="#a0a0a0" stroked="f"/>
        </w:pict>
      </w:r>
    </w:p>
    <w:p w14:paraId="7E465254" w14:textId="77777777" w:rsidR="00DC62EE" w:rsidRPr="00DC62EE" w:rsidRDefault="00DC62EE" w:rsidP="00DC62EE">
      <w:pPr>
        <w:pStyle w:val="Heading2"/>
        <w:rPr>
          <w:rFonts w:eastAsia="Times New Roman"/>
          <w:lang w:eastAsia="en-IN"/>
        </w:rPr>
      </w:pPr>
      <w:r w:rsidRPr="00DC62EE">
        <w:rPr>
          <w:rFonts w:eastAsia="Times New Roman"/>
          <w:lang w:eastAsia="en-IN"/>
        </w:rPr>
        <w:t>1. Types of Risks in Banking Operations</w:t>
      </w:r>
    </w:p>
    <w:p w14:paraId="6AD169EF"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1.1 </w:t>
      </w:r>
      <w:r w:rsidRPr="00DC62EE">
        <w:rPr>
          <w:rFonts w:eastAsia="Times New Roman" w:cs="Times New Roman"/>
          <w:b/>
          <w:bCs/>
          <w:kern w:val="0"/>
          <w:sz w:val="24"/>
          <w:szCs w:val="24"/>
          <w:lang w:eastAsia="en-IN"/>
          <w14:ligatures w14:val="none"/>
        </w:rPr>
        <w:t>Credit Risk</w:t>
      </w:r>
    </w:p>
    <w:p w14:paraId="7ED9D4C1" w14:textId="77777777" w:rsidR="00DC62EE" w:rsidRPr="00DC62EE" w:rsidRDefault="00DC62EE" w:rsidP="00DC62EE">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Definition</w:t>
      </w:r>
      <w:r w:rsidRPr="00DC62EE">
        <w:rPr>
          <w:rFonts w:eastAsia="Times New Roman" w:cs="Times New Roman"/>
          <w:kern w:val="0"/>
          <w:sz w:val="24"/>
          <w:szCs w:val="24"/>
          <w:lang w:eastAsia="en-IN"/>
          <w14:ligatures w14:val="none"/>
        </w:rPr>
        <w:t>: The risk of loss due to a borrower’s inability to repay a loan or meet contractual obligations.</w:t>
      </w:r>
    </w:p>
    <w:p w14:paraId="05C3F5B7" w14:textId="77777777" w:rsidR="00DC62EE" w:rsidRPr="00DC62EE" w:rsidRDefault="00DC62EE" w:rsidP="00DC62EE">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Management Techniques</w:t>
      </w:r>
      <w:r w:rsidRPr="00DC62EE">
        <w:rPr>
          <w:rFonts w:eastAsia="Times New Roman" w:cs="Times New Roman"/>
          <w:kern w:val="0"/>
          <w:sz w:val="24"/>
          <w:szCs w:val="24"/>
          <w:lang w:eastAsia="en-IN"/>
          <w14:ligatures w14:val="none"/>
        </w:rPr>
        <w:t>:</w:t>
      </w:r>
    </w:p>
    <w:p w14:paraId="49B61BDC" w14:textId="77777777" w:rsidR="00DC62EE" w:rsidRPr="00DC62EE" w:rsidRDefault="00DC62EE" w:rsidP="00DC62EE">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Credit Scoring and Assessment Models</w:t>
      </w:r>
      <w:r w:rsidRPr="00DC62EE">
        <w:rPr>
          <w:rFonts w:eastAsia="Times New Roman" w:cs="Times New Roman"/>
          <w:kern w:val="0"/>
          <w:sz w:val="24"/>
          <w:szCs w:val="24"/>
          <w:lang w:eastAsia="en-IN"/>
          <w14:ligatures w14:val="none"/>
        </w:rPr>
        <w:t>: Use of statistical models to predict the likelihood of default.</w:t>
      </w:r>
    </w:p>
    <w:p w14:paraId="6A57B178" w14:textId="77777777" w:rsidR="00DC62EE" w:rsidRPr="00DC62EE" w:rsidRDefault="00DC62EE" w:rsidP="00DC62EE">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Loan Diversification</w:t>
      </w:r>
      <w:r w:rsidRPr="00DC62EE">
        <w:rPr>
          <w:rFonts w:eastAsia="Times New Roman" w:cs="Times New Roman"/>
          <w:kern w:val="0"/>
          <w:sz w:val="24"/>
          <w:szCs w:val="24"/>
          <w:lang w:eastAsia="en-IN"/>
          <w14:ligatures w14:val="none"/>
        </w:rPr>
        <w:t>: Spreading credit exposure across different sectors and geographies to minimize risk.</w:t>
      </w:r>
    </w:p>
    <w:p w14:paraId="41402DAC" w14:textId="77777777" w:rsidR="00DC62EE" w:rsidRPr="00DC62EE" w:rsidRDefault="00DC62EE" w:rsidP="00DC62EE">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Collateral Requirements</w:t>
      </w:r>
      <w:r w:rsidRPr="00DC62EE">
        <w:rPr>
          <w:rFonts w:eastAsia="Times New Roman" w:cs="Times New Roman"/>
          <w:kern w:val="0"/>
          <w:sz w:val="24"/>
          <w:szCs w:val="24"/>
          <w:lang w:eastAsia="en-IN"/>
          <w14:ligatures w14:val="none"/>
        </w:rPr>
        <w:t>: Securing loans with assets to reduce potential losses.</w:t>
      </w:r>
    </w:p>
    <w:p w14:paraId="5624FA99"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1.2 </w:t>
      </w:r>
      <w:r w:rsidRPr="00DC62EE">
        <w:rPr>
          <w:rFonts w:eastAsia="Times New Roman" w:cs="Times New Roman"/>
          <w:b/>
          <w:bCs/>
          <w:kern w:val="0"/>
          <w:sz w:val="24"/>
          <w:szCs w:val="24"/>
          <w:lang w:eastAsia="en-IN"/>
          <w14:ligatures w14:val="none"/>
        </w:rPr>
        <w:t>Market Risk</w:t>
      </w:r>
    </w:p>
    <w:p w14:paraId="63AE94A0" w14:textId="77777777" w:rsidR="00DC62EE" w:rsidRPr="00DC62EE" w:rsidRDefault="00DC62EE" w:rsidP="00DC62EE">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Definition</w:t>
      </w:r>
      <w:r w:rsidRPr="00DC62EE">
        <w:rPr>
          <w:rFonts w:eastAsia="Times New Roman" w:cs="Times New Roman"/>
          <w:kern w:val="0"/>
          <w:sz w:val="24"/>
          <w:szCs w:val="24"/>
          <w:lang w:eastAsia="en-IN"/>
          <w14:ligatures w14:val="none"/>
        </w:rPr>
        <w:t>: The risk of losses due to changes in market prices such as interest rates, exchange rates, and equity prices.</w:t>
      </w:r>
    </w:p>
    <w:p w14:paraId="3B889E2F" w14:textId="77777777" w:rsidR="00DC62EE" w:rsidRPr="00DC62EE" w:rsidRDefault="00DC62EE" w:rsidP="00DC62EE">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Management Techniques</w:t>
      </w:r>
      <w:r w:rsidRPr="00DC62EE">
        <w:rPr>
          <w:rFonts w:eastAsia="Times New Roman" w:cs="Times New Roman"/>
          <w:kern w:val="0"/>
          <w:sz w:val="24"/>
          <w:szCs w:val="24"/>
          <w:lang w:eastAsia="en-IN"/>
          <w14:ligatures w14:val="none"/>
        </w:rPr>
        <w:t>:</w:t>
      </w:r>
    </w:p>
    <w:p w14:paraId="032945AC" w14:textId="77777777" w:rsidR="00DC62EE" w:rsidRPr="00DC62EE" w:rsidRDefault="00DC62EE" w:rsidP="00DC62EE">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Hedging through Derivatives</w:t>
      </w:r>
      <w:r w:rsidRPr="00DC62EE">
        <w:rPr>
          <w:rFonts w:eastAsia="Times New Roman" w:cs="Times New Roman"/>
          <w:kern w:val="0"/>
          <w:sz w:val="24"/>
          <w:szCs w:val="24"/>
          <w:lang w:eastAsia="en-IN"/>
          <w14:ligatures w14:val="none"/>
        </w:rPr>
        <w:t>: Using financial instruments like futures, options, and swaps to mitigate risk.</w:t>
      </w:r>
    </w:p>
    <w:p w14:paraId="61628DBB" w14:textId="77777777" w:rsidR="00DC62EE" w:rsidRPr="00DC62EE" w:rsidRDefault="00DC62EE" w:rsidP="00DC62EE">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Value at Risk (</w:t>
      </w:r>
      <w:proofErr w:type="spellStart"/>
      <w:r w:rsidRPr="00DC62EE">
        <w:rPr>
          <w:rFonts w:eastAsia="Times New Roman" w:cs="Times New Roman"/>
          <w:b/>
          <w:bCs/>
          <w:kern w:val="0"/>
          <w:sz w:val="24"/>
          <w:szCs w:val="24"/>
          <w:lang w:eastAsia="en-IN"/>
          <w14:ligatures w14:val="none"/>
        </w:rPr>
        <w:t>VaR</w:t>
      </w:r>
      <w:proofErr w:type="spellEnd"/>
      <w:r w:rsidRPr="00DC62EE">
        <w:rPr>
          <w:rFonts w:eastAsia="Times New Roman" w:cs="Times New Roman"/>
          <w:b/>
          <w:bCs/>
          <w:kern w:val="0"/>
          <w:sz w:val="24"/>
          <w:szCs w:val="24"/>
          <w:lang w:eastAsia="en-IN"/>
          <w14:ligatures w14:val="none"/>
        </w:rPr>
        <w:t>) Analysis</w:t>
      </w:r>
      <w:r w:rsidRPr="00DC62EE">
        <w:rPr>
          <w:rFonts w:eastAsia="Times New Roman" w:cs="Times New Roman"/>
          <w:kern w:val="0"/>
          <w:sz w:val="24"/>
          <w:szCs w:val="24"/>
          <w:lang w:eastAsia="en-IN"/>
          <w14:ligatures w14:val="none"/>
        </w:rPr>
        <w:t>: Estimating the potential loss in value of a portfolio.</w:t>
      </w:r>
    </w:p>
    <w:p w14:paraId="1CE42C42" w14:textId="77777777" w:rsidR="00DC62EE" w:rsidRPr="00DC62EE" w:rsidRDefault="00DC62EE" w:rsidP="00DC62EE">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Duration Analysis for Interest Rate Risk</w:t>
      </w:r>
      <w:r w:rsidRPr="00DC62EE">
        <w:rPr>
          <w:rFonts w:eastAsia="Times New Roman" w:cs="Times New Roman"/>
          <w:kern w:val="0"/>
          <w:sz w:val="24"/>
          <w:szCs w:val="24"/>
          <w:lang w:eastAsia="en-IN"/>
          <w14:ligatures w14:val="none"/>
        </w:rPr>
        <w:t>: Assessing sensitivity to changes in interest rates.</w:t>
      </w:r>
    </w:p>
    <w:p w14:paraId="7882AAFA"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1.3 </w:t>
      </w:r>
      <w:r w:rsidRPr="00DC62EE">
        <w:rPr>
          <w:rFonts w:eastAsia="Times New Roman" w:cs="Times New Roman"/>
          <w:b/>
          <w:bCs/>
          <w:kern w:val="0"/>
          <w:sz w:val="24"/>
          <w:szCs w:val="24"/>
          <w:lang w:eastAsia="en-IN"/>
          <w14:ligatures w14:val="none"/>
        </w:rPr>
        <w:t>Operational Risk</w:t>
      </w:r>
    </w:p>
    <w:p w14:paraId="47E63234" w14:textId="77777777" w:rsidR="00DC62EE" w:rsidRPr="00DC62EE" w:rsidRDefault="00DC62EE" w:rsidP="00DC62EE">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Definition</w:t>
      </w:r>
      <w:r w:rsidRPr="00DC62EE">
        <w:rPr>
          <w:rFonts w:eastAsia="Times New Roman" w:cs="Times New Roman"/>
          <w:kern w:val="0"/>
          <w:sz w:val="24"/>
          <w:szCs w:val="24"/>
          <w:lang w:eastAsia="en-IN"/>
          <w14:ligatures w14:val="none"/>
        </w:rPr>
        <w:t>: The risk of loss resulting from inadequate or failed internal processes, people, systems, or external events.</w:t>
      </w:r>
    </w:p>
    <w:p w14:paraId="6520D89E" w14:textId="77777777" w:rsidR="00DC62EE" w:rsidRPr="00DC62EE" w:rsidRDefault="00DC62EE" w:rsidP="00DC62EE">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Management Techniques</w:t>
      </w:r>
      <w:r w:rsidRPr="00DC62EE">
        <w:rPr>
          <w:rFonts w:eastAsia="Times New Roman" w:cs="Times New Roman"/>
          <w:kern w:val="0"/>
          <w:sz w:val="24"/>
          <w:szCs w:val="24"/>
          <w:lang w:eastAsia="en-IN"/>
          <w14:ligatures w14:val="none"/>
        </w:rPr>
        <w:t>:</w:t>
      </w:r>
    </w:p>
    <w:p w14:paraId="38231C89" w14:textId="77777777" w:rsidR="00DC62EE" w:rsidRPr="00DC62EE" w:rsidRDefault="00DC62EE" w:rsidP="00DC62EE">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Implementing Strong Internal Controls</w:t>
      </w:r>
      <w:r w:rsidRPr="00DC62EE">
        <w:rPr>
          <w:rFonts w:eastAsia="Times New Roman" w:cs="Times New Roman"/>
          <w:kern w:val="0"/>
          <w:sz w:val="24"/>
          <w:szCs w:val="24"/>
          <w:lang w:eastAsia="en-IN"/>
          <w14:ligatures w14:val="none"/>
        </w:rPr>
        <w:t>: Ensuring proper checks and balances.</w:t>
      </w:r>
    </w:p>
    <w:p w14:paraId="360A8644" w14:textId="77777777" w:rsidR="00DC62EE" w:rsidRPr="00DC62EE" w:rsidRDefault="00DC62EE" w:rsidP="00DC62EE">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lastRenderedPageBreak/>
        <w:t>Regular Internal Audits</w:t>
      </w:r>
      <w:r w:rsidRPr="00DC62EE">
        <w:rPr>
          <w:rFonts w:eastAsia="Times New Roman" w:cs="Times New Roman"/>
          <w:kern w:val="0"/>
          <w:sz w:val="24"/>
          <w:szCs w:val="24"/>
          <w:lang w:eastAsia="en-IN"/>
          <w14:ligatures w14:val="none"/>
        </w:rPr>
        <w:t>: Conducting systematic reviews of processes and controls.</w:t>
      </w:r>
    </w:p>
    <w:p w14:paraId="4CCDB804" w14:textId="77777777" w:rsidR="00DC62EE" w:rsidRPr="00DC62EE" w:rsidRDefault="00DC62EE" w:rsidP="00DC62EE">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Business Continuity Planning</w:t>
      </w:r>
      <w:r w:rsidRPr="00DC62EE">
        <w:rPr>
          <w:rFonts w:eastAsia="Times New Roman" w:cs="Times New Roman"/>
          <w:kern w:val="0"/>
          <w:sz w:val="24"/>
          <w:szCs w:val="24"/>
          <w:lang w:eastAsia="en-IN"/>
          <w14:ligatures w14:val="none"/>
        </w:rPr>
        <w:t>: Preparing for unexpected disruptions to operations.</w:t>
      </w:r>
    </w:p>
    <w:p w14:paraId="0B195F14"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1.4 </w:t>
      </w:r>
      <w:r w:rsidRPr="00DC62EE">
        <w:rPr>
          <w:rFonts w:eastAsia="Times New Roman" w:cs="Times New Roman"/>
          <w:b/>
          <w:bCs/>
          <w:kern w:val="0"/>
          <w:sz w:val="24"/>
          <w:szCs w:val="24"/>
          <w:lang w:eastAsia="en-IN"/>
          <w14:ligatures w14:val="none"/>
        </w:rPr>
        <w:t>Liquidity Risk</w:t>
      </w:r>
    </w:p>
    <w:p w14:paraId="67612BC6" w14:textId="77777777" w:rsidR="00DC62EE" w:rsidRPr="00DC62EE" w:rsidRDefault="00DC62EE" w:rsidP="00DC62EE">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Definition</w:t>
      </w:r>
      <w:r w:rsidRPr="00DC62EE">
        <w:rPr>
          <w:rFonts w:eastAsia="Times New Roman" w:cs="Times New Roman"/>
          <w:kern w:val="0"/>
          <w:sz w:val="24"/>
          <w:szCs w:val="24"/>
          <w:lang w:eastAsia="en-IN"/>
          <w14:ligatures w14:val="none"/>
        </w:rPr>
        <w:t>: The risk that a bank will not be able to meet its financial obligations as they come due.</w:t>
      </w:r>
    </w:p>
    <w:p w14:paraId="15D93CE6" w14:textId="77777777" w:rsidR="00DC62EE" w:rsidRPr="00DC62EE" w:rsidRDefault="00DC62EE" w:rsidP="00DC62EE">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Management Techniques</w:t>
      </w:r>
      <w:r w:rsidRPr="00DC62EE">
        <w:rPr>
          <w:rFonts w:eastAsia="Times New Roman" w:cs="Times New Roman"/>
          <w:kern w:val="0"/>
          <w:sz w:val="24"/>
          <w:szCs w:val="24"/>
          <w:lang w:eastAsia="en-IN"/>
          <w14:ligatures w14:val="none"/>
        </w:rPr>
        <w:t>:</w:t>
      </w:r>
    </w:p>
    <w:p w14:paraId="4A020198" w14:textId="77777777" w:rsidR="00DC62EE" w:rsidRPr="00DC62EE" w:rsidRDefault="00DC62EE" w:rsidP="00DC62EE">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Maintaining a Liquidity Buffer</w:t>
      </w:r>
      <w:r w:rsidRPr="00DC62EE">
        <w:rPr>
          <w:rFonts w:eastAsia="Times New Roman" w:cs="Times New Roman"/>
          <w:kern w:val="0"/>
          <w:sz w:val="24"/>
          <w:szCs w:val="24"/>
          <w:lang w:eastAsia="en-IN"/>
          <w14:ligatures w14:val="none"/>
        </w:rPr>
        <w:t>: Keeping sufficient high-quality liquid assets.</w:t>
      </w:r>
    </w:p>
    <w:p w14:paraId="4A040D58" w14:textId="77777777" w:rsidR="00DC62EE" w:rsidRPr="00DC62EE" w:rsidRDefault="00DC62EE" w:rsidP="00DC62EE">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Stress Testing and Scenario Analysis</w:t>
      </w:r>
      <w:r w:rsidRPr="00DC62EE">
        <w:rPr>
          <w:rFonts w:eastAsia="Times New Roman" w:cs="Times New Roman"/>
          <w:kern w:val="0"/>
          <w:sz w:val="24"/>
          <w:szCs w:val="24"/>
          <w:lang w:eastAsia="en-IN"/>
          <w14:ligatures w14:val="none"/>
        </w:rPr>
        <w:t>: Evaluating the bank’s ability to handle extreme conditions.</w:t>
      </w:r>
    </w:p>
    <w:p w14:paraId="1880BCBE" w14:textId="77777777" w:rsidR="00DC62EE" w:rsidRPr="00DC62EE" w:rsidRDefault="00DC62EE" w:rsidP="00DC62EE">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Diversifying Funding Sources</w:t>
      </w:r>
      <w:r w:rsidRPr="00DC62EE">
        <w:rPr>
          <w:rFonts w:eastAsia="Times New Roman" w:cs="Times New Roman"/>
          <w:kern w:val="0"/>
          <w:sz w:val="24"/>
          <w:szCs w:val="24"/>
          <w:lang w:eastAsia="en-IN"/>
          <w14:ligatures w14:val="none"/>
        </w:rPr>
        <w:t>: Ensuring access to multiple sources of funds.</w:t>
      </w:r>
    </w:p>
    <w:p w14:paraId="1DD57B59"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1.5 </w:t>
      </w:r>
      <w:r w:rsidRPr="00DC62EE">
        <w:rPr>
          <w:rFonts w:eastAsia="Times New Roman" w:cs="Times New Roman"/>
          <w:b/>
          <w:bCs/>
          <w:kern w:val="0"/>
          <w:sz w:val="24"/>
          <w:szCs w:val="24"/>
          <w:lang w:eastAsia="en-IN"/>
          <w14:ligatures w14:val="none"/>
        </w:rPr>
        <w:t>Compliance Risk</w:t>
      </w:r>
    </w:p>
    <w:p w14:paraId="21E9D342" w14:textId="77777777" w:rsidR="00DC62EE" w:rsidRPr="00DC62EE" w:rsidRDefault="00DC62EE" w:rsidP="00DC62EE">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Definition</w:t>
      </w:r>
      <w:r w:rsidRPr="00DC62EE">
        <w:rPr>
          <w:rFonts w:eastAsia="Times New Roman" w:cs="Times New Roman"/>
          <w:kern w:val="0"/>
          <w:sz w:val="24"/>
          <w:szCs w:val="24"/>
          <w:lang w:eastAsia="en-IN"/>
          <w14:ligatures w14:val="none"/>
        </w:rPr>
        <w:t>: The risk of legal or regulatory sanctions, financial loss, or reputational damage due to non-compliance with laws and regulations.</w:t>
      </w:r>
    </w:p>
    <w:p w14:paraId="225A6139" w14:textId="77777777" w:rsidR="00DC62EE" w:rsidRPr="00DC62EE" w:rsidRDefault="00DC62EE" w:rsidP="00DC62EE">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Management Techniques</w:t>
      </w:r>
      <w:r w:rsidRPr="00DC62EE">
        <w:rPr>
          <w:rFonts w:eastAsia="Times New Roman" w:cs="Times New Roman"/>
          <w:kern w:val="0"/>
          <w:sz w:val="24"/>
          <w:szCs w:val="24"/>
          <w:lang w:eastAsia="en-IN"/>
          <w14:ligatures w14:val="none"/>
        </w:rPr>
        <w:t>:</w:t>
      </w:r>
    </w:p>
    <w:p w14:paraId="00507DCF" w14:textId="77777777" w:rsidR="00DC62EE" w:rsidRPr="00DC62EE" w:rsidRDefault="00DC62EE" w:rsidP="00DC62EE">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Regular Compliance Audits</w:t>
      </w:r>
      <w:r w:rsidRPr="00DC62EE">
        <w:rPr>
          <w:rFonts w:eastAsia="Times New Roman" w:cs="Times New Roman"/>
          <w:kern w:val="0"/>
          <w:sz w:val="24"/>
          <w:szCs w:val="24"/>
          <w:lang w:eastAsia="en-IN"/>
          <w14:ligatures w14:val="none"/>
        </w:rPr>
        <w:t>: Checking adherence to regulatory requirements.</w:t>
      </w:r>
    </w:p>
    <w:p w14:paraId="2AF72739" w14:textId="77777777" w:rsidR="00DC62EE" w:rsidRPr="00DC62EE" w:rsidRDefault="00DC62EE" w:rsidP="00DC62EE">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Training Programs for Employees</w:t>
      </w:r>
      <w:r w:rsidRPr="00DC62EE">
        <w:rPr>
          <w:rFonts w:eastAsia="Times New Roman" w:cs="Times New Roman"/>
          <w:kern w:val="0"/>
          <w:sz w:val="24"/>
          <w:szCs w:val="24"/>
          <w:lang w:eastAsia="en-IN"/>
          <w14:ligatures w14:val="none"/>
        </w:rPr>
        <w:t>: Educating staff about compliance issues.</w:t>
      </w:r>
    </w:p>
    <w:p w14:paraId="66A871F3" w14:textId="77777777" w:rsidR="00DC62EE" w:rsidRPr="00DC62EE" w:rsidRDefault="00DC62EE" w:rsidP="00DC62EE">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Developing a Robust Compliance Management System</w:t>
      </w:r>
      <w:r w:rsidRPr="00DC62EE">
        <w:rPr>
          <w:rFonts w:eastAsia="Times New Roman" w:cs="Times New Roman"/>
          <w:kern w:val="0"/>
          <w:sz w:val="24"/>
          <w:szCs w:val="24"/>
          <w:lang w:eastAsia="en-IN"/>
          <w14:ligatures w14:val="none"/>
        </w:rPr>
        <w:t>: Systematizing compliance processes.</w:t>
      </w:r>
    </w:p>
    <w:p w14:paraId="67286100"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1.6 </w:t>
      </w:r>
      <w:r w:rsidRPr="00DC62EE">
        <w:rPr>
          <w:rFonts w:eastAsia="Times New Roman" w:cs="Times New Roman"/>
          <w:b/>
          <w:bCs/>
          <w:kern w:val="0"/>
          <w:sz w:val="24"/>
          <w:szCs w:val="24"/>
          <w:lang w:eastAsia="en-IN"/>
          <w14:ligatures w14:val="none"/>
        </w:rPr>
        <w:t>Reputational Risk</w:t>
      </w:r>
    </w:p>
    <w:p w14:paraId="131E2228" w14:textId="77777777" w:rsidR="00DC62EE" w:rsidRPr="00DC62EE" w:rsidRDefault="00DC62EE" w:rsidP="00DC62EE">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Definition</w:t>
      </w:r>
      <w:r w:rsidRPr="00DC62EE">
        <w:rPr>
          <w:rFonts w:eastAsia="Times New Roman" w:cs="Times New Roman"/>
          <w:kern w:val="0"/>
          <w:sz w:val="24"/>
          <w:szCs w:val="24"/>
          <w:lang w:eastAsia="en-IN"/>
          <w14:ligatures w14:val="none"/>
        </w:rPr>
        <w:t>: The risk of damage to a bank’s reputation, leading to loss of customers, revenue, or business opportunities.</w:t>
      </w:r>
    </w:p>
    <w:p w14:paraId="06111441" w14:textId="77777777" w:rsidR="00DC62EE" w:rsidRPr="00DC62EE" w:rsidRDefault="00DC62EE" w:rsidP="00DC62EE">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Management Techniques</w:t>
      </w:r>
      <w:r w:rsidRPr="00DC62EE">
        <w:rPr>
          <w:rFonts w:eastAsia="Times New Roman" w:cs="Times New Roman"/>
          <w:kern w:val="0"/>
          <w:sz w:val="24"/>
          <w:szCs w:val="24"/>
          <w:lang w:eastAsia="en-IN"/>
          <w14:ligatures w14:val="none"/>
        </w:rPr>
        <w:t>:</w:t>
      </w:r>
    </w:p>
    <w:p w14:paraId="5842AC2C" w14:textId="77777777" w:rsidR="00DC62EE" w:rsidRPr="00DC62EE" w:rsidRDefault="00DC62EE" w:rsidP="00DC62EE">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Transparent Communication with Stakeholders</w:t>
      </w:r>
      <w:r w:rsidRPr="00DC62EE">
        <w:rPr>
          <w:rFonts w:eastAsia="Times New Roman" w:cs="Times New Roman"/>
          <w:kern w:val="0"/>
          <w:sz w:val="24"/>
          <w:szCs w:val="24"/>
          <w:lang w:eastAsia="en-IN"/>
          <w14:ligatures w14:val="none"/>
        </w:rPr>
        <w:t>: Keeping stakeholders informed.</w:t>
      </w:r>
    </w:p>
    <w:p w14:paraId="10D3F46C" w14:textId="77777777" w:rsidR="00DC62EE" w:rsidRPr="00DC62EE" w:rsidRDefault="00DC62EE" w:rsidP="00DC62EE">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Proactive Issue Management and Resolution</w:t>
      </w:r>
      <w:r w:rsidRPr="00DC62EE">
        <w:rPr>
          <w:rFonts w:eastAsia="Times New Roman" w:cs="Times New Roman"/>
          <w:kern w:val="0"/>
          <w:sz w:val="24"/>
          <w:szCs w:val="24"/>
          <w:lang w:eastAsia="en-IN"/>
          <w14:ligatures w14:val="none"/>
        </w:rPr>
        <w:t>: Addressing problems before they escalate.</w:t>
      </w:r>
    </w:p>
    <w:p w14:paraId="7A7074EB" w14:textId="7A6D7032" w:rsidR="00DC62EE" w:rsidRPr="00DC62EE" w:rsidRDefault="00DC62EE" w:rsidP="00DC62EE">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Strong Ethical Standards and Corporate Governance</w:t>
      </w:r>
      <w:r w:rsidRPr="00DC62EE">
        <w:rPr>
          <w:rFonts w:eastAsia="Times New Roman" w:cs="Times New Roman"/>
          <w:kern w:val="0"/>
          <w:sz w:val="24"/>
          <w:szCs w:val="24"/>
          <w:lang w:eastAsia="en-IN"/>
          <w14:ligatures w14:val="none"/>
        </w:rPr>
        <w:t>: Ensuring integrity in operations.</w:t>
      </w:r>
    </w:p>
    <w:p w14:paraId="47424A91" w14:textId="77777777" w:rsidR="00DC62EE" w:rsidRPr="00DC62EE" w:rsidRDefault="00DC62EE" w:rsidP="00DC62EE">
      <w:pPr>
        <w:pStyle w:val="Heading2"/>
        <w:rPr>
          <w:rFonts w:eastAsia="Times New Roman"/>
          <w:lang w:eastAsia="en-IN"/>
        </w:rPr>
      </w:pPr>
      <w:r w:rsidRPr="00DC62EE">
        <w:rPr>
          <w:rFonts w:eastAsia="Times New Roman"/>
          <w:lang w:eastAsia="en-IN"/>
        </w:rPr>
        <w:t>2. Risk Management Framework</w:t>
      </w:r>
    </w:p>
    <w:p w14:paraId="5533656E"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2.1 </w:t>
      </w:r>
      <w:r w:rsidRPr="00DC62EE">
        <w:rPr>
          <w:rFonts w:eastAsia="Times New Roman" w:cs="Times New Roman"/>
          <w:b/>
          <w:bCs/>
          <w:kern w:val="0"/>
          <w:sz w:val="24"/>
          <w:szCs w:val="24"/>
          <w:lang w:eastAsia="en-IN"/>
          <w14:ligatures w14:val="none"/>
        </w:rPr>
        <w:t>Risk Identification</w:t>
      </w:r>
    </w:p>
    <w:p w14:paraId="2FC7151D" w14:textId="77777777" w:rsidR="00DC62EE" w:rsidRPr="00DC62EE" w:rsidRDefault="00DC62EE" w:rsidP="00DC62EE">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Process</w:t>
      </w:r>
      <w:r w:rsidRPr="00DC62EE">
        <w:rPr>
          <w:rFonts w:eastAsia="Times New Roman" w:cs="Times New Roman"/>
          <w:kern w:val="0"/>
          <w:sz w:val="24"/>
          <w:szCs w:val="24"/>
          <w:lang w:eastAsia="en-IN"/>
          <w14:ligatures w14:val="none"/>
        </w:rPr>
        <w:t>: Detecting and describing risks that could affect the bank’s objectives.</w:t>
      </w:r>
    </w:p>
    <w:p w14:paraId="0381BF73" w14:textId="77777777" w:rsidR="00DC62EE" w:rsidRPr="00DC62EE" w:rsidRDefault="00DC62EE" w:rsidP="00DC62EE">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Techniques</w:t>
      </w:r>
      <w:r w:rsidRPr="00DC62EE">
        <w:rPr>
          <w:rFonts w:eastAsia="Times New Roman" w:cs="Times New Roman"/>
          <w:kern w:val="0"/>
          <w:sz w:val="24"/>
          <w:szCs w:val="24"/>
          <w:lang w:eastAsia="en-IN"/>
          <w14:ligatures w14:val="none"/>
        </w:rPr>
        <w:t>: Risk assessments, SWOT analysis, and brainstorming sessions.</w:t>
      </w:r>
    </w:p>
    <w:p w14:paraId="239A3DF3"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lastRenderedPageBreak/>
        <w:t xml:space="preserve">2.2 </w:t>
      </w:r>
      <w:r w:rsidRPr="00DC62EE">
        <w:rPr>
          <w:rFonts w:eastAsia="Times New Roman" w:cs="Times New Roman"/>
          <w:b/>
          <w:bCs/>
          <w:kern w:val="0"/>
          <w:sz w:val="24"/>
          <w:szCs w:val="24"/>
          <w:lang w:eastAsia="en-IN"/>
          <w14:ligatures w14:val="none"/>
        </w:rPr>
        <w:t>Risk Assessment</w:t>
      </w:r>
    </w:p>
    <w:p w14:paraId="6F475C54" w14:textId="77777777" w:rsidR="00DC62EE" w:rsidRPr="00DC62EE" w:rsidRDefault="00DC62EE" w:rsidP="00DC62EE">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Evaluating Significance</w:t>
      </w:r>
      <w:r w:rsidRPr="00DC62EE">
        <w:rPr>
          <w:rFonts w:eastAsia="Times New Roman" w:cs="Times New Roman"/>
          <w:kern w:val="0"/>
          <w:sz w:val="24"/>
          <w:szCs w:val="24"/>
          <w:lang w:eastAsia="en-IN"/>
          <w14:ligatures w14:val="none"/>
        </w:rPr>
        <w:t>: Determining the likelihood and potential impact of identified risks.</w:t>
      </w:r>
    </w:p>
    <w:p w14:paraId="1FAE068B" w14:textId="77777777" w:rsidR="00DC62EE" w:rsidRPr="00DC62EE" w:rsidRDefault="00DC62EE" w:rsidP="00DC62EE">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Techniques</w:t>
      </w:r>
      <w:r w:rsidRPr="00DC62EE">
        <w:rPr>
          <w:rFonts w:eastAsia="Times New Roman" w:cs="Times New Roman"/>
          <w:kern w:val="0"/>
          <w:sz w:val="24"/>
          <w:szCs w:val="24"/>
          <w:lang w:eastAsia="en-IN"/>
          <w14:ligatures w14:val="none"/>
        </w:rPr>
        <w:t>: Probability-impact matrix, risk heat maps.</w:t>
      </w:r>
    </w:p>
    <w:p w14:paraId="723DB811"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2.3 </w:t>
      </w:r>
      <w:r w:rsidRPr="00DC62EE">
        <w:rPr>
          <w:rFonts w:eastAsia="Times New Roman" w:cs="Times New Roman"/>
          <w:b/>
          <w:bCs/>
          <w:kern w:val="0"/>
          <w:sz w:val="24"/>
          <w:szCs w:val="24"/>
          <w:lang w:eastAsia="en-IN"/>
          <w14:ligatures w14:val="none"/>
        </w:rPr>
        <w:t>Risk Mitigation</w:t>
      </w:r>
    </w:p>
    <w:p w14:paraId="44CB5F82" w14:textId="77777777" w:rsidR="00DC62EE" w:rsidRPr="00DC62EE" w:rsidRDefault="00DC62EE" w:rsidP="00DC62EE">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Developing Strategies</w:t>
      </w:r>
      <w:r w:rsidRPr="00DC62EE">
        <w:rPr>
          <w:rFonts w:eastAsia="Times New Roman" w:cs="Times New Roman"/>
          <w:kern w:val="0"/>
          <w:sz w:val="24"/>
          <w:szCs w:val="24"/>
          <w:lang w:eastAsia="en-IN"/>
          <w14:ligatures w14:val="none"/>
        </w:rPr>
        <w:t>: Formulating actions to minimize the impact of risks.</w:t>
      </w:r>
    </w:p>
    <w:p w14:paraId="491BD777" w14:textId="77777777" w:rsidR="00DC62EE" w:rsidRPr="00DC62EE" w:rsidRDefault="00DC62EE" w:rsidP="00DC62EE">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Techniques</w:t>
      </w:r>
      <w:r w:rsidRPr="00DC62EE">
        <w:rPr>
          <w:rFonts w:eastAsia="Times New Roman" w:cs="Times New Roman"/>
          <w:kern w:val="0"/>
          <w:sz w:val="24"/>
          <w:szCs w:val="24"/>
          <w:lang w:eastAsia="en-IN"/>
          <w14:ligatures w14:val="none"/>
        </w:rPr>
        <w:t>: Risk avoidance, risk reduction, risk transfer (e.g., insurance), and risk acceptance.</w:t>
      </w:r>
    </w:p>
    <w:p w14:paraId="4C25D6E2"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2.4 </w:t>
      </w:r>
      <w:r w:rsidRPr="00DC62EE">
        <w:rPr>
          <w:rFonts w:eastAsia="Times New Roman" w:cs="Times New Roman"/>
          <w:b/>
          <w:bCs/>
          <w:kern w:val="0"/>
          <w:sz w:val="24"/>
          <w:szCs w:val="24"/>
          <w:lang w:eastAsia="en-IN"/>
          <w14:ligatures w14:val="none"/>
        </w:rPr>
        <w:t>Risk Monitoring</w:t>
      </w:r>
    </w:p>
    <w:p w14:paraId="62B17018" w14:textId="77777777" w:rsidR="00DC62EE" w:rsidRPr="00DC62EE" w:rsidRDefault="00DC62EE" w:rsidP="00DC62EE">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Tracking and Reviewing</w:t>
      </w:r>
      <w:r w:rsidRPr="00DC62EE">
        <w:rPr>
          <w:rFonts w:eastAsia="Times New Roman" w:cs="Times New Roman"/>
          <w:kern w:val="0"/>
          <w:sz w:val="24"/>
          <w:szCs w:val="24"/>
          <w:lang w:eastAsia="en-IN"/>
          <w14:ligatures w14:val="none"/>
        </w:rPr>
        <w:t>: Continuously monitoring risk exposures and the effectiveness of mitigation strategies.</w:t>
      </w:r>
    </w:p>
    <w:p w14:paraId="4C263A4F" w14:textId="77777777" w:rsidR="00DC62EE" w:rsidRPr="00DC62EE" w:rsidRDefault="00DC62EE" w:rsidP="00DC62EE">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Techniques</w:t>
      </w:r>
      <w:r w:rsidRPr="00DC62EE">
        <w:rPr>
          <w:rFonts w:eastAsia="Times New Roman" w:cs="Times New Roman"/>
          <w:kern w:val="0"/>
          <w:sz w:val="24"/>
          <w:szCs w:val="24"/>
          <w:lang w:eastAsia="en-IN"/>
          <w14:ligatures w14:val="none"/>
        </w:rPr>
        <w:t>: Key risk indicators (KRIs), regular risk reporting, and dashboard tools.</w:t>
      </w:r>
    </w:p>
    <w:p w14:paraId="7197D09F"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2.5 </w:t>
      </w:r>
      <w:r w:rsidRPr="00DC62EE">
        <w:rPr>
          <w:rFonts w:eastAsia="Times New Roman" w:cs="Times New Roman"/>
          <w:b/>
          <w:bCs/>
          <w:kern w:val="0"/>
          <w:sz w:val="24"/>
          <w:szCs w:val="24"/>
          <w:lang w:eastAsia="en-IN"/>
          <w14:ligatures w14:val="none"/>
        </w:rPr>
        <w:t>Risk Reporting</w:t>
      </w:r>
    </w:p>
    <w:p w14:paraId="682B617D" w14:textId="77777777" w:rsidR="00DC62EE" w:rsidRPr="00DC62EE" w:rsidRDefault="00DC62EE" w:rsidP="00DC62EE">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Informing Stakeholders</w:t>
      </w:r>
      <w:r w:rsidRPr="00DC62EE">
        <w:rPr>
          <w:rFonts w:eastAsia="Times New Roman" w:cs="Times New Roman"/>
          <w:kern w:val="0"/>
          <w:sz w:val="24"/>
          <w:szCs w:val="24"/>
          <w:lang w:eastAsia="en-IN"/>
          <w14:ligatures w14:val="none"/>
        </w:rPr>
        <w:t>: Regularly updating stakeholders about the bank’s risk exposure and management activities.</w:t>
      </w:r>
    </w:p>
    <w:p w14:paraId="59EE7E28" w14:textId="51265F7B" w:rsidR="00DC62EE" w:rsidRPr="00DC62EE" w:rsidRDefault="00DC62EE" w:rsidP="00DC62EE">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Techniques</w:t>
      </w:r>
      <w:r w:rsidRPr="00DC62EE">
        <w:rPr>
          <w:rFonts w:eastAsia="Times New Roman" w:cs="Times New Roman"/>
          <w:kern w:val="0"/>
          <w:sz w:val="24"/>
          <w:szCs w:val="24"/>
          <w:lang w:eastAsia="en-IN"/>
          <w14:ligatures w14:val="none"/>
        </w:rPr>
        <w:t>: Regular risk reports, board meetings, and regulatory submissions.</w:t>
      </w:r>
    </w:p>
    <w:p w14:paraId="2D6AA484" w14:textId="77777777" w:rsidR="00DC62EE" w:rsidRPr="00DC62EE" w:rsidRDefault="00DC62EE" w:rsidP="00DC62EE">
      <w:pPr>
        <w:pStyle w:val="Heading2"/>
        <w:rPr>
          <w:rFonts w:eastAsia="Times New Roman"/>
          <w:lang w:eastAsia="en-IN"/>
        </w:rPr>
      </w:pPr>
      <w:r w:rsidRPr="00DC62EE">
        <w:rPr>
          <w:rFonts w:eastAsia="Times New Roman"/>
          <w:lang w:eastAsia="en-IN"/>
        </w:rPr>
        <w:t>3. Tools and Techniques for Risk Management</w:t>
      </w:r>
    </w:p>
    <w:p w14:paraId="6F362994"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3.1 </w:t>
      </w:r>
      <w:r w:rsidRPr="00DC62EE">
        <w:rPr>
          <w:rFonts w:eastAsia="Times New Roman" w:cs="Times New Roman"/>
          <w:b/>
          <w:bCs/>
          <w:kern w:val="0"/>
          <w:sz w:val="24"/>
          <w:szCs w:val="24"/>
          <w:lang w:eastAsia="en-IN"/>
          <w14:ligatures w14:val="none"/>
        </w:rPr>
        <w:t>Stress Testing and Scenario Analysis</w:t>
      </w:r>
    </w:p>
    <w:p w14:paraId="0BE5F380" w14:textId="77777777" w:rsidR="00DC62EE" w:rsidRPr="00DC62EE" w:rsidRDefault="00DC62EE" w:rsidP="00DC62EE">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Purpose</w:t>
      </w:r>
      <w:r w:rsidRPr="00DC62EE">
        <w:rPr>
          <w:rFonts w:eastAsia="Times New Roman" w:cs="Times New Roman"/>
          <w:kern w:val="0"/>
          <w:sz w:val="24"/>
          <w:szCs w:val="24"/>
          <w:lang w:eastAsia="en-IN"/>
          <w14:ligatures w14:val="none"/>
        </w:rPr>
        <w:t>: Simulating extreme scenarios to assess the bank’s resilience.</w:t>
      </w:r>
    </w:p>
    <w:p w14:paraId="0FBB3C29" w14:textId="77777777" w:rsidR="00DC62EE" w:rsidRPr="00DC62EE" w:rsidRDefault="00DC62EE" w:rsidP="00DC62EE">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Techniques</w:t>
      </w:r>
      <w:r w:rsidRPr="00DC62EE">
        <w:rPr>
          <w:rFonts w:eastAsia="Times New Roman" w:cs="Times New Roman"/>
          <w:kern w:val="0"/>
          <w:sz w:val="24"/>
          <w:szCs w:val="24"/>
          <w:lang w:eastAsia="en-IN"/>
          <w14:ligatures w14:val="none"/>
        </w:rPr>
        <w:t>: Hypothetical scenarios, historical scenarios, reverse stress testing.</w:t>
      </w:r>
    </w:p>
    <w:p w14:paraId="1CFFAF63"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3.2 </w:t>
      </w:r>
      <w:r w:rsidRPr="00DC62EE">
        <w:rPr>
          <w:rFonts w:eastAsia="Times New Roman" w:cs="Times New Roman"/>
          <w:b/>
          <w:bCs/>
          <w:kern w:val="0"/>
          <w:sz w:val="24"/>
          <w:szCs w:val="24"/>
          <w:lang w:eastAsia="en-IN"/>
          <w14:ligatures w14:val="none"/>
        </w:rPr>
        <w:t>Value at Risk (</w:t>
      </w:r>
      <w:proofErr w:type="spellStart"/>
      <w:r w:rsidRPr="00DC62EE">
        <w:rPr>
          <w:rFonts w:eastAsia="Times New Roman" w:cs="Times New Roman"/>
          <w:b/>
          <w:bCs/>
          <w:kern w:val="0"/>
          <w:sz w:val="24"/>
          <w:szCs w:val="24"/>
          <w:lang w:eastAsia="en-IN"/>
          <w14:ligatures w14:val="none"/>
        </w:rPr>
        <w:t>VaR</w:t>
      </w:r>
      <w:proofErr w:type="spellEnd"/>
      <w:r w:rsidRPr="00DC62EE">
        <w:rPr>
          <w:rFonts w:eastAsia="Times New Roman" w:cs="Times New Roman"/>
          <w:b/>
          <w:bCs/>
          <w:kern w:val="0"/>
          <w:sz w:val="24"/>
          <w:szCs w:val="24"/>
          <w:lang w:eastAsia="en-IN"/>
          <w14:ligatures w14:val="none"/>
        </w:rPr>
        <w:t>)</w:t>
      </w:r>
    </w:p>
    <w:p w14:paraId="17F82F2D" w14:textId="77777777" w:rsidR="00DC62EE" w:rsidRPr="00DC62EE" w:rsidRDefault="00DC62EE" w:rsidP="00DC62EE">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Purpose</w:t>
      </w:r>
      <w:r w:rsidRPr="00DC62EE">
        <w:rPr>
          <w:rFonts w:eastAsia="Times New Roman" w:cs="Times New Roman"/>
          <w:kern w:val="0"/>
          <w:sz w:val="24"/>
          <w:szCs w:val="24"/>
          <w:lang w:eastAsia="en-IN"/>
          <w14:ligatures w14:val="none"/>
        </w:rPr>
        <w:t>: Measuring and quantifying the level of financial risk within a firm over a specific time frame.</w:t>
      </w:r>
    </w:p>
    <w:p w14:paraId="27368C65" w14:textId="77777777" w:rsidR="00DC62EE" w:rsidRPr="00DC62EE" w:rsidRDefault="00DC62EE" w:rsidP="00DC62EE">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Techniques</w:t>
      </w:r>
      <w:r w:rsidRPr="00DC62EE">
        <w:rPr>
          <w:rFonts w:eastAsia="Times New Roman" w:cs="Times New Roman"/>
          <w:kern w:val="0"/>
          <w:sz w:val="24"/>
          <w:szCs w:val="24"/>
          <w:lang w:eastAsia="en-IN"/>
          <w14:ligatures w14:val="none"/>
        </w:rPr>
        <w:t>: Historical simulation, Monte Carlo simulation, and parametric methods.</w:t>
      </w:r>
    </w:p>
    <w:p w14:paraId="72B4B742"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3.3 </w:t>
      </w:r>
      <w:r w:rsidRPr="00DC62EE">
        <w:rPr>
          <w:rFonts w:eastAsia="Times New Roman" w:cs="Times New Roman"/>
          <w:b/>
          <w:bCs/>
          <w:kern w:val="0"/>
          <w:sz w:val="24"/>
          <w:szCs w:val="24"/>
          <w:lang w:eastAsia="en-IN"/>
          <w14:ligatures w14:val="none"/>
        </w:rPr>
        <w:t>Credit Scoring Models</w:t>
      </w:r>
    </w:p>
    <w:p w14:paraId="19E76480" w14:textId="77777777" w:rsidR="00DC62EE" w:rsidRPr="00DC62EE" w:rsidRDefault="00DC62EE" w:rsidP="00DC62EE">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Purpose</w:t>
      </w:r>
      <w:r w:rsidRPr="00DC62EE">
        <w:rPr>
          <w:rFonts w:eastAsia="Times New Roman" w:cs="Times New Roman"/>
          <w:kern w:val="0"/>
          <w:sz w:val="24"/>
          <w:szCs w:val="24"/>
          <w:lang w:eastAsia="en-IN"/>
          <w14:ligatures w14:val="none"/>
        </w:rPr>
        <w:t>: Evaluating the creditworthiness of potential borrowers.</w:t>
      </w:r>
    </w:p>
    <w:p w14:paraId="5D075059" w14:textId="77777777" w:rsidR="00DC62EE" w:rsidRPr="00DC62EE" w:rsidRDefault="00DC62EE" w:rsidP="00DC62EE">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Techniques</w:t>
      </w:r>
      <w:r w:rsidRPr="00DC62EE">
        <w:rPr>
          <w:rFonts w:eastAsia="Times New Roman" w:cs="Times New Roman"/>
          <w:kern w:val="0"/>
          <w:sz w:val="24"/>
          <w:szCs w:val="24"/>
          <w:lang w:eastAsia="en-IN"/>
          <w14:ligatures w14:val="none"/>
        </w:rPr>
        <w:t>: Statistical models, machine learning algorithms.</w:t>
      </w:r>
    </w:p>
    <w:p w14:paraId="0F4BDF73" w14:textId="77777777" w:rsidR="00DC62EE" w:rsidRDefault="00DC62EE">
      <w:pPr>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br w:type="page"/>
      </w:r>
    </w:p>
    <w:p w14:paraId="7CA25BF7" w14:textId="3024CFFD"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lastRenderedPageBreak/>
        <w:t xml:space="preserve">3.4 </w:t>
      </w:r>
      <w:r w:rsidRPr="00DC62EE">
        <w:rPr>
          <w:rFonts w:eastAsia="Times New Roman" w:cs="Times New Roman"/>
          <w:b/>
          <w:bCs/>
          <w:kern w:val="0"/>
          <w:sz w:val="24"/>
          <w:szCs w:val="24"/>
          <w:lang w:eastAsia="en-IN"/>
          <w14:ligatures w14:val="none"/>
        </w:rPr>
        <w:t>Internal Audits and Controls</w:t>
      </w:r>
    </w:p>
    <w:p w14:paraId="7BAF19AC" w14:textId="77777777" w:rsidR="00DC62EE" w:rsidRPr="00DC62EE" w:rsidRDefault="00DC62EE" w:rsidP="00DC62EE">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Purpose</w:t>
      </w:r>
      <w:r w:rsidRPr="00DC62EE">
        <w:rPr>
          <w:rFonts w:eastAsia="Times New Roman" w:cs="Times New Roman"/>
          <w:kern w:val="0"/>
          <w:sz w:val="24"/>
          <w:szCs w:val="24"/>
          <w:lang w:eastAsia="en-IN"/>
          <w14:ligatures w14:val="none"/>
        </w:rPr>
        <w:t>: Ensuring robust internal controls to detect and prevent operational risks.</w:t>
      </w:r>
    </w:p>
    <w:p w14:paraId="0778E0EF" w14:textId="77777777" w:rsidR="00DC62EE" w:rsidRPr="00DC62EE" w:rsidRDefault="00DC62EE" w:rsidP="00DC62EE">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Techniques</w:t>
      </w:r>
      <w:r w:rsidRPr="00DC62EE">
        <w:rPr>
          <w:rFonts w:eastAsia="Times New Roman" w:cs="Times New Roman"/>
          <w:kern w:val="0"/>
          <w:sz w:val="24"/>
          <w:szCs w:val="24"/>
          <w:lang w:eastAsia="en-IN"/>
          <w14:ligatures w14:val="none"/>
        </w:rPr>
        <w:t>: Regular audits, segregation of duties, access controls.</w:t>
      </w:r>
    </w:p>
    <w:p w14:paraId="4359F7A2"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3.5 </w:t>
      </w:r>
      <w:r w:rsidRPr="00DC62EE">
        <w:rPr>
          <w:rFonts w:eastAsia="Times New Roman" w:cs="Times New Roman"/>
          <w:b/>
          <w:bCs/>
          <w:kern w:val="0"/>
          <w:sz w:val="24"/>
          <w:szCs w:val="24"/>
          <w:lang w:eastAsia="en-IN"/>
          <w14:ligatures w14:val="none"/>
        </w:rPr>
        <w:t>Compliance Management Systems</w:t>
      </w:r>
    </w:p>
    <w:p w14:paraId="6D7DCE47" w14:textId="77777777" w:rsidR="00DC62EE" w:rsidRPr="00DC62EE" w:rsidRDefault="00DC62EE" w:rsidP="00DC62EE">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Purpose</w:t>
      </w:r>
      <w:r w:rsidRPr="00DC62EE">
        <w:rPr>
          <w:rFonts w:eastAsia="Times New Roman" w:cs="Times New Roman"/>
          <w:kern w:val="0"/>
          <w:sz w:val="24"/>
          <w:szCs w:val="24"/>
          <w:lang w:eastAsia="en-IN"/>
          <w14:ligatures w14:val="none"/>
        </w:rPr>
        <w:t>: Ensuring adherence to legal and regulatory requirements.</w:t>
      </w:r>
    </w:p>
    <w:p w14:paraId="7BAAAD7D" w14:textId="511ABFA3" w:rsidR="00DC62EE" w:rsidRPr="00DC62EE" w:rsidRDefault="00DC62EE" w:rsidP="00DC62EE">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Techniques</w:t>
      </w:r>
      <w:r w:rsidRPr="00DC62EE">
        <w:rPr>
          <w:rFonts w:eastAsia="Times New Roman" w:cs="Times New Roman"/>
          <w:kern w:val="0"/>
          <w:sz w:val="24"/>
          <w:szCs w:val="24"/>
          <w:lang w:eastAsia="en-IN"/>
          <w14:ligatures w14:val="none"/>
        </w:rPr>
        <w:t>: Policy management, regulatory change management, compliance monitoring.</w:t>
      </w:r>
    </w:p>
    <w:p w14:paraId="5DCE99A2" w14:textId="77777777" w:rsidR="00DC62EE" w:rsidRPr="00DC62EE" w:rsidRDefault="00DC62EE" w:rsidP="00DC62EE">
      <w:pPr>
        <w:pStyle w:val="Heading2"/>
        <w:rPr>
          <w:rFonts w:eastAsia="Times New Roman"/>
          <w:lang w:eastAsia="en-IN"/>
        </w:rPr>
      </w:pPr>
      <w:r w:rsidRPr="00DC62EE">
        <w:rPr>
          <w:rFonts w:eastAsia="Times New Roman"/>
          <w:lang w:eastAsia="en-IN"/>
        </w:rPr>
        <w:t>4. Regulatory Environment</w:t>
      </w:r>
    </w:p>
    <w:p w14:paraId="59E8B431"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4.1 </w:t>
      </w:r>
      <w:r w:rsidRPr="00DC62EE">
        <w:rPr>
          <w:rFonts w:eastAsia="Times New Roman" w:cs="Times New Roman"/>
          <w:b/>
          <w:bCs/>
          <w:kern w:val="0"/>
          <w:sz w:val="24"/>
          <w:szCs w:val="24"/>
          <w:lang w:eastAsia="en-IN"/>
          <w14:ligatures w14:val="none"/>
        </w:rPr>
        <w:t>Basel III</w:t>
      </w:r>
    </w:p>
    <w:p w14:paraId="4F559B8F" w14:textId="77777777" w:rsidR="00DC62EE" w:rsidRPr="00DC62EE" w:rsidRDefault="00DC62EE" w:rsidP="00DC62EE">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Overview</w:t>
      </w:r>
      <w:r w:rsidRPr="00DC62EE">
        <w:rPr>
          <w:rFonts w:eastAsia="Times New Roman" w:cs="Times New Roman"/>
          <w:kern w:val="0"/>
          <w:sz w:val="24"/>
          <w:szCs w:val="24"/>
          <w:lang w:eastAsia="en-IN"/>
          <w14:ligatures w14:val="none"/>
        </w:rPr>
        <w:t>: International regulatory framework for banks developed by the Basel Committee on Banking Supervision.</w:t>
      </w:r>
    </w:p>
    <w:p w14:paraId="223D9C09" w14:textId="77777777" w:rsidR="00DC62EE" w:rsidRPr="00DC62EE" w:rsidRDefault="00DC62EE" w:rsidP="00DC62EE">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Key Components</w:t>
      </w:r>
      <w:r w:rsidRPr="00DC62EE">
        <w:rPr>
          <w:rFonts w:eastAsia="Times New Roman" w:cs="Times New Roman"/>
          <w:kern w:val="0"/>
          <w:sz w:val="24"/>
          <w:szCs w:val="24"/>
          <w:lang w:eastAsia="en-IN"/>
          <w14:ligatures w14:val="none"/>
        </w:rPr>
        <w:t>:</w:t>
      </w:r>
    </w:p>
    <w:p w14:paraId="3097CC01" w14:textId="77777777" w:rsidR="00DC62EE" w:rsidRPr="00DC62EE" w:rsidRDefault="00DC62EE" w:rsidP="00DC62EE">
      <w:pPr>
        <w:numPr>
          <w:ilvl w:val="1"/>
          <w:numId w:val="17"/>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Capital Adequacy Requirements</w:t>
      </w:r>
      <w:r w:rsidRPr="00DC62EE">
        <w:rPr>
          <w:rFonts w:eastAsia="Times New Roman" w:cs="Times New Roman"/>
          <w:kern w:val="0"/>
          <w:sz w:val="24"/>
          <w:szCs w:val="24"/>
          <w:lang w:eastAsia="en-IN"/>
          <w14:ligatures w14:val="none"/>
        </w:rPr>
        <w:t>: Ensuring banks have sufficient capital to absorb losses.</w:t>
      </w:r>
    </w:p>
    <w:p w14:paraId="4A7A07D2" w14:textId="77777777" w:rsidR="00DC62EE" w:rsidRPr="00DC62EE" w:rsidRDefault="00DC62EE" w:rsidP="00DC62EE">
      <w:pPr>
        <w:numPr>
          <w:ilvl w:val="1"/>
          <w:numId w:val="17"/>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Leverage Ratio</w:t>
      </w:r>
      <w:r w:rsidRPr="00DC62EE">
        <w:rPr>
          <w:rFonts w:eastAsia="Times New Roman" w:cs="Times New Roman"/>
          <w:kern w:val="0"/>
          <w:sz w:val="24"/>
          <w:szCs w:val="24"/>
          <w:lang w:eastAsia="en-IN"/>
          <w14:ligatures w14:val="none"/>
        </w:rPr>
        <w:t>: Limiting the amount of leverage banks can use.</w:t>
      </w:r>
    </w:p>
    <w:p w14:paraId="468AEBBD" w14:textId="77777777" w:rsidR="00DC62EE" w:rsidRPr="00DC62EE" w:rsidRDefault="00DC62EE" w:rsidP="00DC62EE">
      <w:pPr>
        <w:numPr>
          <w:ilvl w:val="1"/>
          <w:numId w:val="17"/>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Liquidity Requirements</w:t>
      </w:r>
      <w:r w:rsidRPr="00DC62EE">
        <w:rPr>
          <w:rFonts w:eastAsia="Times New Roman" w:cs="Times New Roman"/>
          <w:kern w:val="0"/>
          <w:sz w:val="24"/>
          <w:szCs w:val="24"/>
          <w:lang w:eastAsia="en-IN"/>
          <w14:ligatures w14:val="none"/>
        </w:rPr>
        <w:t>: Ensuring banks have enough liquid assets to meet short-term obligations.</w:t>
      </w:r>
    </w:p>
    <w:p w14:paraId="5A829371"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4.2 </w:t>
      </w:r>
      <w:r w:rsidRPr="00DC62EE">
        <w:rPr>
          <w:rFonts w:eastAsia="Times New Roman" w:cs="Times New Roman"/>
          <w:b/>
          <w:bCs/>
          <w:kern w:val="0"/>
          <w:sz w:val="24"/>
          <w:szCs w:val="24"/>
          <w:lang w:eastAsia="en-IN"/>
          <w14:ligatures w14:val="none"/>
        </w:rPr>
        <w:t>Dodd-Frank Act</w:t>
      </w:r>
    </w:p>
    <w:p w14:paraId="5E5F3176" w14:textId="77777777" w:rsidR="00DC62EE" w:rsidRPr="00DC62EE" w:rsidRDefault="00DC62EE" w:rsidP="00DC62EE">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Overview</w:t>
      </w:r>
      <w:r w:rsidRPr="00DC62EE">
        <w:rPr>
          <w:rFonts w:eastAsia="Times New Roman" w:cs="Times New Roman"/>
          <w:kern w:val="0"/>
          <w:sz w:val="24"/>
          <w:szCs w:val="24"/>
          <w:lang w:eastAsia="en-IN"/>
          <w14:ligatures w14:val="none"/>
        </w:rPr>
        <w:t>: US federal law that places regulation of the financial industry in the hands of the government.</w:t>
      </w:r>
    </w:p>
    <w:p w14:paraId="04F96CCA" w14:textId="77777777" w:rsidR="00DC62EE" w:rsidRPr="00DC62EE" w:rsidRDefault="00DC62EE" w:rsidP="00DC62EE">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Key Components</w:t>
      </w:r>
      <w:r w:rsidRPr="00DC62EE">
        <w:rPr>
          <w:rFonts w:eastAsia="Times New Roman" w:cs="Times New Roman"/>
          <w:kern w:val="0"/>
          <w:sz w:val="24"/>
          <w:szCs w:val="24"/>
          <w:lang w:eastAsia="en-IN"/>
          <w14:ligatures w14:val="none"/>
        </w:rPr>
        <w:t>:</w:t>
      </w:r>
    </w:p>
    <w:p w14:paraId="6FCF2A97" w14:textId="77777777" w:rsidR="00DC62EE" w:rsidRPr="00DC62EE" w:rsidRDefault="00DC62EE" w:rsidP="00DC62EE">
      <w:pPr>
        <w:numPr>
          <w:ilvl w:val="1"/>
          <w:numId w:val="18"/>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Increased Transparency and Accountability</w:t>
      </w:r>
      <w:r w:rsidRPr="00DC62EE">
        <w:rPr>
          <w:rFonts w:eastAsia="Times New Roman" w:cs="Times New Roman"/>
          <w:kern w:val="0"/>
          <w:sz w:val="24"/>
          <w:szCs w:val="24"/>
          <w:lang w:eastAsia="en-IN"/>
          <w14:ligatures w14:val="none"/>
        </w:rPr>
        <w:t>: Improving oversight of financial institutions.</w:t>
      </w:r>
    </w:p>
    <w:p w14:paraId="79A1DF4F" w14:textId="77777777" w:rsidR="00DC62EE" w:rsidRPr="00DC62EE" w:rsidRDefault="00DC62EE" w:rsidP="00DC62EE">
      <w:pPr>
        <w:numPr>
          <w:ilvl w:val="1"/>
          <w:numId w:val="18"/>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Restrictions on Speculative Trading</w:t>
      </w:r>
      <w:r w:rsidRPr="00DC62EE">
        <w:rPr>
          <w:rFonts w:eastAsia="Times New Roman" w:cs="Times New Roman"/>
          <w:kern w:val="0"/>
          <w:sz w:val="24"/>
          <w:szCs w:val="24"/>
          <w:lang w:eastAsia="en-IN"/>
          <w14:ligatures w14:val="none"/>
        </w:rPr>
        <w:t>: Limiting proprietary trading by banks.</w:t>
      </w:r>
    </w:p>
    <w:p w14:paraId="5200CEA9"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4.3 </w:t>
      </w:r>
      <w:r w:rsidRPr="00DC62EE">
        <w:rPr>
          <w:rFonts w:eastAsia="Times New Roman" w:cs="Times New Roman"/>
          <w:b/>
          <w:bCs/>
          <w:kern w:val="0"/>
          <w:sz w:val="24"/>
          <w:szCs w:val="24"/>
          <w:lang w:eastAsia="en-IN"/>
          <w14:ligatures w14:val="none"/>
        </w:rPr>
        <w:t>European Banking Authority (EBA) Regulations</w:t>
      </w:r>
    </w:p>
    <w:p w14:paraId="04051811" w14:textId="77777777" w:rsidR="00DC62EE" w:rsidRPr="00DC62EE" w:rsidRDefault="00DC62EE" w:rsidP="00DC62EE">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Overview</w:t>
      </w:r>
      <w:r w:rsidRPr="00DC62EE">
        <w:rPr>
          <w:rFonts w:eastAsia="Times New Roman" w:cs="Times New Roman"/>
          <w:kern w:val="0"/>
          <w:sz w:val="24"/>
          <w:szCs w:val="24"/>
          <w:lang w:eastAsia="en-IN"/>
          <w14:ligatures w14:val="none"/>
        </w:rPr>
        <w:t>: Regulatory body of the European Union that ensures effective and consistent regulation and supervision across the European banking sector.</w:t>
      </w:r>
    </w:p>
    <w:p w14:paraId="52790284" w14:textId="77777777" w:rsidR="00DC62EE" w:rsidRPr="00DC62EE" w:rsidRDefault="00DC62EE" w:rsidP="00DC62EE">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Key Components</w:t>
      </w:r>
      <w:r w:rsidRPr="00DC62EE">
        <w:rPr>
          <w:rFonts w:eastAsia="Times New Roman" w:cs="Times New Roman"/>
          <w:kern w:val="0"/>
          <w:sz w:val="24"/>
          <w:szCs w:val="24"/>
          <w:lang w:eastAsia="en-IN"/>
          <w14:ligatures w14:val="none"/>
        </w:rPr>
        <w:t>:</w:t>
      </w:r>
    </w:p>
    <w:p w14:paraId="07626097" w14:textId="77777777" w:rsidR="00DC62EE" w:rsidRPr="00DC62EE" w:rsidRDefault="00DC62EE" w:rsidP="00DC62EE">
      <w:pPr>
        <w:numPr>
          <w:ilvl w:val="1"/>
          <w:numId w:val="19"/>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Harmonizing Banking Practices Across Europe</w:t>
      </w:r>
      <w:r w:rsidRPr="00DC62EE">
        <w:rPr>
          <w:rFonts w:eastAsia="Times New Roman" w:cs="Times New Roman"/>
          <w:kern w:val="0"/>
          <w:sz w:val="24"/>
          <w:szCs w:val="24"/>
          <w:lang w:eastAsia="en-IN"/>
          <w14:ligatures w14:val="none"/>
        </w:rPr>
        <w:t>: Standardizing regulations across member states.</w:t>
      </w:r>
    </w:p>
    <w:p w14:paraId="44E2F743" w14:textId="75B40E87" w:rsidR="00DC62EE" w:rsidRPr="00DC62EE" w:rsidRDefault="00DC62EE" w:rsidP="00DC62EE">
      <w:pPr>
        <w:numPr>
          <w:ilvl w:val="1"/>
          <w:numId w:val="19"/>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Enhancing Consumer Protection</w:t>
      </w:r>
      <w:r w:rsidRPr="00DC62EE">
        <w:rPr>
          <w:rFonts w:eastAsia="Times New Roman" w:cs="Times New Roman"/>
          <w:kern w:val="0"/>
          <w:sz w:val="24"/>
          <w:szCs w:val="24"/>
          <w:lang w:eastAsia="en-IN"/>
          <w14:ligatures w14:val="none"/>
        </w:rPr>
        <w:t>: Improving the safety and soundness of financial institutions.</w:t>
      </w:r>
    </w:p>
    <w:p w14:paraId="4EDD093D" w14:textId="77777777" w:rsidR="00DC62EE" w:rsidRDefault="00DC62EE">
      <w:pPr>
        <w:rPr>
          <w:rFonts w:asciiTheme="majorHAnsi" w:eastAsia="Times New Roman" w:hAnsiTheme="majorHAnsi" w:cstheme="majorBidi"/>
          <w:color w:val="0F4761" w:themeColor="accent1" w:themeShade="BF"/>
          <w:sz w:val="32"/>
          <w:szCs w:val="32"/>
          <w:lang w:eastAsia="en-IN"/>
        </w:rPr>
      </w:pPr>
      <w:r>
        <w:rPr>
          <w:rFonts w:eastAsia="Times New Roman"/>
          <w:lang w:eastAsia="en-IN"/>
        </w:rPr>
        <w:br w:type="page"/>
      </w:r>
    </w:p>
    <w:p w14:paraId="5234AB8B" w14:textId="64D4B2D2" w:rsidR="00DC62EE" w:rsidRPr="00DC62EE" w:rsidRDefault="00DC62EE" w:rsidP="00DC62EE">
      <w:pPr>
        <w:pStyle w:val="Heading2"/>
        <w:rPr>
          <w:rFonts w:eastAsia="Times New Roman"/>
          <w:lang w:eastAsia="en-IN"/>
        </w:rPr>
      </w:pPr>
      <w:r w:rsidRPr="00DC62EE">
        <w:rPr>
          <w:rFonts w:eastAsia="Times New Roman"/>
          <w:lang w:eastAsia="en-IN"/>
        </w:rPr>
        <w:lastRenderedPageBreak/>
        <w:t>5. Real-World Examples of Risk Management</w:t>
      </w:r>
    </w:p>
    <w:p w14:paraId="49A5C40B"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5.1 </w:t>
      </w:r>
      <w:r w:rsidRPr="00DC62EE">
        <w:rPr>
          <w:rFonts w:eastAsia="Times New Roman" w:cs="Times New Roman"/>
          <w:b/>
          <w:bCs/>
          <w:kern w:val="0"/>
          <w:sz w:val="24"/>
          <w:szCs w:val="24"/>
          <w:lang w:eastAsia="en-IN"/>
          <w14:ligatures w14:val="none"/>
        </w:rPr>
        <w:t>Case Study: 2008 Financial Crisis</w:t>
      </w:r>
    </w:p>
    <w:p w14:paraId="775EBDF3" w14:textId="77777777" w:rsidR="00DC62EE" w:rsidRPr="00DC62EE" w:rsidRDefault="00DC62EE" w:rsidP="00DC62EE">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Background</w:t>
      </w:r>
      <w:r w:rsidRPr="00DC62EE">
        <w:rPr>
          <w:rFonts w:eastAsia="Times New Roman" w:cs="Times New Roman"/>
          <w:kern w:val="0"/>
          <w:sz w:val="24"/>
          <w:szCs w:val="24"/>
          <w:lang w:eastAsia="en-IN"/>
          <w14:ligatures w14:val="none"/>
        </w:rPr>
        <w:t>: The global financial crisis exposed significant risk management failures in many banks.</w:t>
      </w:r>
    </w:p>
    <w:p w14:paraId="08A9F8F5" w14:textId="77777777" w:rsidR="00DC62EE" w:rsidRPr="00DC62EE" w:rsidRDefault="00DC62EE" w:rsidP="00DC62EE">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Lessons Learned</w:t>
      </w:r>
      <w:r w:rsidRPr="00DC62EE">
        <w:rPr>
          <w:rFonts w:eastAsia="Times New Roman" w:cs="Times New Roman"/>
          <w:kern w:val="0"/>
          <w:sz w:val="24"/>
          <w:szCs w:val="24"/>
          <w:lang w:eastAsia="en-IN"/>
          <w14:ligatures w14:val="none"/>
        </w:rPr>
        <w:t>:</w:t>
      </w:r>
    </w:p>
    <w:p w14:paraId="7BC09535" w14:textId="77777777" w:rsidR="00DC62EE" w:rsidRPr="00DC62EE" w:rsidRDefault="00DC62EE" w:rsidP="00DC62EE">
      <w:pPr>
        <w:numPr>
          <w:ilvl w:val="1"/>
          <w:numId w:val="20"/>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Importance of adequate capital buffers.</w:t>
      </w:r>
    </w:p>
    <w:p w14:paraId="26291A07" w14:textId="77777777" w:rsidR="00DC62EE" w:rsidRPr="00DC62EE" w:rsidRDefault="00DC62EE" w:rsidP="00DC62EE">
      <w:pPr>
        <w:numPr>
          <w:ilvl w:val="1"/>
          <w:numId w:val="20"/>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Need for rigorous stress testing and scenario analysis.</w:t>
      </w:r>
    </w:p>
    <w:p w14:paraId="11D8371E" w14:textId="77777777" w:rsidR="00DC62EE" w:rsidRPr="00DC62EE" w:rsidRDefault="00DC62EE" w:rsidP="00DC62EE">
      <w:pPr>
        <w:numPr>
          <w:ilvl w:val="1"/>
          <w:numId w:val="20"/>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Enhanced regulatory oversight and stricter compliance requirements.</w:t>
      </w:r>
    </w:p>
    <w:p w14:paraId="2EC732B2"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5.2 </w:t>
      </w:r>
      <w:r w:rsidRPr="00DC62EE">
        <w:rPr>
          <w:rFonts w:eastAsia="Times New Roman" w:cs="Times New Roman"/>
          <w:b/>
          <w:bCs/>
          <w:kern w:val="0"/>
          <w:sz w:val="24"/>
          <w:szCs w:val="24"/>
          <w:lang w:eastAsia="en-IN"/>
          <w14:ligatures w14:val="none"/>
        </w:rPr>
        <w:t>Case Study: JP Morgan's London Whale Incident</w:t>
      </w:r>
    </w:p>
    <w:p w14:paraId="2AF0A45E" w14:textId="77777777" w:rsidR="00DC62EE" w:rsidRPr="00DC62EE" w:rsidRDefault="00DC62EE" w:rsidP="00DC62EE">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Background</w:t>
      </w:r>
      <w:r w:rsidRPr="00DC62EE">
        <w:rPr>
          <w:rFonts w:eastAsia="Times New Roman" w:cs="Times New Roman"/>
          <w:kern w:val="0"/>
          <w:sz w:val="24"/>
          <w:szCs w:val="24"/>
          <w:lang w:eastAsia="en-IN"/>
          <w14:ligatures w14:val="none"/>
        </w:rPr>
        <w:t>: In 2012, JP Morgan faced significant trading losses due to insufficient risk management controls.</w:t>
      </w:r>
    </w:p>
    <w:p w14:paraId="6CDE6B7C" w14:textId="77777777" w:rsidR="00DC62EE" w:rsidRPr="00DC62EE" w:rsidRDefault="00DC62EE" w:rsidP="00DC62EE">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Lessons Learned</w:t>
      </w:r>
      <w:r w:rsidRPr="00DC62EE">
        <w:rPr>
          <w:rFonts w:eastAsia="Times New Roman" w:cs="Times New Roman"/>
          <w:kern w:val="0"/>
          <w:sz w:val="24"/>
          <w:szCs w:val="24"/>
          <w:lang w:eastAsia="en-IN"/>
          <w14:ligatures w14:val="none"/>
        </w:rPr>
        <w:t>:</w:t>
      </w:r>
    </w:p>
    <w:p w14:paraId="2BCE5CE0" w14:textId="77777777" w:rsidR="00DC62EE" w:rsidRPr="00DC62EE" w:rsidRDefault="00DC62EE" w:rsidP="00DC62EE">
      <w:pPr>
        <w:numPr>
          <w:ilvl w:val="1"/>
          <w:numId w:val="21"/>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Necessity for strong internal controls and oversight.</w:t>
      </w:r>
    </w:p>
    <w:p w14:paraId="26CDB559" w14:textId="77777777" w:rsidR="00DC62EE" w:rsidRPr="00DC62EE" w:rsidRDefault="00DC62EE" w:rsidP="00DC62EE">
      <w:pPr>
        <w:numPr>
          <w:ilvl w:val="1"/>
          <w:numId w:val="21"/>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Importance of transparency and accurate risk reporting.</w:t>
      </w:r>
    </w:p>
    <w:p w14:paraId="3CB2E51C" w14:textId="77777777" w:rsidR="00DC62EE" w:rsidRPr="00DC62EE" w:rsidRDefault="00DC62EE" w:rsidP="00DC62EE">
      <w:pPr>
        <w:numPr>
          <w:ilvl w:val="1"/>
          <w:numId w:val="21"/>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Implementation of robust market risk management practices.</w:t>
      </w:r>
    </w:p>
    <w:p w14:paraId="360C2B7B" w14:textId="77777777" w:rsidR="00DC62EE" w:rsidRPr="00DC62EE" w:rsidRDefault="00DC62EE" w:rsidP="00DC62EE">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 xml:space="preserve">5.3 </w:t>
      </w:r>
      <w:r w:rsidRPr="00DC62EE">
        <w:rPr>
          <w:rFonts w:eastAsia="Times New Roman" w:cs="Times New Roman"/>
          <w:b/>
          <w:bCs/>
          <w:kern w:val="0"/>
          <w:sz w:val="24"/>
          <w:szCs w:val="24"/>
          <w:lang w:eastAsia="en-IN"/>
          <w14:ligatures w14:val="none"/>
        </w:rPr>
        <w:t>Case Study: Wells Fargo's Account Scandal</w:t>
      </w:r>
    </w:p>
    <w:p w14:paraId="0BECCC07" w14:textId="77777777" w:rsidR="00DC62EE" w:rsidRPr="00DC62EE" w:rsidRDefault="00DC62EE" w:rsidP="00DC62EE">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Background</w:t>
      </w:r>
      <w:r w:rsidRPr="00DC62EE">
        <w:rPr>
          <w:rFonts w:eastAsia="Times New Roman" w:cs="Times New Roman"/>
          <w:kern w:val="0"/>
          <w:sz w:val="24"/>
          <w:szCs w:val="24"/>
          <w:lang w:eastAsia="en-IN"/>
          <w14:ligatures w14:val="none"/>
        </w:rPr>
        <w:t>: Wells Fargo was involved in a scandal where employees created millions of unauthorized accounts to meet sales targets.</w:t>
      </w:r>
    </w:p>
    <w:p w14:paraId="165BE0D1" w14:textId="77777777" w:rsidR="00DC62EE" w:rsidRPr="00DC62EE" w:rsidRDefault="00DC62EE" w:rsidP="00DC62EE">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b/>
          <w:bCs/>
          <w:kern w:val="0"/>
          <w:sz w:val="24"/>
          <w:szCs w:val="24"/>
          <w:lang w:eastAsia="en-IN"/>
          <w14:ligatures w14:val="none"/>
        </w:rPr>
        <w:t>Lessons Learned</w:t>
      </w:r>
      <w:r w:rsidRPr="00DC62EE">
        <w:rPr>
          <w:rFonts w:eastAsia="Times New Roman" w:cs="Times New Roman"/>
          <w:kern w:val="0"/>
          <w:sz w:val="24"/>
          <w:szCs w:val="24"/>
          <w:lang w:eastAsia="en-IN"/>
          <w14:ligatures w14:val="none"/>
        </w:rPr>
        <w:t>:</w:t>
      </w:r>
    </w:p>
    <w:p w14:paraId="5DCC7536" w14:textId="77777777" w:rsidR="00DC62EE" w:rsidRPr="00DC62EE" w:rsidRDefault="00DC62EE" w:rsidP="00DC62EE">
      <w:pPr>
        <w:numPr>
          <w:ilvl w:val="1"/>
          <w:numId w:val="22"/>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Critical need for ethical standards and corporate governance.</w:t>
      </w:r>
    </w:p>
    <w:p w14:paraId="07B976CE" w14:textId="77777777" w:rsidR="00DC62EE" w:rsidRPr="00DC62EE" w:rsidRDefault="00DC62EE" w:rsidP="00DC62EE">
      <w:pPr>
        <w:numPr>
          <w:ilvl w:val="1"/>
          <w:numId w:val="22"/>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Importance of aligning incentives with risk management objectives.</w:t>
      </w:r>
    </w:p>
    <w:p w14:paraId="7A2EC964" w14:textId="49BB43CC" w:rsidR="00DC62EE" w:rsidRDefault="00DC62EE" w:rsidP="00DC62EE">
      <w:pPr>
        <w:numPr>
          <w:ilvl w:val="1"/>
          <w:numId w:val="22"/>
        </w:num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Strengthening compliance and internal audit functions.</w:t>
      </w:r>
    </w:p>
    <w:p w14:paraId="549F24C4" w14:textId="1FE5A93C" w:rsidR="005569B5" w:rsidRDefault="005569B5" w:rsidP="005569B5">
      <w:pPr>
        <w:pStyle w:val="Heading2"/>
        <w:rPr>
          <w:rFonts w:eastAsia="Times New Roman"/>
          <w:lang w:eastAsia="en-IN"/>
        </w:rPr>
      </w:pPr>
      <w:r>
        <w:rPr>
          <w:rFonts w:eastAsia="Times New Roman"/>
          <w:lang w:eastAsia="en-IN"/>
        </w:rPr>
        <w:t>Tables related to Risk Management in Banking Operations</w:t>
      </w:r>
    </w:p>
    <w:p w14:paraId="6B856131" w14:textId="379B12C6" w:rsidR="005569B5" w:rsidRDefault="005569B5" w:rsidP="005569B5">
      <w:pPr>
        <w:pStyle w:val="Heading2"/>
        <w:rPr>
          <w:lang w:eastAsia="en-IN"/>
        </w:rPr>
      </w:pPr>
      <w:r w:rsidRPr="005569B5">
        <w:rPr>
          <w:lang w:eastAsia="en-IN"/>
        </w:rPr>
        <w:t>Liquidity Risk Metrics</w:t>
      </w:r>
    </w:p>
    <w:tbl>
      <w:tblPr>
        <w:tblStyle w:val="TableGrid"/>
        <w:tblW w:w="8305" w:type="dxa"/>
        <w:tblLook w:val="04A0" w:firstRow="1" w:lastRow="0" w:firstColumn="1" w:lastColumn="0" w:noHBand="0" w:noVBand="1"/>
      </w:tblPr>
      <w:tblGrid>
        <w:gridCol w:w="1728"/>
        <w:gridCol w:w="1314"/>
        <w:gridCol w:w="1315"/>
        <w:gridCol w:w="1316"/>
        <w:gridCol w:w="1316"/>
        <w:gridCol w:w="1316"/>
      </w:tblGrid>
      <w:tr w:rsidR="005569B5" w:rsidRPr="005569B5" w14:paraId="1208E9E1" w14:textId="77777777" w:rsidTr="005569B5">
        <w:trPr>
          <w:trHeight w:val="137"/>
        </w:trPr>
        <w:tc>
          <w:tcPr>
            <w:tcW w:w="1728" w:type="dxa"/>
            <w:hideMark/>
          </w:tcPr>
          <w:p w14:paraId="5A2744EF" w14:textId="77777777" w:rsidR="005569B5" w:rsidRPr="005569B5" w:rsidRDefault="005569B5" w:rsidP="005569B5">
            <w:pPr>
              <w:jc w:val="center"/>
              <w:rPr>
                <w:rFonts w:ascii="Aptos Narrow" w:eastAsia="Times New Roman" w:hAnsi="Aptos Narrow" w:cs="Times New Roman"/>
                <w:b/>
                <w:bCs/>
                <w:color w:val="000000"/>
                <w:kern w:val="0"/>
                <w:lang w:eastAsia="en-IN"/>
                <w14:ligatures w14:val="none"/>
              </w:rPr>
            </w:pPr>
            <w:r w:rsidRPr="005569B5">
              <w:rPr>
                <w:rFonts w:ascii="Aptos Narrow" w:eastAsia="Times New Roman" w:hAnsi="Aptos Narrow" w:cs="Times New Roman"/>
                <w:b/>
                <w:bCs/>
                <w:color w:val="000000"/>
                <w:kern w:val="0"/>
                <w:lang w:eastAsia="en-IN"/>
                <w14:ligatures w14:val="none"/>
              </w:rPr>
              <w:t>Metric</w:t>
            </w:r>
          </w:p>
        </w:tc>
        <w:tc>
          <w:tcPr>
            <w:tcW w:w="1314" w:type="dxa"/>
            <w:hideMark/>
          </w:tcPr>
          <w:p w14:paraId="2F8C724C" w14:textId="77777777" w:rsidR="005569B5" w:rsidRPr="005569B5" w:rsidRDefault="005569B5" w:rsidP="005569B5">
            <w:pPr>
              <w:jc w:val="center"/>
              <w:rPr>
                <w:rFonts w:ascii="Aptos Narrow" w:eastAsia="Times New Roman" w:hAnsi="Aptos Narrow" w:cs="Times New Roman"/>
                <w:b/>
                <w:bCs/>
                <w:color w:val="000000"/>
                <w:kern w:val="0"/>
                <w:lang w:eastAsia="en-IN"/>
                <w14:ligatures w14:val="none"/>
              </w:rPr>
            </w:pPr>
            <w:r w:rsidRPr="005569B5">
              <w:rPr>
                <w:rFonts w:ascii="Aptos Narrow" w:eastAsia="Times New Roman" w:hAnsi="Aptos Narrow" w:cs="Times New Roman"/>
                <w:b/>
                <w:bCs/>
                <w:color w:val="000000"/>
                <w:kern w:val="0"/>
                <w:lang w:eastAsia="en-IN"/>
                <w14:ligatures w14:val="none"/>
              </w:rPr>
              <w:t>2019</w:t>
            </w:r>
          </w:p>
        </w:tc>
        <w:tc>
          <w:tcPr>
            <w:tcW w:w="1315" w:type="dxa"/>
            <w:hideMark/>
          </w:tcPr>
          <w:p w14:paraId="3A098F8C" w14:textId="77777777" w:rsidR="005569B5" w:rsidRPr="005569B5" w:rsidRDefault="005569B5" w:rsidP="005569B5">
            <w:pPr>
              <w:jc w:val="center"/>
              <w:rPr>
                <w:rFonts w:ascii="Aptos Narrow" w:eastAsia="Times New Roman" w:hAnsi="Aptos Narrow" w:cs="Times New Roman"/>
                <w:b/>
                <w:bCs/>
                <w:color w:val="000000"/>
                <w:kern w:val="0"/>
                <w:lang w:eastAsia="en-IN"/>
                <w14:ligatures w14:val="none"/>
              </w:rPr>
            </w:pPr>
            <w:r w:rsidRPr="005569B5">
              <w:rPr>
                <w:rFonts w:ascii="Aptos Narrow" w:eastAsia="Times New Roman" w:hAnsi="Aptos Narrow" w:cs="Times New Roman"/>
                <w:b/>
                <w:bCs/>
                <w:color w:val="000000"/>
                <w:kern w:val="0"/>
                <w:lang w:eastAsia="en-IN"/>
                <w14:ligatures w14:val="none"/>
              </w:rPr>
              <w:t>2020</w:t>
            </w:r>
          </w:p>
        </w:tc>
        <w:tc>
          <w:tcPr>
            <w:tcW w:w="1316" w:type="dxa"/>
            <w:hideMark/>
          </w:tcPr>
          <w:p w14:paraId="1BD4C1B5" w14:textId="77777777" w:rsidR="005569B5" w:rsidRPr="005569B5" w:rsidRDefault="005569B5" w:rsidP="005569B5">
            <w:pPr>
              <w:jc w:val="center"/>
              <w:rPr>
                <w:rFonts w:ascii="Aptos Narrow" w:eastAsia="Times New Roman" w:hAnsi="Aptos Narrow" w:cs="Times New Roman"/>
                <w:b/>
                <w:bCs/>
                <w:color w:val="000000"/>
                <w:kern w:val="0"/>
                <w:lang w:eastAsia="en-IN"/>
                <w14:ligatures w14:val="none"/>
              </w:rPr>
            </w:pPr>
            <w:r w:rsidRPr="005569B5">
              <w:rPr>
                <w:rFonts w:ascii="Aptos Narrow" w:eastAsia="Times New Roman" w:hAnsi="Aptos Narrow" w:cs="Times New Roman"/>
                <w:b/>
                <w:bCs/>
                <w:color w:val="000000"/>
                <w:kern w:val="0"/>
                <w:lang w:eastAsia="en-IN"/>
                <w14:ligatures w14:val="none"/>
              </w:rPr>
              <w:t>2021</w:t>
            </w:r>
          </w:p>
        </w:tc>
        <w:tc>
          <w:tcPr>
            <w:tcW w:w="1316" w:type="dxa"/>
            <w:hideMark/>
          </w:tcPr>
          <w:p w14:paraId="4C17FA0B" w14:textId="77777777" w:rsidR="005569B5" w:rsidRPr="005569B5" w:rsidRDefault="005569B5" w:rsidP="005569B5">
            <w:pPr>
              <w:jc w:val="center"/>
              <w:rPr>
                <w:rFonts w:ascii="Aptos Narrow" w:eastAsia="Times New Roman" w:hAnsi="Aptos Narrow" w:cs="Times New Roman"/>
                <w:b/>
                <w:bCs/>
                <w:color w:val="000000"/>
                <w:kern w:val="0"/>
                <w:lang w:eastAsia="en-IN"/>
                <w14:ligatures w14:val="none"/>
              </w:rPr>
            </w:pPr>
            <w:r w:rsidRPr="005569B5">
              <w:rPr>
                <w:rFonts w:ascii="Aptos Narrow" w:eastAsia="Times New Roman" w:hAnsi="Aptos Narrow" w:cs="Times New Roman"/>
                <w:b/>
                <w:bCs/>
                <w:color w:val="000000"/>
                <w:kern w:val="0"/>
                <w:lang w:eastAsia="en-IN"/>
                <w14:ligatures w14:val="none"/>
              </w:rPr>
              <w:t>2022</w:t>
            </w:r>
          </w:p>
        </w:tc>
        <w:tc>
          <w:tcPr>
            <w:tcW w:w="1316" w:type="dxa"/>
            <w:hideMark/>
          </w:tcPr>
          <w:p w14:paraId="4EE0682A" w14:textId="77777777" w:rsidR="005569B5" w:rsidRPr="005569B5" w:rsidRDefault="005569B5" w:rsidP="005569B5">
            <w:pPr>
              <w:jc w:val="center"/>
              <w:rPr>
                <w:rFonts w:ascii="Aptos Narrow" w:eastAsia="Times New Roman" w:hAnsi="Aptos Narrow" w:cs="Times New Roman"/>
                <w:b/>
                <w:bCs/>
                <w:color w:val="000000"/>
                <w:kern w:val="0"/>
                <w:lang w:eastAsia="en-IN"/>
                <w14:ligatures w14:val="none"/>
              </w:rPr>
            </w:pPr>
            <w:r w:rsidRPr="005569B5">
              <w:rPr>
                <w:rFonts w:ascii="Aptos Narrow" w:eastAsia="Times New Roman" w:hAnsi="Aptos Narrow" w:cs="Times New Roman"/>
                <w:b/>
                <w:bCs/>
                <w:color w:val="000000"/>
                <w:kern w:val="0"/>
                <w:lang w:eastAsia="en-IN"/>
                <w14:ligatures w14:val="none"/>
              </w:rPr>
              <w:t>2023</w:t>
            </w:r>
          </w:p>
        </w:tc>
      </w:tr>
      <w:tr w:rsidR="005569B5" w:rsidRPr="005569B5" w14:paraId="18424AB5" w14:textId="77777777" w:rsidTr="005569B5">
        <w:trPr>
          <w:trHeight w:val="412"/>
        </w:trPr>
        <w:tc>
          <w:tcPr>
            <w:tcW w:w="1728" w:type="dxa"/>
            <w:hideMark/>
          </w:tcPr>
          <w:p w14:paraId="7B010F50" w14:textId="77777777" w:rsidR="005569B5" w:rsidRPr="005569B5" w:rsidRDefault="005569B5" w:rsidP="005569B5">
            <w:pPr>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Liquid Assets (in million $)</w:t>
            </w:r>
          </w:p>
        </w:tc>
        <w:tc>
          <w:tcPr>
            <w:tcW w:w="1314" w:type="dxa"/>
            <w:hideMark/>
          </w:tcPr>
          <w:p w14:paraId="72B56134"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500</w:t>
            </w:r>
          </w:p>
        </w:tc>
        <w:tc>
          <w:tcPr>
            <w:tcW w:w="1315" w:type="dxa"/>
            <w:hideMark/>
          </w:tcPr>
          <w:p w14:paraId="335EEC85"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550</w:t>
            </w:r>
          </w:p>
        </w:tc>
        <w:tc>
          <w:tcPr>
            <w:tcW w:w="1316" w:type="dxa"/>
            <w:hideMark/>
          </w:tcPr>
          <w:p w14:paraId="5BA4820E"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600</w:t>
            </w:r>
          </w:p>
        </w:tc>
        <w:tc>
          <w:tcPr>
            <w:tcW w:w="1316" w:type="dxa"/>
            <w:hideMark/>
          </w:tcPr>
          <w:p w14:paraId="511E47D3"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650</w:t>
            </w:r>
          </w:p>
        </w:tc>
        <w:tc>
          <w:tcPr>
            <w:tcW w:w="1316" w:type="dxa"/>
            <w:hideMark/>
          </w:tcPr>
          <w:p w14:paraId="11B64358"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700</w:t>
            </w:r>
          </w:p>
        </w:tc>
      </w:tr>
      <w:tr w:rsidR="005569B5" w:rsidRPr="005569B5" w14:paraId="62B1BB38" w14:textId="77777777" w:rsidTr="005569B5">
        <w:trPr>
          <w:trHeight w:val="549"/>
        </w:trPr>
        <w:tc>
          <w:tcPr>
            <w:tcW w:w="1728" w:type="dxa"/>
            <w:hideMark/>
          </w:tcPr>
          <w:p w14:paraId="4238BD06" w14:textId="77777777" w:rsidR="005569B5" w:rsidRPr="005569B5" w:rsidRDefault="005569B5" w:rsidP="005569B5">
            <w:pPr>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Liquidity Coverage Ratio (LCR) (%)</w:t>
            </w:r>
          </w:p>
        </w:tc>
        <w:tc>
          <w:tcPr>
            <w:tcW w:w="1314" w:type="dxa"/>
            <w:hideMark/>
          </w:tcPr>
          <w:p w14:paraId="15B85CA9"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120</w:t>
            </w:r>
          </w:p>
        </w:tc>
        <w:tc>
          <w:tcPr>
            <w:tcW w:w="1315" w:type="dxa"/>
            <w:hideMark/>
          </w:tcPr>
          <w:p w14:paraId="5CC76BD3"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125</w:t>
            </w:r>
          </w:p>
        </w:tc>
        <w:tc>
          <w:tcPr>
            <w:tcW w:w="1316" w:type="dxa"/>
            <w:hideMark/>
          </w:tcPr>
          <w:p w14:paraId="698072D7"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130</w:t>
            </w:r>
          </w:p>
        </w:tc>
        <w:tc>
          <w:tcPr>
            <w:tcW w:w="1316" w:type="dxa"/>
            <w:hideMark/>
          </w:tcPr>
          <w:p w14:paraId="7FC27F3D"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135</w:t>
            </w:r>
          </w:p>
        </w:tc>
        <w:tc>
          <w:tcPr>
            <w:tcW w:w="1316" w:type="dxa"/>
            <w:hideMark/>
          </w:tcPr>
          <w:p w14:paraId="63983EE5"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140</w:t>
            </w:r>
          </w:p>
        </w:tc>
      </w:tr>
      <w:tr w:rsidR="005569B5" w:rsidRPr="005569B5" w14:paraId="7479089A" w14:textId="77777777" w:rsidTr="005569B5">
        <w:trPr>
          <w:trHeight w:val="824"/>
        </w:trPr>
        <w:tc>
          <w:tcPr>
            <w:tcW w:w="1728" w:type="dxa"/>
            <w:hideMark/>
          </w:tcPr>
          <w:p w14:paraId="57683FFD" w14:textId="77777777" w:rsidR="005569B5" w:rsidRPr="005569B5" w:rsidRDefault="005569B5" w:rsidP="005569B5">
            <w:pPr>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Net Stable Funding Ratio (NSFR) (%)</w:t>
            </w:r>
          </w:p>
        </w:tc>
        <w:tc>
          <w:tcPr>
            <w:tcW w:w="1314" w:type="dxa"/>
            <w:hideMark/>
          </w:tcPr>
          <w:p w14:paraId="556BB549"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110</w:t>
            </w:r>
          </w:p>
        </w:tc>
        <w:tc>
          <w:tcPr>
            <w:tcW w:w="1315" w:type="dxa"/>
            <w:hideMark/>
          </w:tcPr>
          <w:p w14:paraId="20168C56"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115</w:t>
            </w:r>
          </w:p>
        </w:tc>
        <w:tc>
          <w:tcPr>
            <w:tcW w:w="1316" w:type="dxa"/>
            <w:hideMark/>
          </w:tcPr>
          <w:p w14:paraId="1C12786A"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120</w:t>
            </w:r>
          </w:p>
        </w:tc>
        <w:tc>
          <w:tcPr>
            <w:tcW w:w="1316" w:type="dxa"/>
            <w:hideMark/>
          </w:tcPr>
          <w:p w14:paraId="0BA244B1"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125</w:t>
            </w:r>
          </w:p>
        </w:tc>
        <w:tc>
          <w:tcPr>
            <w:tcW w:w="1316" w:type="dxa"/>
            <w:hideMark/>
          </w:tcPr>
          <w:p w14:paraId="6B31E708"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130</w:t>
            </w:r>
          </w:p>
        </w:tc>
      </w:tr>
      <w:tr w:rsidR="005569B5" w:rsidRPr="005569B5" w14:paraId="73FDAFAD" w14:textId="77777777" w:rsidTr="005569B5">
        <w:trPr>
          <w:trHeight w:val="687"/>
        </w:trPr>
        <w:tc>
          <w:tcPr>
            <w:tcW w:w="1728" w:type="dxa"/>
            <w:hideMark/>
          </w:tcPr>
          <w:p w14:paraId="624BEEF5" w14:textId="77777777" w:rsidR="005569B5" w:rsidRPr="005569B5" w:rsidRDefault="005569B5" w:rsidP="005569B5">
            <w:pPr>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Short-Term Borrowings (in million $)</w:t>
            </w:r>
          </w:p>
        </w:tc>
        <w:tc>
          <w:tcPr>
            <w:tcW w:w="1314" w:type="dxa"/>
            <w:hideMark/>
          </w:tcPr>
          <w:p w14:paraId="161B2651"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200</w:t>
            </w:r>
          </w:p>
        </w:tc>
        <w:tc>
          <w:tcPr>
            <w:tcW w:w="1315" w:type="dxa"/>
            <w:hideMark/>
          </w:tcPr>
          <w:p w14:paraId="2A99A7D3"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220</w:t>
            </w:r>
          </w:p>
        </w:tc>
        <w:tc>
          <w:tcPr>
            <w:tcW w:w="1316" w:type="dxa"/>
            <w:hideMark/>
          </w:tcPr>
          <w:p w14:paraId="63C81E8B"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210</w:t>
            </w:r>
          </w:p>
        </w:tc>
        <w:tc>
          <w:tcPr>
            <w:tcW w:w="1316" w:type="dxa"/>
            <w:hideMark/>
          </w:tcPr>
          <w:p w14:paraId="0F48B2FC"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190</w:t>
            </w:r>
          </w:p>
        </w:tc>
        <w:tc>
          <w:tcPr>
            <w:tcW w:w="1316" w:type="dxa"/>
            <w:hideMark/>
          </w:tcPr>
          <w:p w14:paraId="73072404"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180</w:t>
            </w:r>
          </w:p>
        </w:tc>
      </w:tr>
      <w:tr w:rsidR="005569B5" w:rsidRPr="005569B5" w14:paraId="0D45108B" w14:textId="77777777" w:rsidTr="005569B5">
        <w:trPr>
          <w:trHeight w:val="687"/>
        </w:trPr>
        <w:tc>
          <w:tcPr>
            <w:tcW w:w="1728" w:type="dxa"/>
            <w:hideMark/>
          </w:tcPr>
          <w:p w14:paraId="6649745C" w14:textId="77777777" w:rsidR="005569B5" w:rsidRPr="005569B5" w:rsidRDefault="005569B5" w:rsidP="005569B5">
            <w:pPr>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Cash Flow at Risk (</w:t>
            </w:r>
            <w:proofErr w:type="spellStart"/>
            <w:r w:rsidRPr="005569B5">
              <w:rPr>
                <w:rFonts w:ascii="Aptos Narrow" w:eastAsia="Times New Roman" w:hAnsi="Aptos Narrow" w:cs="Times New Roman"/>
                <w:color w:val="000000"/>
                <w:kern w:val="0"/>
                <w:lang w:eastAsia="en-IN"/>
                <w14:ligatures w14:val="none"/>
              </w:rPr>
              <w:t>CFaR</w:t>
            </w:r>
            <w:proofErr w:type="spellEnd"/>
            <w:r w:rsidRPr="005569B5">
              <w:rPr>
                <w:rFonts w:ascii="Aptos Narrow" w:eastAsia="Times New Roman" w:hAnsi="Aptos Narrow" w:cs="Times New Roman"/>
                <w:color w:val="000000"/>
                <w:kern w:val="0"/>
                <w:lang w:eastAsia="en-IN"/>
                <w14:ligatures w14:val="none"/>
              </w:rPr>
              <w:t>) (in million $)</w:t>
            </w:r>
          </w:p>
        </w:tc>
        <w:tc>
          <w:tcPr>
            <w:tcW w:w="1314" w:type="dxa"/>
            <w:hideMark/>
          </w:tcPr>
          <w:p w14:paraId="2B01D8A5"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10</w:t>
            </w:r>
          </w:p>
        </w:tc>
        <w:tc>
          <w:tcPr>
            <w:tcW w:w="1315" w:type="dxa"/>
            <w:hideMark/>
          </w:tcPr>
          <w:p w14:paraId="00E10903"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12</w:t>
            </w:r>
          </w:p>
        </w:tc>
        <w:tc>
          <w:tcPr>
            <w:tcW w:w="1316" w:type="dxa"/>
            <w:hideMark/>
          </w:tcPr>
          <w:p w14:paraId="54236E1D"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11</w:t>
            </w:r>
          </w:p>
        </w:tc>
        <w:tc>
          <w:tcPr>
            <w:tcW w:w="1316" w:type="dxa"/>
            <w:hideMark/>
          </w:tcPr>
          <w:p w14:paraId="6E4426F3"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9</w:t>
            </w:r>
          </w:p>
        </w:tc>
        <w:tc>
          <w:tcPr>
            <w:tcW w:w="1316" w:type="dxa"/>
            <w:hideMark/>
          </w:tcPr>
          <w:p w14:paraId="47972A78" w14:textId="77777777" w:rsidR="005569B5" w:rsidRPr="005569B5" w:rsidRDefault="005569B5" w:rsidP="005569B5">
            <w:pPr>
              <w:jc w:val="right"/>
              <w:rPr>
                <w:rFonts w:ascii="Aptos Narrow" w:eastAsia="Times New Roman" w:hAnsi="Aptos Narrow" w:cs="Times New Roman"/>
                <w:color w:val="000000"/>
                <w:kern w:val="0"/>
                <w:lang w:eastAsia="en-IN"/>
                <w14:ligatures w14:val="none"/>
              </w:rPr>
            </w:pPr>
            <w:r w:rsidRPr="005569B5">
              <w:rPr>
                <w:rFonts w:ascii="Aptos Narrow" w:eastAsia="Times New Roman" w:hAnsi="Aptos Narrow" w:cs="Times New Roman"/>
                <w:color w:val="000000"/>
                <w:kern w:val="0"/>
                <w:lang w:eastAsia="en-IN"/>
                <w14:ligatures w14:val="none"/>
              </w:rPr>
              <w:t>8</w:t>
            </w:r>
          </w:p>
        </w:tc>
      </w:tr>
    </w:tbl>
    <w:p w14:paraId="0A784D4F" w14:textId="77777777" w:rsidR="005569B5" w:rsidRPr="005569B5" w:rsidRDefault="005569B5" w:rsidP="005569B5">
      <w:pPr>
        <w:rPr>
          <w:sz w:val="24"/>
          <w:szCs w:val="24"/>
          <w:lang w:eastAsia="en-IN"/>
        </w:rPr>
      </w:pPr>
      <w:r w:rsidRPr="005569B5">
        <w:rPr>
          <w:sz w:val="24"/>
          <w:szCs w:val="24"/>
          <w:lang w:eastAsia="en-IN"/>
        </w:rPr>
        <w:lastRenderedPageBreak/>
        <w:t>Summary of the liquidity risk metrics from 2019 to 2023:</w:t>
      </w:r>
    </w:p>
    <w:p w14:paraId="443A929C" w14:textId="77777777" w:rsidR="005569B5" w:rsidRPr="005569B5" w:rsidRDefault="005569B5" w:rsidP="005569B5">
      <w:pPr>
        <w:pStyle w:val="ListParagraph"/>
        <w:numPr>
          <w:ilvl w:val="0"/>
          <w:numId w:val="23"/>
        </w:numPr>
        <w:rPr>
          <w:sz w:val="24"/>
          <w:szCs w:val="24"/>
          <w:lang w:eastAsia="en-IN"/>
        </w:rPr>
      </w:pPr>
      <w:r w:rsidRPr="005569B5">
        <w:rPr>
          <w:b/>
          <w:bCs/>
          <w:sz w:val="24"/>
          <w:szCs w:val="24"/>
          <w:lang w:eastAsia="en-IN"/>
        </w:rPr>
        <w:t>Liquid Assets</w:t>
      </w:r>
      <w:r w:rsidRPr="005569B5">
        <w:rPr>
          <w:sz w:val="24"/>
          <w:szCs w:val="24"/>
          <w:lang w:eastAsia="en-IN"/>
        </w:rPr>
        <w:t>: Increased from $500 million in 2019 to $700 million in 2023, indicating higher availability of funds to meet short-term obligations.</w:t>
      </w:r>
    </w:p>
    <w:p w14:paraId="16174C62" w14:textId="77777777" w:rsidR="005569B5" w:rsidRPr="005569B5" w:rsidRDefault="005569B5" w:rsidP="005569B5">
      <w:pPr>
        <w:pStyle w:val="ListParagraph"/>
        <w:numPr>
          <w:ilvl w:val="0"/>
          <w:numId w:val="23"/>
        </w:numPr>
        <w:rPr>
          <w:sz w:val="24"/>
          <w:szCs w:val="24"/>
          <w:lang w:eastAsia="en-IN"/>
        </w:rPr>
      </w:pPr>
      <w:r w:rsidRPr="005569B5">
        <w:rPr>
          <w:b/>
          <w:bCs/>
          <w:sz w:val="24"/>
          <w:szCs w:val="24"/>
          <w:lang w:eastAsia="en-IN"/>
        </w:rPr>
        <w:t>Liquidity Coverage Ratio (LCR)</w:t>
      </w:r>
      <w:r w:rsidRPr="005569B5">
        <w:rPr>
          <w:sz w:val="24"/>
          <w:szCs w:val="24"/>
          <w:lang w:eastAsia="en-IN"/>
        </w:rPr>
        <w:t>: Improved from 120% in 2019 to 140% in 2023, showing increased capacity to cover short-term liquidity needs with liquid assets.</w:t>
      </w:r>
    </w:p>
    <w:p w14:paraId="16D9F9AF" w14:textId="77777777" w:rsidR="005569B5" w:rsidRPr="005569B5" w:rsidRDefault="005569B5" w:rsidP="005569B5">
      <w:pPr>
        <w:pStyle w:val="ListParagraph"/>
        <w:numPr>
          <w:ilvl w:val="0"/>
          <w:numId w:val="23"/>
        </w:numPr>
        <w:rPr>
          <w:sz w:val="24"/>
          <w:szCs w:val="24"/>
          <w:lang w:eastAsia="en-IN"/>
        </w:rPr>
      </w:pPr>
      <w:r w:rsidRPr="005569B5">
        <w:rPr>
          <w:b/>
          <w:bCs/>
          <w:sz w:val="24"/>
          <w:szCs w:val="24"/>
          <w:lang w:eastAsia="en-IN"/>
        </w:rPr>
        <w:t>Net Stable Funding Ratio (NSFR)</w:t>
      </w:r>
      <w:r w:rsidRPr="005569B5">
        <w:rPr>
          <w:sz w:val="24"/>
          <w:szCs w:val="24"/>
          <w:lang w:eastAsia="en-IN"/>
        </w:rPr>
        <w:t>: Increased from 110% in 2019 to 130% in 2023, indicating improved long-term stability of funding sources relative to assets.</w:t>
      </w:r>
    </w:p>
    <w:p w14:paraId="434C7D40" w14:textId="77777777" w:rsidR="005569B5" w:rsidRPr="005569B5" w:rsidRDefault="005569B5" w:rsidP="005569B5">
      <w:pPr>
        <w:pStyle w:val="ListParagraph"/>
        <w:numPr>
          <w:ilvl w:val="0"/>
          <w:numId w:val="23"/>
        </w:numPr>
        <w:rPr>
          <w:sz w:val="24"/>
          <w:szCs w:val="24"/>
          <w:lang w:eastAsia="en-IN"/>
        </w:rPr>
      </w:pPr>
      <w:r w:rsidRPr="005569B5">
        <w:rPr>
          <w:b/>
          <w:bCs/>
          <w:sz w:val="24"/>
          <w:szCs w:val="24"/>
          <w:lang w:eastAsia="en-IN"/>
        </w:rPr>
        <w:t>Short-Term Borrowings</w:t>
      </w:r>
      <w:r w:rsidRPr="005569B5">
        <w:rPr>
          <w:sz w:val="24"/>
          <w:szCs w:val="24"/>
          <w:lang w:eastAsia="en-IN"/>
        </w:rPr>
        <w:t>: Decreased from $200 million in 2019 to $180 million in 2023, suggesting reduced reliance on short-term funding sources.</w:t>
      </w:r>
    </w:p>
    <w:p w14:paraId="686DCF72" w14:textId="77777777" w:rsidR="005569B5" w:rsidRPr="005569B5" w:rsidRDefault="005569B5" w:rsidP="005569B5">
      <w:pPr>
        <w:pStyle w:val="ListParagraph"/>
        <w:numPr>
          <w:ilvl w:val="0"/>
          <w:numId w:val="23"/>
        </w:numPr>
        <w:rPr>
          <w:sz w:val="24"/>
          <w:szCs w:val="24"/>
          <w:lang w:eastAsia="en-IN"/>
        </w:rPr>
      </w:pPr>
      <w:r w:rsidRPr="005569B5">
        <w:rPr>
          <w:b/>
          <w:bCs/>
          <w:sz w:val="24"/>
          <w:szCs w:val="24"/>
          <w:lang w:eastAsia="en-IN"/>
        </w:rPr>
        <w:t>Cash Flow at Risk (</w:t>
      </w:r>
      <w:proofErr w:type="spellStart"/>
      <w:r w:rsidRPr="005569B5">
        <w:rPr>
          <w:b/>
          <w:bCs/>
          <w:sz w:val="24"/>
          <w:szCs w:val="24"/>
          <w:lang w:eastAsia="en-IN"/>
        </w:rPr>
        <w:t>CFaR</w:t>
      </w:r>
      <w:proofErr w:type="spellEnd"/>
      <w:r w:rsidRPr="005569B5">
        <w:rPr>
          <w:b/>
          <w:bCs/>
          <w:sz w:val="24"/>
          <w:szCs w:val="24"/>
          <w:lang w:eastAsia="en-IN"/>
        </w:rPr>
        <w:t>)</w:t>
      </w:r>
      <w:r w:rsidRPr="005569B5">
        <w:rPr>
          <w:sz w:val="24"/>
          <w:szCs w:val="24"/>
          <w:lang w:eastAsia="en-IN"/>
        </w:rPr>
        <w:t>: Decreased from $10 million in 2019 to $8 million in 2023, indicating reduced potential loss in cash flow due to liquidity risks.</w:t>
      </w:r>
    </w:p>
    <w:p w14:paraId="57BC4864" w14:textId="77777777" w:rsidR="005569B5" w:rsidRPr="005569B5" w:rsidRDefault="005569B5" w:rsidP="005569B5">
      <w:pPr>
        <w:rPr>
          <w:sz w:val="24"/>
          <w:szCs w:val="24"/>
          <w:lang w:eastAsia="en-IN"/>
        </w:rPr>
      </w:pPr>
      <w:r w:rsidRPr="005569B5">
        <w:rPr>
          <w:sz w:val="24"/>
          <w:szCs w:val="24"/>
          <w:lang w:eastAsia="en-IN"/>
        </w:rPr>
        <w:t>Overall, these trends indicate that the institution has strengthened its liquidity position over the years, with higher levels of liquid assets, improved liquidity coverage and stable funding ratios, reduced reliance on short-term borrowings, and lower cash flow risk exposure.</w:t>
      </w:r>
    </w:p>
    <w:p w14:paraId="0EC00820" w14:textId="77777777" w:rsidR="005569B5" w:rsidRPr="005569B5" w:rsidRDefault="005569B5" w:rsidP="005569B5">
      <w:pPr>
        <w:pStyle w:val="Heading2"/>
        <w:rPr>
          <w:rFonts w:eastAsia="Times New Roman"/>
          <w:lang w:eastAsia="en-IN"/>
        </w:rPr>
      </w:pPr>
      <w:r w:rsidRPr="005569B5">
        <w:rPr>
          <w:rFonts w:eastAsia="Times New Roman"/>
          <w:lang w:eastAsia="en-IN"/>
        </w:rPr>
        <w:t>Credit Risk Metrics</w:t>
      </w:r>
    </w:p>
    <w:tbl>
      <w:tblPr>
        <w:tblStyle w:val="TableGrid"/>
        <w:tblW w:w="7383" w:type="dxa"/>
        <w:tblLook w:val="04A0" w:firstRow="1" w:lastRow="0" w:firstColumn="1" w:lastColumn="0" w:noHBand="0" w:noVBand="1"/>
      </w:tblPr>
      <w:tblGrid>
        <w:gridCol w:w="1513"/>
        <w:gridCol w:w="1174"/>
        <w:gridCol w:w="1174"/>
        <w:gridCol w:w="1174"/>
        <w:gridCol w:w="1174"/>
        <w:gridCol w:w="1174"/>
      </w:tblGrid>
      <w:tr w:rsidR="005569B5" w:rsidRPr="005569B5" w14:paraId="70BF7DA8" w14:textId="77777777" w:rsidTr="005569B5">
        <w:trPr>
          <w:trHeight w:val="226"/>
        </w:trPr>
        <w:tc>
          <w:tcPr>
            <w:tcW w:w="1513" w:type="dxa"/>
            <w:hideMark/>
          </w:tcPr>
          <w:p w14:paraId="109C0923"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Metric</w:t>
            </w:r>
          </w:p>
        </w:tc>
        <w:tc>
          <w:tcPr>
            <w:tcW w:w="1174" w:type="dxa"/>
            <w:hideMark/>
          </w:tcPr>
          <w:p w14:paraId="4D1731F2"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2019</w:t>
            </w:r>
          </w:p>
        </w:tc>
        <w:tc>
          <w:tcPr>
            <w:tcW w:w="1174" w:type="dxa"/>
            <w:hideMark/>
          </w:tcPr>
          <w:p w14:paraId="0DE3ED87"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2020</w:t>
            </w:r>
          </w:p>
        </w:tc>
        <w:tc>
          <w:tcPr>
            <w:tcW w:w="1174" w:type="dxa"/>
            <w:hideMark/>
          </w:tcPr>
          <w:p w14:paraId="7C1C1AFF"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2021</w:t>
            </w:r>
          </w:p>
        </w:tc>
        <w:tc>
          <w:tcPr>
            <w:tcW w:w="1174" w:type="dxa"/>
            <w:hideMark/>
          </w:tcPr>
          <w:p w14:paraId="5D44A95D"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2022</w:t>
            </w:r>
          </w:p>
        </w:tc>
        <w:tc>
          <w:tcPr>
            <w:tcW w:w="1174" w:type="dxa"/>
            <w:hideMark/>
          </w:tcPr>
          <w:p w14:paraId="2E223106"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2023</w:t>
            </w:r>
          </w:p>
        </w:tc>
      </w:tr>
      <w:tr w:rsidR="005569B5" w:rsidRPr="005569B5" w14:paraId="3C976327" w14:textId="77777777" w:rsidTr="005569B5">
        <w:trPr>
          <w:trHeight w:val="680"/>
        </w:trPr>
        <w:tc>
          <w:tcPr>
            <w:tcW w:w="1513" w:type="dxa"/>
            <w:hideMark/>
          </w:tcPr>
          <w:p w14:paraId="7D4484FF"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Total Loans (in million $)</w:t>
            </w:r>
          </w:p>
        </w:tc>
        <w:tc>
          <w:tcPr>
            <w:tcW w:w="1174" w:type="dxa"/>
            <w:hideMark/>
          </w:tcPr>
          <w:p w14:paraId="48AF2B4A"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1,200</w:t>
            </w:r>
          </w:p>
        </w:tc>
        <w:tc>
          <w:tcPr>
            <w:tcW w:w="1174" w:type="dxa"/>
            <w:hideMark/>
          </w:tcPr>
          <w:p w14:paraId="031C8B15"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1,150</w:t>
            </w:r>
          </w:p>
        </w:tc>
        <w:tc>
          <w:tcPr>
            <w:tcW w:w="1174" w:type="dxa"/>
            <w:hideMark/>
          </w:tcPr>
          <w:p w14:paraId="791045E5"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1,300</w:t>
            </w:r>
          </w:p>
        </w:tc>
        <w:tc>
          <w:tcPr>
            <w:tcW w:w="1174" w:type="dxa"/>
            <w:hideMark/>
          </w:tcPr>
          <w:p w14:paraId="005654EA"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1,400</w:t>
            </w:r>
          </w:p>
        </w:tc>
        <w:tc>
          <w:tcPr>
            <w:tcW w:w="1174" w:type="dxa"/>
            <w:hideMark/>
          </w:tcPr>
          <w:p w14:paraId="0B043CA6"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1,500</w:t>
            </w:r>
          </w:p>
        </w:tc>
      </w:tr>
      <w:tr w:rsidR="005569B5" w:rsidRPr="005569B5" w14:paraId="2EFEA31A" w14:textId="77777777" w:rsidTr="005569B5">
        <w:trPr>
          <w:trHeight w:val="906"/>
        </w:trPr>
        <w:tc>
          <w:tcPr>
            <w:tcW w:w="1513" w:type="dxa"/>
            <w:hideMark/>
          </w:tcPr>
          <w:p w14:paraId="16C3B5E3"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Non-Performing Loans (NPL) (%)</w:t>
            </w:r>
          </w:p>
        </w:tc>
        <w:tc>
          <w:tcPr>
            <w:tcW w:w="1174" w:type="dxa"/>
            <w:hideMark/>
          </w:tcPr>
          <w:p w14:paraId="6D259124"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2.5</w:t>
            </w:r>
          </w:p>
        </w:tc>
        <w:tc>
          <w:tcPr>
            <w:tcW w:w="1174" w:type="dxa"/>
            <w:hideMark/>
          </w:tcPr>
          <w:p w14:paraId="553DFD73"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3</w:t>
            </w:r>
          </w:p>
        </w:tc>
        <w:tc>
          <w:tcPr>
            <w:tcW w:w="1174" w:type="dxa"/>
            <w:hideMark/>
          </w:tcPr>
          <w:p w14:paraId="463109DB"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2.8</w:t>
            </w:r>
          </w:p>
        </w:tc>
        <w:tc>
          <w:tcPr>
            <w:tcW w:w="1174" w:type="dxa"/>
            <w:hideMark/>
          </w:tcPr>
          <w:p w14:paraId="6253F1AB"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2.2</w:t>
            </w:r>
          </w:p>
        </w:tc>
        <w:tc>
          <w:tcPr>
            <w:tcW w:w="1174" w:type="dxa"/>
            <w:hideMark/>
          </w:tcPr>
          <w:p w14:paraId="496B2887"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w:t>
            </w:r>
          </w:p>
        </w:tc>
      </w:tr>
      <w:tr w:rsidR="005569B5" w:rsidRPr="005569B5" w14:paraId="439E2AC4" w14:textId="77777777" w:rsidTr="005569B5">
        <w:trPr>
          <w:trHeight w:val="906"/>
        </w:trPr>
        <w:tc>
          <w:tcPr>
            <w:tcW w:w="1513" w:type="dxa"/>
            <w:hideMark/>
          </w:tcPr>
          <w:p w14:paraId="79C3F109"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Loan Loss Provisions (in million $)</w:t>
            </w:r>
          </w:p>
        </w:tc>
        <w:tc>
          <w:tcPr>
            <w:tcW w:w="1174" w:type="dxa"/>
            <w:hideMark/>
          </w:tcPr>
          <w:p w14:paraId="6D02E93E"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30</w:t>
            </w:r>
          </w:p>
        </w:tc>
        <w:tc>
          <w:tcPr>
            <w:tcW w:w="1174" w:type="dxa"/>
            <w:hideMark/>
          </w:tcPr>
          <w:p w14:paraId="23BADCD9"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35</w:t>
            </w:r>
          </w:p>
        </w:tc>
        <w:tc>
          <w:tcPr>
            <w:tcW w:w="1174" w:type="dxa"/>
            <w:hideMark/>
          </w:tcPr>
          <w:p w14:paraId="52B724E8"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32</w:t>
            </w:r>
          </w:p>
        </w:tc>
        <w:tc>
          <w:tcPr>
            <w:tcW w:w="1174" w:type="dxa"/>
            <w:hideMark/>
          </w:tcPr>
          <w:p w14:paraId="570FBB56"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28</w:t>
            </w:r>
          </w:p>
        </w:tc>
        <w:tc>
          <w:tcPr>
            <w:tcW w:w="1174" w:type="dxa"/>
            <w:hideMark/>
          </w:tcPr>
          <w:p w14:paraId="1192B108"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25</w:t>
            </w:r>
          </w:p>
        </w:tc>
      </w:tr>
      <w:tr w:rsidR="005569B5" w:rsidRPr="005569B5" w14:paraId="66074490" w14:textId="77777777" w:rsidTr="005569B5">
        <w:trPr>
          <w:trHeight w:val="906"/>
        </w:trPr>
        <w:tc>
          <w:tcPr>
            <w:tcW w:w="1513" w:type="dxa"/>
            <w:hideMark/>
          </w:tcPr>
          <w:p w14:paraId="25DB7726"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Net Charge-Off Rate (%)</w:t>
            </w:r>
          </w:p>
        </w:tc>
        <w:tc>
          <w:tcPr>
            <w:tcW w:w="1174" w:type="dxa"/>
            <w:hideMark/>
          </w:tcPr>
          <w:p w14:paraId="6F76AD64"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w:t>
            </w:r>
          </w:p>
        </w:tc>
        <w:tc>
          <w:tcPr>
            <w:tcW w:w="1174" w:type="dxa"/>
            <w:hideMark/>
          </w:tcPr>
          <w:p w14:paraId="36E6C532"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1.2</w:t>
            </w:r>
          </w:p>
        </w:tc>
        <w:tc>
          <w:tcPr>
            <w:tcW w:w="1174" w:type="dxa"/>
            <w:hideMark/>
          </w:tcPr>
          <w:p w14:paraId="4E27F058"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1.1</w:t>
            </w:r>
          </w:p>
        </w:tc>
        <w:tc>
          <w:tcPr>
            <w:tcW w:w="1174" w:type="dxa"/>
            <w:hideMark/>
          </w:tcPr>
          <w:p w14:paraId="6D3C505C"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0.9</w:t>
            </w:r>
          </w:p>
        </w:tc>
        <w:tc>
          <w:tcPr>
            <w:tcW w:w="1174" w:type="dxa"/>
            <w:hideMark/>
          </w:tcPr>
          <w:p w14:paraId="3DE3C4F2"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0.8</w:t>
            </w:r>
          </w:p>
        </w:tc>
      </w:tr>
      <w:tr w:rsidR="005569B5" w:rsidRPr="005569B5" w14:paraId="297D9D3C" w14:textId="77777777" w:rsidTr="005569B5">
        <w:trPr>
          <w:trHeight w:val="680"/>
        </w:trPr>
        <w:tc>
          <w:tcPr>
            <w:tcW w:w="1513" w:type="dxa"/>
            <w:hideMark/>
          </w:tcPr>
          <w:p w14:paraId="3FDE418C"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Average Credit Score</w:t>
            </w:r>
          </w:p>
        </w:tc>
        <w:tc>
          <w:tcPr>
            <w:tcW w:w="1174" w:type="dxa"/>
            <w:hideMark/>
          </w:tcPr>
          <w:p w14:paraId="4C856DA7"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720</w:t>
            </w:r>
          </w:p>
        </w:tc>
        <w:tc>
          <w:tcPr>
            <w:tcW w:w="1174" w:type="dxa"/>
            <w:hideMark/>
          </w:tcPr>
          <w:p w14:paraId="35CC78AF"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710</w:t>
            </w:r>
          </w:p>
        </w:tc>
        <w:tc>
          <w:tcPr>
            <w:tcW w:w="1174" w:type="dxa"/>
            <w:hideMark/>
          </w:tcPr>
          <w:p w14:paraId="003EA353"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725</w:t>
            </w:r>
          </w:p>
        </w:tc>
        <w:tc>
          <w:tcPr>
            <w:tcW w:w="1174" w:type="dxa"/>
            <w:hideMark/>
          </w:tcPr>
          <w:p w14:paraId="7E0C6125"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730</w:t>
            </w:r>
          </w:p>
        </w:tc>
        <w:tc>
          <w:tcPr>
            <w:tcW w:w="1174" w:type="dxa"/>
            <w:hideMark/>
          </w:tcPr>
          <w:p w14:paraId="3BF7B8E9"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735</w:t>
            </w:r>
          </w:p>
        </w:tc>
      </w:tr>
    </w:tbl>
    <w:p w14:paraId="62E1F9BE" w14:textId="1BD4CF24" w:rsidR="005569B5" w:rsidRPr="005569B5" w:rsidRDefault="005569B5" w:rsidP="005569B5">
      <w:pPr>
        <w:rPr>
          <w:sz w:val="24"/>
          <w:szCs w:val="24"/>
          <w:lang w:eastAsia="en-IN"/>
        </w:rPr>
      </w:pPr>
      <w:r w:rsidRPr="005569B5">
        <w:rPr>
          <w:sz w:val="24"/>
          <w:szCs w:val="24"/>
          <w:lang w:eastAsia="en-IN"/>
        </w:rPr>
        <w:t>C</w:t>
      </w:r>
      <w:r w:rsidRPr="005569B5">
        <w:rPr>
          <w:sz w:val="24"/>
          <w:szCs w:val="24"/>
          <w:lang w:eastAsia="en-IN"/>
        </w:rPr>
        <w:t>redit risk metrics from 2019 to 2023:</w:t>
      </w:r>
    </w:p>
    <w:p w14:paraId="1236C984" w14:textId="77777777" w:rsidR="005569B5" w:rsidRPr="005569B5" w:rsidRDefault="005569B5" w:rsidP="005569B5">
      <w:pPr>
        <w:pStyle w:val="ListParagraph"/>
        <w:numPr>
          <w:ilvl w:val="0"/>
          <w:numId w:val="24"/>
        </w:numPr>
        <w:rPr>
          <w:sz w:val="24"/>
          <w:szCs w:val="24"/>
          <w:lang w:eastAsia="en-IN"/>
        </w:rPr>
      </w:pPr>
      <w:r w:rsidRPr="005569B5">
        <w:rPr>
          <w:b/>
          <w:bCs/>
          <w:sz w:val="24"/>
          <w:szCs w:val="24"/>
          <w:lang w:eastAsia="en-IN"/>
        </w:rPr>
        <w:t>Total Loans</w:t>
      </w:r>
      <w:r w:rsidRPr="005569B5">
        <w:rPr>
          <w:sz w:val="24"/>
          <w:szCs w:val="24"/>
          <w:lang w:eastAsia="en-IN"/>
        </w:rPr>
        <w:t>: Increased steadily from $1,200 million in 2019 to $1,500 million in 2023.</w:t>
      </w:r>
    </w:p>
    <w:p w14:paraId="5ADD781C" w14:textId="77777777" w:rsidR="005569B5" w:rsidRPr="005569B5" w:rsidRDefault="005569B5" w:rsidP="005569B5">
      <w:pPr>
        <w:pStyle w:val="ListParagraph"/>
        <w:numPr>
          <w:ilvl w:val="0"/>
          <w:numId w:val="24"/>
        </w:numPr>
        <w:rPr>
          <w:sz w:val="24"/>
          <w:szCs w:val="24"/>
          <w:lang w:eastAsia="en-IN"/>
        </w:rPr>
      </w:pPr>
      <w:r w:rsidRPr="005569B5">
        <w:rPr>
          <w:b/>
          <w:bCs/>
          <w:sz w:val="24"/>
          <w:szCs w:val="24"/>
          <w:lang w:eastAsia="en-IN"/>
        </w:rPr>
        <w:t>Non-Performing Loans (NPL)</w:t>
      </w:r>
      <w:r w:rsidRPr="005569B5">
        <w:rPr>
          <w:sz w:val="24"/>
          <w:szCs w:val="24"/>
          <w:lang w:eastAsia="en-IN"/>
        </w:rPr>
        <w:t>: Varied but generally improved, from 2.5% in 2019 to 2% in 2023.</w:t>
      </w:r>
    </w:p>
    <w:p w14:paraId="7D55BBFC" w14:textId="77777777" w:rsidR="005569B5" w:rsidRPr="005569B5" w:rsidRDefault="005569B5" w:rsidP="005569B5">
      <w:pPr>
        <w:pStyle w:val="ListParagraph"/>
        <w:numPr>
          <w:ilvl w:val="0"/>
          <w:numId w:val="24"/>
        </w:numPr>
        <w:rPr>
          <w:sz w:val="24"/>
          <w:szCs w:val="24"/>
          <w:lang w:eastAsia="en-IN"/>
        </w:rPr>
      </w:pPr>
      <w:r w:rsidRPr="005569B5">
        <w:rPr>
          <w:b/>
          <w:bCs/>
          <w:sz w:val="24"/>
          <w:szCs w:val="24"/>
          <w:lang w:eastAsia="en-IN"/>
        </w:rPr>
        <w:t>Loan Loss Provisions</w:t>
      </w:r>
      <w:r w:rsidRPr="005569B5">
        <w:rPr>
          <w:sz w:val="24"/>
          <w:szCs w:val="24"/>
          <w:lang w:eastAsia="en-IN"/>
        </w:rPr>
        <w:t>: Fluctuated but trended downward overall, from $30 million in 2019 to $25 million in 2023.</w:t>
      </w:r>
    </w:p>
    <w:p w14:paraId="5D19AF60" w14:textId="77777777" w:rsidR="005569B5" w:rsidRPr="005569B5" w:rsidRDefault="005569B5" w:rsidP="005569B5">
      <w:pPr>
        <w:pStyle w:val="ListParagraph"/>
        <w:numPr>
          <w:ilvl w:val="0"/>
          <w:numId w:val="24"/>
        </w:numPr>
        <w:rPr>
          <w:sz w:val="24"/>
          <w:szCs w:val="24"/>
          <w:lang w:eastAsia="en-IN"/>
        </w:rPr>
      </w:pPr>
      <w:r w:rsidRPr="005569B5">
        <w:rPr>
          <w:b/>
          <w:bCs/>
          <w:sz w:val="24"/>
          <w:szCs w:val="24"/>
          <w:lang w:eastAsia="en-IN"/>
        </w:rPr>
        <w:t>Net Charge-Off Rate</w:t>
      </w:r>
      <w:r w:rsidRPr="005569B5">
        <w:rPr>
          <w:sz w:val="24"/>
          <w:szCs w:val="24"/>
          <w:lang w:eastAsia="en-IN"/>
        </w:rPr>
        <w:t>: Declined consistently, from 1% in 2019 to 0.8% in 2023.</w:t>
      </w:r>
    </w:p>
    <w:p w14:paraId="3D69E764" w14:textId="77777777" w:rsidR="005569B5" w:rsidRPr="005569B5" w:rsidRDefault="005569B5" w:rsidP="005569B5">
      <w:pPr>
        <w:pStyle w:val="ListParagraph"/>
        <w:numPr>
          <w:ilvl w:val="0"/>
          <w:numId w:val="24"/>
        </w:numPr>
        <w:rPr>
          <w:sz w:val="24"/>
          <w:szCs w:val="24"/>
          <w:lang w:eastAsia="en-IN"/>
        </w:rPr>
      </w:pPr>
      <w:r w:rsidRPr="005569B5">
        <w:rPr>
          <w:b/>
          <w:bCs/>
          <w:sz w:val="24"/>
          <w:szCs w:val="24"/>
          <w:lang w:eastAsia="en-IN"/>
        </w:rPr>
        <w:lastRenderedPageBreak/>
        <w:t>Average Credit Score</w:t>
      </w:r>
      <w:r w:rsidRPr="005569B5">
        <w:rPr>
          <w:sz w:val="24"/>
          <w:szCs w:val="24"/>
          <w:lang w:eastAsia="en-IN"/>
        </w:rPr>
        <w:t>: Rose steadily, from 720 in 2019 to 735 in 2023.</w:t>
      </w:r>
    </w:p>
    <w:p w14:paraId="22DEC84A" w14:textId="77777777" w:rsidR="005569B5" w:rsidRPr="005569B5" w:rsidRDefault="005569B5" w:rsidP="005569B5">
      <w:pPr>
        <w:rPr>
          <w:sz w:val="24"/>
          <w:szCs w:val="24"/>
          <w:lang w:eastAsia="en-IN"/>
        </w:rPr>
      </w:pPr>
      <w:r w:rsidRPr="005569B5">
        <w:rPr>
          <w:sz w:val="24"/>
          <w:szCs w:val="24"/>
          <w:lang w:eastAsia="en-IN"/>
        </w:rPr>
        <w:t>In summary, the institution experienced growth in total loans while effectively managing credit risk, as evidenced by lower non-performing loans, reduced loan loss provisions, lower net charge-off rates, and improving average credit scores over the period</w:t>
      </w:r>
    </w:p>
    <w:p w14:paraId="2806008E" w14:textId="77777777" w:rsidR="005569B5" w:rsidRPr="005569B5" w:rsidRDefault="005569B5" w:rsidP="005569B5">
      <w:pPr>
        <w:pStyle w:val="Heading2"/>
        <w:rPr>
          <w:rFonts w:eastAsia="Times New Roman"/>
          <w:lang w:eastAsia="en-IN"/>
        </w:rPr>
      </w:pPr>
      <w:r w:rsidRPr="005569B5">
        <w:rPr>
          <w:rFonts w:eastAsia="Times New Roman"/>
          <w:lang w:eastAsia="en-IN"/>
        </w:rPr>
        <w:t>Market Risk Metrics</w:t>
      </w:r>
    </w:p>
    <w:tbl>
      <w:tblPr>
        <w:tblStyle w:val="TableGrid"/>
        <w:tblW w:w="8065" w:type="dxa"/>
        <w:tblLook w:val="04A0" w:firstRow="1" w:lastRow="0" w:firstColumn="1" w:lastColumn="0" w:noHBand="0" w:noVBand="1"/>
      </w:tblPr>
      <w:tblGrid>
        <w:gridCol w:w="1739"/>
        <w:gridCol w:w="1262"/>
        <w:gridCol w:w="1266"/>
        <w:gridCol w:w="1266"/>
        <w:gridCol w:w="1266"/>
        <w:gridCol w:w="1266"/>
      </w:tblGrid>
      <w:tr w:rsidR="005569B5" w:rsidRPr="001A2F60" w14:paraId="61F8E8F1" w14:textId="77777777" w:rsidTr="005569B5">
        <w:trPr>
          <w:trHeight w:val="298"/>
        </w:trPr>
        <w:tc>
          <w:tcPr>
            <w:tcW w:w="1739" w:type="dxa"/>
            <w:hideMark/>
          </w:tcPr>
          <w:p w14:paraId="6AA8C6E3"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Metric</w:t>
            </w:r>
          </w:p>
        </w:tc>
        <w:tc>
          <w:tcPr>
            <w:tcW w:w="1262" w:type="dxa"/>
            <w:hideMark/>
          </w:tcPr>
          <w:p w14:paraId="67E2E88D"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2019</w:t>
            </w:r>
          </w:p>
        </w:tc>
        <w:tc>
          <w:tcPr>
            <w:tcW w:w="1266" w:type="dxa"/>
            <w:hideMark/>
          </w:tcPr>
          <w:p w14:paraId="07004D41"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2020</w:t>
            </w:r>
          </w:p>
        </w:tc>
        <w:tc>
          <w:tcPr>
            <w:tcW w:w="1266" w:type="dxa"/>
            <w:hideMark/>
          </w:tcPr>
          <w:p w14:paraId="31A07CE6"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2021</w:t>
            </w:r>
          </w:p>
        </w:tc>
        <w:tc>
          <w:tcPr>
            <w:tcW w:w="1266" w:type="dxa"/>
            <w:hideMark/>
          </w:tcPr>
          <w:p w14:paraId="74E44590"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2022</w:t>
            </w:r>
          </w:p>
        </w:tc>
        <w:tc>
          <w:tcPr>
            <w:tcW w:w="1266" w:type="dxa"/>
            <w:hideMark/>
          </w:tcPr>
          <w:p w14:paraId="744DA67C"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2023</w:t>
            </w:r>
          </w:p>
        </w:tc>
      </w:tr>
      <w:tr w:rsidR="005569B5" w:rsidRPr="001A2F60" w14:paraId="5537A7F7" w14:textId="77777777" w:rsidTr="005569B5">
        <w:trPr>
          <w:trHeight w:val="1197"/>
        </w:trPr>
        <w:tc>
          <w:tcPr>
            <w:tcW w:w="1739" w:type="dxa"/>
            <w:hideMark/>
          </w:tcPr>
          <w:p w14:paraId="250D562C"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Value at Risk (</w:t>
            </w:r>
            <w:proofErr w:type="spellStart"/>
            <w:r w:rsidRPr="005569B5">
              <w:rPr>
                <w:rFonts w:ascii="Aptos Narrow" w:eastAsia="Times New Roman" w:hAnsi="Aptos Narrow" w:cs="Times New Roman"/>
                <w:color w:val="000000"/>
                <w:kern w:val="0"/>
                <w:sz w:val="24"/>
                <w:szCs w:val="24"/>
                <w:lang w:eastAsia="en-IN"/>
                <w14:ligatures w14:val="none"/>
              </w:rPr>
              <w:t>VaR</w:t>
            </w:r>
            <w:proofErr w:type="spellEnd"/>
            <w:r w:rsidRPr="005569B5">
              <w:rPr>
                <w:rFonts w:ascii="Aptos Narrow" w:eastAsia="Times New Roman" w:hAnsi="Aptos Narrow" w:cs="Times New Roman"/>
                <w:color w:val="000000"/>
                <w:kern w:val="0"/>
                <w:sz w:val="24"/>
                <w:szCs w:val="24"/>
                <w:lang w:eastAsia="en-IN"/>
                <w14:ligatures w14:val="none"/>
              </w:rPr>
              <w:t>) (in million $)</w:t>
            </w:r>
          </w:p>
        </w:tc>
        <w:tc>
          <w:tcPr>
            <w:tcW w:w="1262" w:type="dxa"/>
            <w:hideMark/>
          </w:tcPr>
          <w:p w14:paraId="0BAF89B0"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15</w:t>
            </w:r>
          </w:p>
        </w:tc>
        <w:tc>
          <w:tcPr>
            <w:tcW w:w="1266" w:type="dxa"/>
            <w:hideMark/>
          </w:tcPr>
          <w:p w14:paraId="6841E526"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18</w:t>
            </w:r>
          </w:p>
        </w:tc>
        <w:tc>
          <w:tcPr>
            <w:tcW w:w="1266" w:type="dxa"/>
            <w:hideMark/>
          </w:tcPr>
          <w:p w14:paraId="4300D632"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17</w:t>
            </w:r>
          </w:p>
        </w:tc>
        <w:tc>
          <w:tcPr>
            <w:tcW w:w="1266" w:type="dxa"/>
            <w:hideMark/>
          </w:tcPr>
          <w:p w14:paraId="12260B84"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14</w:t>
            </w:r>
          </w:p>
        </w:tc>
        <w:tc>
          <w:tcPr>
            <w:tcW w:w="1266" w:type="dxa"/>
            <w:hideMark/>
          </w:tcPr>
          <w:p w14:paraId="58948824"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13</w:t>
            </w:r>
          </w:p>
        </w:tc>
      </w:tr>
      <w:tr w:rsidR="005569B5" w:rsidRPr="001A2F60" w14:paraId="3DF77903" w14:textId="77777777" w:rsidTr="005569B5">
        <w:trPr>
          <w:trHeight w:val="1197"/>
        </w:trPr>
        <w:tc>
          <w:tcPr>
            <w:tcW w:w="1739" w:type="dxa"/>
            <w:hideMark/>
          </w:tcPr>
          <w:p w14:paraId="5333953B"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Interest Rate Risk (IRR) (in million $)</w:t>
            </w:r>
          </w:p>
        </w:tc>
        <w:tc>
          <w:tcPr>
            <w:tcW w:w="1262" w:type="dxa"/>
            <w:hideMark/>
          </w:tcPr>
          <w:p w14:paraId="7CF0E4DA"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10</w:t>
            </w:r>
          </w:p>
        </w:tc>
        <w:tc>
          <w:tcPr>
            <w:tcW w:w="1266" w:type="dxa"/>
            <w:hideMark/>
          </w:tcPr>
          <w:p w14:paraId="40887907"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12</w:t>
            </w:r>
          </w:p>
        </w:tc>
        <w:tc>
          <w:tcPr>
            <w:tcW w:w="1266" w:type="dxa"/>
            <w:hideMark/>
          </w:tcPr>
          <w:p w14:paraId="4E97E8DE"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11</w:t>
            </w:r>
          </w:p>
        </w:tc>
        <w:tc>
          <w:tcPr>
            <w:tcW w:w="1266" w:type="dxa"/>
            <w:hideMark/>
          </w:tcPr>
          <w:p w14:paraId="34CD78FF"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9</w:t>
            </w:r>
          </w:p>
        </w:tc>
        <w:tc>
          <w:tcPr>
            <w:tcW w:w="1266" w:type="dxa"/>
            <w:hideMark/>
          </w:tcPr>
          <w:p w14:paraId="49A79B23"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8</w:t>
            </w:r>
          </w:p>
        </w:tc>
      </w:tr>
      <w:tr w:rsidR="005569B5" w:rsidRPr="001A2F60" w14:paraId="1E74E124" w14:textId="77777777" w:rsidTr="005569B5">
        <w:trPr>
          <w:trHeight w:val="1197"/>
        </w:trPr>
        <w:tc>
          <w:tcPr>
            <w:tcW w:w="1739" w:type="dxa"/>
            <w:hideMark/>
          </w:tcPr>
          <w:p w14:paraId="59EA4620"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Equity Price Risk (in million $)</w:t>
            </w:r>
          </w:p>
        </w:tc>
        <w:tc>
          <w:tcPr>
            <w:tcW w:w="1262" w:type="dxa"/>
            <w:hideMark/>
          </w:tcPr>
          <w:p w14:paraId="0B9111E5"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5</w:t>
            </w:r>
          </w:p>
        </w:tc>
        <w:tc>
          <w:tcPr>
            <w:tcW w:w="1266" w:type="dxa"/>
            <w:hideMark/>
          </w:tcPr>
          <w:p w14:paraId="5768309E"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6</w:t>
            </w:r>
          </w:p>
        </w:tc>
        <w:tc>
          <w:tcPr>
            <w:tcW w:w="1266" w:type="dxa"/>
            <w:hideMark/>
          </w:tcPr>
          <w:p w14:paraId="531E009A"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5.5</w:t>
            </w:r>
          </w:p>
        </w:tc>
        <w:tc>
          <w:tcPr>
            <w:tcW w:w="1266" w:type="dxa"/>
            <w:hideMark/>
          </w:tcPr>
          <w:p w14:paraId="410A00AB"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5</w:t>
            </w:r>
          </w:p>
        </w:tc>
        <w:tc>
          <w:tcPr>
            <w:tcW w:w="1266" w:type="dxa"/>
            <w:hideMark/>
          </w:tcPr>
          <w:p w14:paraId="37C8691A"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4.5</w:t>
            </w:r>
          </w:p>
        </w:tc>
      </w:tr>
      <w:tr w:rsidR="005569B5" w:rsidRPr="001A2F60" w14:paraId="70E70F9F" w14:textId="77777777" w:rsidTr="005569B5">
        <w:trPr>
          <w:trHeight w:val="1197"/>
        </w:trPr>
        <w:tc>
          <w:tcPr>
            <w:tcW w:w="1739" w:type="dxa"/>
            <w:hideMark/>
          </w:tcPr>
          <w:p w14:paraId="04EDDBA1"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Foreign Exchange Risk (in million $)</w:t>
            </w:r>
          </w:p>
        </w:tc>
        <w:tc>
          <w:tcPr>
            <w:tcW w:w="1262" w:type="dxa"/>
            <w:hideMark/>
          </w:tcPr>
          <w:p w14:paraId="340F4FC9"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3</w:t>
            </w:r>
          </w:p>
        </w:tc>
        <w:tc>
          <w:tcPr>
            <w:tcW w:w="1266" w:type="dxa"/>
            <w:hideMark/>
          </w:tcPr>
          <w:p w14:paraId="4A749082"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4</w:t>
            </w:r>
          </w:p>
        </w:tc>
        <w:tc>
          <w:tcPr>
            <w:tcW w:w="1266" w:type="dxa"/>
            <w:hideMark/>
          </w:tcPr>
          <w:p w14:paraId="74D8B7CB"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3.5</w:t>
            </w:r>
          </w:p>
        </w:tc>
        <w:tc>
          <w:tcPr>
            <w:tcW w:w="1266" w:type="dxa"/>
            <w:hideMark/>
          </w:tcPr>
          <w:p w14:paraId="390FEE84"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3</w:t>
            </w:r>
          </w:p>
        </w:tc>
        <w:tc>
          <w:tcPr>
            <w:tcW w:w="1266" w:type="dxa"/>
            <w:hideMark/>
          </w:tcPr>
          <w:p w14:paraId="333E1CE3"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2.8</w:t>
            </w:r>
          </w:p>
        </w:tc>
      </w:tr>
      <w:tr w:rsidR="005569B5" w:rsidRPr="001A2F60" w14:paraId="2E72279F" w14:textId="77777777" w:rsidTr="005569B5">
        <w:trPr>
          <w:trHeight w:val="1197"/>
        </w:trPr>
        <w:tc>
          <w:tcPr>
            <w:tcW w:w="1739" w:type="dxa"/>
            <w:hideMark/>
          </w:tcPr>
          <w:p w14:paraId="6B4F3AD3"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Commodity Price Risk (in million $)</w:t>
            </w:r>
          </w:p>
        </w:tc>
        <w:tc>
          <w:tcPr>
            <w:tcW w:w="1262" w:type="dxa"/>
            <w:hideMark/>
          </w:tcPr>
          <w:p w14:paraId="5990986D"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w:t>
            </w:r>
          </w:p>
        </w:tc>
        <w:tc>
          <w:tcPr>
            <w:tcW w:w="1266" w:type="dxa"/>
            <w:hideMark/>
          </w:tcPr>
          <w:p w14:paraId="1B347D78"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2.5</w:t>
            </w:r>
          </w:p>
        </w:tc>
        <w:tc>
          <w:tcPr>
            <w:tcW w:w="1266" w:type="dxa"/>
            <w:hideMark/>
          </w:tcPr>
          <w:p w14:paraId="47BE1F56"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2.3</w:t>
            </w:r>
          </w:p>
        </w:tc>
        <w:tc>
          <w:tcPr>
            <w:tcW w:w="1266" w:type="dxa"/>
            <w:hideMark/>
          </w:tcPr>
          <w:p w14:paraId="63C50FAA"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w:t>
            </w:r>
          </w:p>
        </w:tc>
        <w:tc>
          <w:tcPr>
            <w:tcW w:w="1266" w:type="dxa"/>
            <w:hideMark/>
          </w:tcPr>
          <w:p w14:paraId="19F6DC67"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1.8</w:t>
            </w:r>
          </w:p>
        </w:tc>
      </w:tr>
    </w:tbl>
    <w:p w14:paraId="4A996DB9" w14:textId="77777777" w:rsidR="005569B5" w:rsidRPr="005569B5" w:rsidRDefault="005569B5" w:rsidP="005569B5">
      <w:pPr>
        <w:rPr>
          <w:b/>
          <w:bCs/>
          <w:sz w:val="24"/>
          <w:szCs w:val="24"/>
          <w:lang w:eastAsia="en-IN"/>
        </w:rPr>
      </w:pPr>
      <w:r w:rsidRPr="005569B5">
        <w:rPr>
          <w:b/>
          <w:bCs/>
          <w:sz w:val="24"/>
          <w:szCs w:val="24"/>
          <w:lang w:eastAsia="en-IN"/>
        </w:rPr>
        <w:t>Market risk metrics from 2019 to 2023:</w:t>
      </w:r>
    </w:p>
    <w:p w14:paraId="7B131C02" w14:textId="77777777" w:rsidR="005569B5" w:rsidRPr="005569B5" w:rsidRDefault="005569B5" w:rsidP="005569B5">
      <w:pPr>
        <w:pStyle w:val="ListParagraph"/>
        <w:numPr>
          <w:ilvl w:val="0"/>
          <w:numId w:val="26"/>
        </w:numPr>
        <w:rPr>
          <w:sz w:val="24"/>
          <w:szCs w:val="24"/>
          <w:lang w:eastAsia="en-IN"/>
        </w:rPr>
      </w:pPr>
      <w:r w:rsidRPr="005569B5">
        <w:rPr>
          <w:b/>
          <w:bCs/>
          <w:sz w:val="24"/>
          <w:szCs w:val="24"/>
          <w:lang w:eastAsia="en-IN"/>
        </w:rPr>
        <w:t>Value at Risk (</w:t>
      </w:r>
      <w:proofErr w:type="spellStart"/>
      <w:r w:rsidRPr="005569B5">
        <w:rPr>
          <w:b/>
          <w:bCs/>
          <w:sz w:val="24"/>
          <w:szCs w:val="24"/>
          <w:lang w:eastAsia="en-IN"/>
        </w:rPr>
        <w:t>VaR</w:t>
      </w:r>
      <w:proofErr w:type="spellEnd"/>
      <w:r w:rsidRPr="005569B5">
        <w:rPr>
          <w:b/>
          <w:bCs/>
          <w:sz w:val="24"/>
          <w:szCs w:val="24"/>
          <w:lang w:eastAsia="en-IN"/>
        </w:rPr>
        <w:t>):</w:t>
      </w:r>
      <w:r w:rsidRPr="005569B5">
        <w:rPr>
          <w:sz w:val="24"/>
          <w:szCs w:val="24"/>
          <w:lang w:eastAsia="en-IN"/>
        </w:rPr>
        <w:t xml:space="preserve"> Decreased from $15 million in 2019 to $13 million in 2023, indicating lower potential losses from market risk.</w:t>
      </w:r>
    </w:p>
    <w:p w14:paraId="272675B5" w14:textId="77777777" w:rsidR="005569B5" w:rsidRPr="005569B5" w:rsidRDefault="005569B5" w:rsidP="005569B5">
      <w:pPr>
        <w:pStyle w:val="ListParagraph"/>
        <w:numPr>
          <w:ilvl w:val="0"/>
          <w:numId w:val="26"/>
        </w:numPr>
        <w:rPr>
          <w:sz w:val="24"/>
          <w:szCs w:val="24"/>
          <w:lang w:eastAsia="en-IN"/>
        </w:rPr>
      </w:pPr>
      <w:r w:rsidRPr="005569B5">
        <w:rPr>
          <w:b/>
          <w:bCs/>
          <w:sz w:val="24"/>
          <w:szCs w:val="24"/>
          <w:lang w:eastAsia="en-IN"/>
        </w:rPr>
        <w:t>Interest Rate Risk (IRR):</w:t>
      </w:r>
      <w:r w:rsidRPr="005569B5">
        <w:rPr>
          <w:sz w:val="24"/>
          <w:szCs w:val="24"/>
          <w:lang w:eastAsia="en-IN"/>
        </w:rPr>
        <w:t xml:space="preserve"> Declined from $10 million in 2019 to $8 million in 2023, suggesting reduced vulnerability to interest rate fluctuations.</w:t>
      </w:r>
    </w:p>
    <w:p w14:paraId="097E79B3" w14:textId="77777777" w:rsidR="005569B5" w:rsidRPr="005569B5" w:rsidRDefault="005569B5" w:rsidP="005569B5">
      <w:pPr>
        <w:pStyle w:val="ListParagraph"/>
        <w:numPr>
          <w:ilvl w:val="0"/>
          <w:numId w:val="26"/>
        </w:numPr>
        <w:rPr>
          <w:sz w:val="24"/>
          <w:szCs w:val="24"/>
          <w:lang w:eastAsia="en-IN"/>
        </w:rPr>
      </w:pPr>
      <w:r w:rsidRPr="005569B5">
        <w:rPr>
          <w:b/>
          <w:bCs/>
          <w:sz w:val="24"/>
          <w:szCs w:val="24"/>
          <w:lang w:eastAsia="en-IN"/>
        </w:rPr>
        <w:t>Equity Price Risk:</w:t>
      </w:r>
      <w:r w:rsidRPr="005569B5">
        <w:rPr>
          <w:sz w:val="24"/>
          <w:szCs w:val="24"/>
          <w:lang w:eastAsia="en-IN"/>
        </w:rPr>
        <w:t xml:space="preserve"> Decreased from $5 million in 2019 to $4.5 million in 2023, reflecting potentially improved management of equity price volatility.</w:t>
      </w:r>
    </w:p>
    <w:p w14:paraId="540F6C71" w14:textId="77777777" w:rsidR="005569B5" w:rsidRPr="005569B5" w:rsidRDefault="005569B5" w:rsidP="005569B5">
      <w:pPr>
        <w:pStyle w:val="ListParagraph"/>
        <w:numPr>
          <w:ilvl w:val="0"/>
          <w:numId w:val="26"/>
        </w:numPr>
        <w:rPr>
          <w:sz w:val="24"/>
          <w:szCs w:val="24"/>
          <w:lang w:eastAsia="en-IN"/>
        </w:rPr>
      </w:pPr>
      <w:r w:rsidRPr="005569B5">
        <w:rPr>
          <w:b/>
          <w:bCs/>
          <w:sz w:val="24"/>
          <w:szCs w:val="24"/>
          <w:lang w:eastAsia="en-IN"/>
        </w:rPr>
        <w:t>Foreign Exchange Risk:</w:t>
      </w:r>
      <w:r w:rsidRPr="005569B5">
        <w:rPr>
          <w:sz w:val="24"/>
          <w:szCs w:val="24"/>
          <w:lang w:eastAsia="en-IN"/>
        </w:rPr>
        <w:t xml:space="preserve"> Declined from $3 million in 2019 to $2.8 million in 2023, indicating better management of foreign exchange rate fluctuations.</w:t>
      </w:r>
    </w:p>
    <w:p w14:paraId="0A3826B4" w14:textId="77777777" w:rsidR="005569B5" w:rsidRDefault="005569B5" w:rsidP="005569B5">
      <w:pPr>
        <w:pStyle w:val="ListParagraph"/>
        <w:numPr>
          <w:ilvl w:val="0"/>
          <w:numId w:val="26"/>
        </w:numPr>
        <w:rPr>
          <w:sz w:val="24"/>
          <w:szCs w:val="24"/>
          <w:lang w:eastAsia="en-IN"/>
        </w:rPr>
      </w:pPr>
      <w:r w:rsidRPr="005569B5">
        <w:rPr>
          <w:b/>
          <w:bCs/>
          <w:sz w:val="24"/>
          <w:szCs w:val="24"/>
          <w:lang w:eastAsia="en-IN"/>
        </w:rPr>
        <w:t>Commodity Price Risk:</w:t>
      </w:r>
      <w:r w:rsidRPr="005569B5">
        <w:rPr>
          <w:sz w:val="24"/>
          <w:szCs w:val="24"/>
          <w:lang w:eastAsia="en-IN"/>
        </w:rPr>
        <w:t xml:space="preserve"> Decreased from $2 million in 2019 to $1.8 million in 2023, showing reduced exposure to commodity price fluctuations.</w:t>
      </w:r>
    </w:p>
    <w:p w14:paraId="59209E22" w14:textId="5645C845" w:rsidR="005569B5" w:rsidRPr="005569B5" w:rsidRDefault="005569B5" w:rsidP="005569B5">
      <w:pPr>
        <w:rPr>
          <w:sz w:val="24"/>
          <w:szCs w:val="24"/>
          <w:lang w:eastAsia="en-IN"/>
        </w:rPr>
      </w:pPr>
      <w:r w:rsidRPr="005569B5">
        <w:rPr>
          <w:sz w:val="24"/>
          <w:szCs w:val="24"/>
          <w:lang w:eastAsia="en-IN"/>
        </w:rPr>
        <w:t>Overall, these trends suggest that the institution has managed to lower its exposure to various types of market risks over the years through improved risk management practices or changes in portfolio composition.</w:t>
      </w:r>
    </w:p>
    <w:p w14:paraId="12AB44CF" w14:textId="77777777" w:rsidR="005569B5" w:rsidRDefault="005569B5">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2642B502" w14:textId="77777777" w:rsidR="005569B5" w:rsidRPr="005569B5" w:rsidRDefault="005569B5" w:rsidP="005569B5">
      <w:pPr>
        <w:pStyle w:val="Heading2"/>
        <w:rPr>
          <w:rFonts w:eastAsia="Times New Roman"/>
          <w:lang w:eastAsia="en-IN"/>
        </w:rPr>
      </w:pPr>
      <w:r w:rsidRPr="005569B5">
        <w:rPr>
          <w:rFonts w:eastAsia="Times New Roman"/>
          <w:lang w:eastAsia="en-IN"/>
        </w:rPr>
        <w:lastRenderedPageBreak/>
        <w:t>Operational Risk Metrics</w:t>
      </w:r>
    </w:p>
    <w:tbl>
      <w:tblPr>
        <w:tblStyle w:val="TableGrid"/>
        <w:tblW w:w="6990" w:type="dxa"/>
        <w:tblLook w:val="04A0" w:firstRow="1" w:lastRow="0" w:firstColumn="1" w:lastColumn="0" w:noHBand="0" w:noVBand="1"/>
      </w:tblPr>
      <w:tblGrid>
        <w:gridCol w:w="1561"/>
        <w:gridCol w:w="1085"/>
        <w:gridCol w:w="1086"/>
        <w:gridCol w:w="1086"/>
        <w:gridCol w:w="1086"/>
        <w:gridCol w:w="1086"/>
      </w:tblGrid>
      <w:tr w:rsidR="005569B5" w:rsidRPr="005569B5" w14:paraId="3D0BD28C" w14:textId="77777777" w:rsidTr="001A2F60">
        <w:trPr>
          <w:trHeight w:val="177"/>
        </w:trPr>
        <w:tc>
          <w:tcPr>
            <w:tcW w:w="1561" w:type="dxa"/>
            <w:hideMark/>
          </w:tcPr>
          <w:p w14:paraId="386BD620"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Metric</w:t>
            </w:r>
          </w:p>
        </w:tc>
        <w:tc>
          <w:tcPr>
            <w:tcW w:w="1085" w:type="dxa"/>
            <w:hideMark/>
          </w:tcPr>
          <w:p w14:paraId="1C0257D8"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2019</w:t>
            </w:r>
          </w:p>
        </w:tc>
        <w:tc>
          <w:tcPr>
            <w:tcW w:w="1086" w:type="dxa"/>
            <w:hideMark/>
          </w:tcPr>
          <w:p w14:paraId="20F0B5F0"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2020</w:t>
            </w:r>
          </w:p>
        </w:tc>
        <w:tc>
          <w:tcPr>
            <w:tcW w:w="1086" w:type="dxa"/>
            <w:hideMark/>
          </w:tcPr>
          <w:p w14:paraId="4D808211"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2021</w:t>
            </w:r>
          </w:p>
        </w:tc>
        <w:tc>
          <w:tcPr>
            <w:tcW w:w="1086" w:type="dxa"/>
            <w:hideMark/>
          </w:tcPr>
          <w:p w14:paraId="560AA3C3"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2022</w:t>
            </w:r>
          </w:p>
        </w:tc>
        <w:tc>
          <w:tcPr>
            <w:tcW w:w="1086" w:type="dxa"/>
            <w:hideMark/>
          </w:tcPr>
          <w:p w14:paraId="713944A8" w14:textId="77777777" w:rsidR="005569B5" w:rsidRPr="005569B5" w:rsidRDefault="005569B5" w:rsidP="005569B5">
            <w:pPr>
              <w:jc w:val="center"/>
              <w:rPr>
                <w:rFonts w:ascii="Aptos Narrow" w:eastAsia="Times New Roman" w:hAnsi="Aptos Narrow" w:cs="Times New Roman"/>
                <w:b/>
                <w:bCs/>
                <w:color w:val="000000"/>
                <w:kern w:val="0"/>
                <w:sz w:val="24"/>
                <w:szCs w:val="24"/>
                <w:lang w:eastAsia="en-IN"/>
                <w14:ligatures w14:val="none"/>
              </w:rPr>
            </w:pPr>
            <w:r w:rsidRPr="005569B5">
              <w:rPr>
                <w:rFonts w:ascii="Aptos Narrow" w:eastAsia="Times New Roman" w:hAnsi="Aptos Narrow" w:cs="Times New Roman"/>
                <w:b/>
                <w:bCs/>
                <w:color w:val="000000"/>
                <w:kern w:val="0"/>
                <w:sz w:val="24"/>
                <w:szCs w:val="24"/>
                <w:lang w:eastAsia="en-IN"/>
                <w14:ligatures w14:val="none"/>
              </w:rPr>
              <w:t>2023</w:t>
            </w:r>
          </w:p>
        </w:tc>
      </w:tr>
      <w:tr w:rsidR="005569B5" w:rsidRPr="005569B5" w14:paraId="437F868E" w14:textId="77777777" w:rsidTr="001A2F60">
        <w:trPr>
          <w:trHeight w:val="532"/>
        </w:trPr>
        <w:tc>
          <w:tcPr>
            <w:tcW w:w="1561" w:type="dxa"/>
            <w:hideMark/>
          </w:tcPr>
          <w:p w14:paraId="099925E5"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Number of Fraud Incidents</w:t>
            </w:r>
          </w:p>
        </w:tc>
        <w:tc>
          <w:tcPr>
            <w:tcW w:w="1085" w:type="dxa"/>
            <w:hideMark/>
          </w:tcPr>
          <w:p w14:paraId="534F7E48"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50</w:t>
            </w:r>
          </w:p>
        </w:tc>
        <w:tc>
          <w:tcPr>
            <w:tcW w:w="1086" w:type="dxa"/>
            <w:hideMark/>
          </w:tcPr>
          <w:p w14:paraId="2BAC83EC"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60</w:t>
            </w:r>
          </w:p>
        </w:tc>
        <w:tc>
          <w:tcPr>
            <w:tcW w:w="1086" w:type="dxa"/>
            <w:hideMark/>
          </w:tcPr>
          <w:p w14:paraId="144DC091"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55</w:t>
            </w:r>
          </w:p>
        </w:tc>
        <w:tc>
          <w:tcPr>
            <w:tcW w:w="1086" w:type="dxa"/>
            <w:hideMark/>
          </w:tcPr>
          <w:p w14:paraId="05E12743"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45</w:t>
            </w:r>
          </w:p>
        </w:tc>
        <w:tc>
          <w:tcPr>
            <w:tcW w:w="1086" w:type="dxa"/>
            <w:hideMark/>
          </w:tcPr>
          <w:p w14:paraId="29ABEBBD"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40</w:t>
            </w:r>
          </w:p>
        </w:tc>
      </w:tr>
      <w:tr w:rsidR="005569B5" w:rsidRPr="005569B5" w14:paraId="13AEF3E0" w14:textId="77777777" w:rsidTr="001A2F60">
        <w:trPr>
          <w:trHeight w:val="1243"/>
        </w:trPr>
        <w:tc>
          <w:tcPr>
            <w:tcW w:w="1561" w:type="dxa"/>
            <w:hideMark/>
          </w:tcPr>
          <w:p w14:paraId="0E59C7B6"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Losses Due to Operational Failures (in million $)</w:t>
            </w:r>
          </w:p>
        </w:tc>
        <w:tc>
          <w:tcPr>
            <w:tcW w:w="1085" w:type="dxa"/>
            <w:hideMark/>
          </w:tcPr>
          <w:p w14:paraId="254F4798"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20</w:t>
            </w:r>
          </w:p>
        </w:tc>
        <w:tc>
          <w:tcPr>
            <w:tcW w:w="1086" w:type="dxa"/>
            <w:hideMark/>
          </w:tcPr>
          <w:p w14:paraId="6D7A47B7"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25</w:t>
            </w:r>
          </w:p>
        </w:tc>
        <w:tc>
          <w:tcPr>
            <w:tcW w:w="1086" w:type="dxa"/>
            <w:hideMark/>
          </w:tcPr>
          <w:p w14:paraId="071E2BD9"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22</w:t>
            </w:r>
          </w:p>
        </w:tc>
        <w:tc>
          <w:tcPr>
            <w:tcW w:w="1086" w:type="dxa"/>
            <w:hideMark/>
          </w:tcPr>
          <w:p w14:paraId="2B84DAC2"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18</w:t>
            </w:r>
          </w:p>
        </w:tc>
        <w:tc>
          <w:tcPr>
            <w:tcW w:w="1086" w:type="dxa"/>
            <w:hideMark/>
          </w:tcPr>
          <w:p w14:paraId="22C8FD6D"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15</w:t>
            </w:r>
          </w:p>
        </w:tc>
      </w:tr>
      <w:tr w:rsidR="005569B5" w:rsidRPr="005569B5" w14:paraId="11F61C1F" w14:textId="77777777" w:rsidTr="001A2F60">
        <w:trPr>
          <w:trHeight w:val="710"/>
        </w:trPr>
        <w:tc>
          <w:tcPr>
            <w:tcW w:w="1561" w:type="dxa"/>
            <w:hideMark/>
          </w:tcPr>
          <w:p w14:paraId="39CE9179"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Downtime Due to IT Issues (hours)</w:t>
            </w:r>
          </w:p>
        </w:tc>
        <w:tc>
          <w:tcPr>
            <w:tcW w:w="1085" w:type="dxa"/>
            <w:hideMark/>
          </w:tcPr>
          <w:p w14:paraId="44AF922B"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100</w:t>
            </w:r>
          </w:p>
        </w:tc>
        <w:tc>
          <w:tcPr>
            <w:tcW w:w="1086" w:type="dxa"/>
            <w:hideMark/>
          </w:tcPr>
          <w:p w14:paraId="1E8752D7"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120</w:t>
            </w:r>
          </w:p>
        </w:tc>
        <w:tc>
          <w:tcPr>
            <w:tcW w:w="1086" w:type="dxa"/>
            <w:hideMark/>
          </w:tcPr>
          <w:p w14:paraId="4881C611"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110</w:t>
            </w:r>
          </w:p>
        </w:tc>
        <w:tc>
          <w:tcPr>
            <w:tcW w:w="1086" w:type="dxa"/>
            <w:hideMark/>
          </w:tcPr>
          <w:p w14:paraId="35984A5A"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90</w:t>
            </w:r>
          </w:p>
        </w:tc>
        <w:tc>
          <w:tcPr>
            <w:tcW w:w="1086" w:type="dxa"/>
            <w:hideMark/>
          </w:tcPr>
          <w:p w14:paraId="2E691FCF"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80</w:t>
            </w:r>
          </w:p>
        </w:tc>
      </w:tr>
      <w:tr w:rsidR="005569B5" w:rsidRPr="005569B5" w14:paraId="3CCE912C" w14:textId="77777777" w:rsidTr="001A2F60">
        <w:trPr>
          <w:trHeight w:val="887"/>
        </w:trPr>
        <w:tc>
          <w:tcPr>
            <w:tcW w:w="1561" w:type="dxa"/>
            <w:hideMark/>
          </w:tcPr>
          <w:p w14:paraId="29A19586"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Number of Compliance Breaches</w:t>
            </w:r>
          </w:p>
        </w:tc>
        <w:tc>
          <w:tcPr>
            <w:tcW w:w="1085" w:type="dxa"/>
            <w:hideMark/>
          </w:tcPr>
          <w:p w14:paraId="36F1FB5D"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5</w:t>
            </w:r>
          </w:p>
        </w:tc>
        <w:tc>
          <w:tcPr>
            <w:tcW w:w="1086" w:type="dxa"/>
            <w:hideMark/>
          </w:tcPr>
          <w:p w14:paraId="7C44F5C6"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6</w:t>
            </w:r>
          </w:p>
        </w:tc>
        <w:tc>
          <w:tcPr>
            <w:tcW w:w="1086" w:type="dxa"/>
            <w:hideMark/>
          </w:tcPr>
          <w:p w14:paraId="7C95A8B5"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5</w:t>
            </w:r>
          </w:p>
        </w:tc>
        <w:tc>
          <w:tcPr>
            <w:tcW w:w="1086" w:type="dxa"/>
            <w:hideMark/>
          </w:tcPr>
          <w:p w14:paraId="14762AA8"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4</w:t>
            </w:r>
          </w:p>
        </w:tc>
        <w:tc>
          <w:tcPr>
            <w:tcW w:w="1086" w:type="dxa"/>
            <w:hideMark/>
          </w:tcPr>
          <w:p w14:paraId="144F2F19"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3</w:t>
            </w:r>
          </w:p>
        </w:tc>
      </w:tr>
      <w:tr w:rsidR="005569B5" w:rsidRPr="005569B5" w14:paraId="3315F638" w14:textId="77777777" w:rsidTr="001A2F60">
        <w:trPr>
          <w:trHeight w:val="532"/>
        </w:trPr>
        <w:tc>
          <w:tcPr>
            <w:tcW w:w="1561" w:type="dxa"/>
            <w:hideMark/>
          </w:tcPr>
          <w:p w14:paraId="5BA41C93" w14:textId="77777777" w:rsidR="005569B5" w:rsidRPr="005569B5" w:rsidRDefault="005569B5" w:rsidP="005569B5">
            <w:pPr>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Internal Audit Findings</w:t>
            </w:r>
          </w:p>
        </w:tc>
        <w:tc>
          <w:tcPr>
            <w:tcW w:w="1085" w:type="dxa"/>
            <w:hideMark/>
          </w:tcPr>
          <w:p w14:paraId="41E91A34"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30</w:t>
            </w:r>
          </w:p>
        </w:tc>
        <w:tc>
          <w:tcPr>
            <w:tcW w:w="1086" w:type="dxa"/>
            <w:hideMark/>
          </w:tcPr>
          <w:p w14:paraId="269F1ED3"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35</w:t>
            </w:r>
          </w:p>
        </w:tc>
        <w:tc>
          <w:tcPr>
            <w:tcW w:w="1086" w:type="dxa"/>
            <w:hideMark/>
          </w:tcPr>
          <w:p w14:paraId="416E47A3"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32</w:t>
            </w:r>
          </w:p>
        </w:tc>
        <w:tc>
          <w:tcPr>
            <w:tcW w:w="1086" w:type="dxa"/>
            <w:hideMark/>
          </w:tcPr>
          <w:p w14:paraId="3EBF20E4"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28</w:t>
            </w:r>
          </w:p>
        </w:tc>
        <w:tc>
          <w:tcPr>
            <w:tcW w:w="1086" w:type="dxa"/>
            <w:hideMark/>
          </w:tcPr>
          <w:p w14:paraId="455D9B27" w14:textId="77777777" w:rsidR="005569B5" w:rsidRPr="005569B5" w:rsidRDefault="005569B5" w:rsidP="005569B5">
            <w:pPr>
              <w:jc w:val="right"/>
              <w:rPr>
                <w:rFonts w:ascii="Aptos Narrow" w:eastAsia="Times New Roman" w:hAnsi="Aptos Narrow" w:cs="Times New Roman"/>
                <w:color w:val="000000"/>
                <w:kern w:val="0"/>
                <w:sz w:val="24"/>
                <w:szCs w:val="24"/>
                <w:lang w:eastAsia="en-IN"/>
                <w14:ligatures w14:val="none"/>
              </w:rPr>
            </w:pPr>
            <w:r w:rsidRPr="005569B5">
              <w:rPr>
                <w:rFonts w:ascii="Aptos Narrow" w:eastAsia="Times New Roman" w:hAnsi="Aptos Narrow" w:cs="Times New Roman"/>
                <w:color w:val="000000"/>
                <w:kern w:val="0"/>
                <w:sz w:val="24"/>
                <w:szCs w:val="24"/>
                <w:lang w:eastAsia="en-IN"/>
                <w14:ligatures w14:val="none"/>
              </w:rPr>
              <w:t>25</w:t>
            </w:r>
          </w:p>
        </w:tc>
      </w:tr>
    </w:tbl>
    <w:p w14:paraId="7D3E13DC" w14:textId="77777777" w:rsidR="005569B5" w:rsidRDefault="005569B5" w:rsidP="005569B5">
      <w:pPr>
        <w:rPr>
          <w:lang w:eastAsia="en-IN"/>
        </w:rPr>
      </w:pPr>
    </w:p>
    <w:p w14:paraId="41571EA3" w14:textId="5A7FDF12" w:rsidR="001A2F60" w:rsidRPr="001A2F60" w:rsidRDefault="001A2F60" w:rsidP="001A2F60">
      <w:pPr>
        <w:rPr>
          <w:sz w:val="24"/>
          <w:szCs w:val="24"/>
          <w:lang w:eastAsia="en-IN"/>
        </w:rPr>
      </w:pPr>
      <w:r w:rsidRPr="001A2F60">
        <w:rPr>
          <w:sz w:val="24"/>
          <w:szCs w:val="24"/>
          <w:lang w:eastAsia="en-IN"/>
        </w:rPr>
        <w:t xml:space="preserve">Here's </w:t>
      </w:r>
      <w:r w:rsidRPr="001A2F60">
        <w:rPr>
          <w:sz w:val="24"/>
          <w:szCs w:val="24"/>
          <w:lang w:eastAsia="en-IN"/>
        </w:rPr>
        <w:t>a summary</w:t>
      </w:r>
      <w:r w:rsidRPr="001A2F60">
        <w:rPr>
          <w:sz w:val="24"/>
          <w:szCs w:val="24"/>
          <w:lang w:eastAsia="en-IN"/>
        </w:rPr>
        <w:t xml:space="preserve"> of the operational risk metrics from 2019 to 2023:</w:t>
      </w:r>
    </w:p>
    <w:p w14:paraId="463F1E98" w14:textId="77777777" w:rsidR="001A2F60" w:rsidRPr="001A2F60" w:rsidRDefault="001A2F60" w:rsidP="001A2F60">
      <w:pPr>
        <w:pStyle w:val="ListParagraph"/>
        <w:numPr>
          <w:ilvl w:val="0"/>
          <w:numId w:val="27"/>
        </w:numPr>
        <w:rPr>
          <w:sz w:val="24"/>
          <w:szCs w:val="24"/>
          <w:lang w:eastAsia="en-IN"/>
        </w:rPr>
      </w:pPr>
      <w:r w:rsidRPr="001A2F60">
        <w:rPr>
          <w:b/>
          <w:bCs/>
          <w:sz w:val="24"/>
          <w:szCs w:val="24"/>
          <w:lang w:eastAsia="en-IN"/>
        </w:rPr>
        <w:t>Number of Fraud Incidents</w:t>
      </w:r>
      <w:r w:rsidRPr="001A2F60">
        <w:rPr>
          <w:sz w:val="24"/>
          <w:szCs w:val="24"/>
          <w:lang w:eastAsia="en-IN"/>
        </w:rPr>
        <w:t>: Decreased from 50 in 2019 to 40 in 2023, indicating improved fraud prevention measures.</w:t>
      </w:r>
    </w:p>
    <w:p w14:paraId="7E857CB7" w14:textId="77777777" w:rsidR="001A2F60" w:rsidRPr="001A2F60" w:rsidRDefault="001A2F60" w:rsidP="001A2F60">
      <w:pPr>
        <w:pStyle w:val="ListParagraph"/>
        <w:numPr>
          <w:ilvl w:val="0"/>
          <w:numId w:val="27"/>
        </w:numPr>
        <w:rPr>
          <w:sz w:val="24"/>
          <w:szCs w:val="24"/>
          <w:lang w:eastAsia="en-IN"/>
        </w:rPr>
      </w:pPr>
      <w:r w:rsidRPr="001A2F60">
        <w:rPr>
          <w:b/>
          <w:bCs/>
          <w:sz w:val="24"/>
          <w:szCs w:val="24"/>
          <w:lang w:eastAsia="en-IN"/>
        </w:rPr>
        <w:t>Losses Due to Operational Failures</w:t>
      </w:r>
      <w:r w:rsidRPr="001A2F60">
        <w:rPr>
          <w:sz w:val="24"/>
          <w:szCs w:val="24"/>
          <w:lang w:eastAsia="en-IN"/>
        </w:rPr>
        <w:t>: Decreased from $20 million in 2019 to $15 million in 2023, suggesting better operational risk management.</w:t>
      </w:r>
    </w:p>
    <w:p w14:paraId="620E6DF7" w14:textId="77777777" w:rsidR="001A2F60" w:rsidRPr="001A2F60" w:rsidRDefault="001A2F60" w:rsidP="001A2F60">
      <w:pPr>
        <w:pStyle w:val="ListParagraph"/>
        <w:numPr>
          <w:ilvl w:val="0"/>
          <w:numId w:val="27"/>
        </w:numPr>
        <w:rPr>
          <w:sz w:val="24"/>
          <w:szCs w:val="24"/>
          <w:lang w:eastAsia="en-IN"/>
        </w:rPr>
      </w:pPr>
      <w:r w:rsidRPr="001A2F60">
        <w:rPr>
          <w:b/>
          <w:bCs/>
          <w:sz w:val="24"/>
          <w:szCs w:val="24"/>
          <w:lang w:eastAsia="en-IN"/>
        </w:rPr>
        <w:t>Downtime Due to IT Issues</w:t>
      </w:r>
      <w:r w:rsidRPr="001A2F60">
        <w:rPr>
          <w:sz w:val="24"/>
          <w:szCs w:val="24"/>
          <w:lang w:eastAsia="en-IN"/>
        </w:rPr>
        <w:t>: Decreased from 100 hours in 2019 to 80 hours in 2023, indicating improved IT infrastructure stability.</w:t>
      </w:r>
    </w:p>
    <w:p w14:paraId="5E9D95BD" w14:textId="77777777" w:rsidR="001A2F60" w:rsidRPr="001A2F60" w:rsidRDefault="001A2F60" w:rsidP="001A2F60">
      <w:pPr>
        <w:pStyle w:val="ListParagraph"/>
        <w:numPr>
          <w:ilvl w:val="0"/>
          <w:numId w:val="27"/>
        </w:numPr>
        <w:rPr>
          <w:sz w:val="24"/>
          <w:szCs w:val="24"/>
          <w:lang w:eastAsia="en-IN"/>
        </w:rPr>
      </w:pPr>
      <w:r w:rsidRPr="001A2F60">
        <w:rPr>
          <w:b/>
          <w:bCs/>
          <w:sz w:val="24"/>
          <w:szCs w:val="24"/>
          <w:lang w:eastAsia="en-IN"/>
        </w:rPr>
        <w:t>Number of Compliance Breaches</w:t>
      </w:r>
      <w:r w:rsidRPr="001A2F60">
        <w:rPr>
          <w:sz w:val="24"/>
          <w:szCs w:val="24"/>
          <w:lang w:eastAsia="en-IN"/>
        </w:rPr>
        <w:t>: Decreased from 5 in 2019 to 3 in 2023, reflecting improved adherence to compliance standards.</w:t>
      </w:r>
    </w:p>
    <w:p w14:paraId="5E865AE9" w14:textId="77777777" w:rsidR="001A2F60" w:rsidRPr="001A2F60" w:rsidRDefault="001A2F60" w:rsidP="001A2F60">
      <w:pPr>
        <w:pStyle w:val="ListParagraph"/>
        <w:numPr>
          <w:ilvl w:val="0"/>
          <w:numId w:val="27"/>
        </w:numPr>
        <w:rPr>
          <w:sz w:val="24"/>
          <w:szCs w:val="24"/>
          <w:lang w:eastAsia="en-IN"/>
        </w:rPr>
      </w:pPr>
      <w:r w:rsidRPr="001A2F60">
        <w:rPr>
          <w:b/>
          <w:bCs/>
          <w:sz w:val="24"/>
          <w:szCs w:val="24"/>
          <w:lang w:eastAsia="en-IN"/>
        </w:rPr>
        <w:t>Internal Audit Findings</w:t>
      </w:r>
      <w:r w:rsidRPr="001A2F60">
        <w:rPr>
          <w:sz w:val="24"/>
          <w:szCs w:val="24"/>
          <w:lang w:eastAsia="en-IN"/>
        </w:rPr>
        <w:t>: Decreased from 30 in 2019 to 25 in 2023, indicating fewer operational issues identified through internal audits.</w:t>
      </w:r>
    </w:p>
    <w:p w14:paraId="635A8205" w14:textId="77777777" w:rsidR="001A2F60" w:rsidRPr="001A2F60" w:rsidRDefault="001A2F60" w:rsidP="001A2F60">
      <w:pPr>
        <w:rPr>
          <w:sz w:val="24"/>
          <w:szCs w:val="24"/>
          <w:lang w:eastAsia="en-IN"/>
        </w:rPr>
      </w:pPr>
      <w:r w:rsidRPr="001A2F60">
        <w:rPr>
          <w:sz w:val="24"/>
          <w:szCs w:val="24"/>
          <w:lang w:eastAsia="en-IN"/>
        </w:rPr>
        <w:t>Overall, these trends suggest that the institution has effectively reduced operational risks over the years, leading to fewer incidents, lower financial losses, less IT downtime, improved compliance, and fewer findings from internal audits.</w:t>
      </w:r>
    </w:p>
    <w:p w14:paraId="6FF10BB8" w14:textId="228FF4D9" w:rsidR="00DC62EE" w:rsidRPr="00DC62EE" w:rsidRDefault="00DC62EE" w:rsidP="00DC62EE">
      <w:pPr>
        <w:pStyle w:val="Heading1"/>
        <w:rPr>
          <w:rFonts w:eastAsia="Times New Roman"/>
          <w:lang w:eastAsia="en-IN"/>
        </w:rPr>
      </w:pPr>
      <w:r w:rsidRPr="00DC62EE">
        <w:rPr>
          <w:rFonts w:eastAsia="Times New Roman"/>
          <w:lang w:eastAsia="en-IN"/>
        </w:rPr>
        <w:t>Conclusion</w:t>
      </w:r>
    </w:p>
    <w:p w14:paraId="6AE07F15" w14:textId="6A5F8C5E" w:rsidR="008A21E4" w:rsidRPr="001A2F60" w:rsidRDefault="00DC62EE" w:rsidP="001A2F60">
      <w:pPr>
        <w:spacing w:before="100" w:beforeAutospacing="1" w:after="100" w:afterAutospacing="1" w:line="240" w:lineRule="auto"/>
        <w:rPr>
          <w:rFonts w:eastAsia="Times New Roman" w:cs="Times New Roman"/>
          <w:kern w:val="0"/>
          <w:sz w:val="24"/>
          <w:szCs w:val="24"/>
          <w:lang w:eastAsia="en-IN"/>
          <w14:ligatures w14:val="none"/>
        </w:rPr>
      </w:pPr>
      <w:r w:rsidRPr="00DC62EE">
        <w:rPr>
          <w:rFonts w:eastAsia="Times New Roman" w:cs="Times New Roman"/>
          <w:kern w:val="0"/>
          <w:sz w:val="24"/>
          <w:szCs w:val="24"/>
          <w:lang w:eastAsia="en-IN"/>
          <w14:ligatures w14:val="none"/>
        </w:rPr>
        <w:t>Effective risk management in banking operations is essential to safeguard assets, ensure regulatory compliance, and maintain the trust of customers and investors. By understanding and managing various types of risks, implementing a comprehensive risk management framework, utilizing appropriate tools and techniques, and learning from real-world examples, banks can enhance their stability and profitability in a complex financial environment.</w:t>
      </w:r>
    </w:p>
    <w:sectPr w:rsidR="008A21E4" w:rsidRPr="001A2F60" w:rsidSect="001A2F60">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B5BE5"/>
    <w:multiLevelType w:val="multilevel"/>
    <w:tmpl w:val="4C9A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48CC"/>
    <w:multiLevelType w:val="hybridMultilevel"/>
    <w:tmpl w:val="EECED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90377"/>
    <w:multiLevelType w:val="multilevel"/>
    <w:tmpl w:val="324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120EC"/>
    <w:multiLevelType w:val="multilevel"/>
    <w:tmpl w:val="8828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6016F"/>
    <w:multiLevelType w:val="multilevel"/>
    <w:tmpl w:val="69E87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F153E"/>
    <w:multiLevelType w:val="hybridMultilevel"/>
    <w:tmpl w:val="59B84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5E3F4E"/>
    <w:multiLevelType w:val="multilevel"/>
    <w:tmpl w:val="B5E2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C31A2"/>
    <w:multiLevelType w:val="multilevel"/>
    <w:tmpl w:val="90860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06497"/>
    <w:multiLevelType w:val="multilevel"/>
    <w:tmpl w:val="80E0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A3EF4"/>
    <w:multiLevelType w:val="multilevel"/>
    <w:tmpl w:val="BA3A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71613"/>
    <w:multiLevelType w:val="hybridMultilevel"/>
    <w:tmpl w:val="29BC7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903E33"/>
    <w:multiLevelType w:val="multilevel"/>
    <w:tmpl w:val="D1263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91E5C"/>
    <w:multiLevelType w:val="multilevel"/>
    <w:tmpl w:val="BCE2B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E6B3E"/>
    <w:multiLevelType w:val="hybridMultilevel"/>
    <w:tmpl w:val="E0189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0E2E09"/>
    <w:multiLevelType w:val="multilevel"/>
    <w:tmpl w:val="963C0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B10DE"/>
    <w:multiLevelType w:val="multilevel"/>
    <w:tmpl w:val="71E2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F3017"/>
    <w:multiLevelType w:val="multilevel"/>
    <w:tmpl w:val="6382D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81042"/>
    <w:multiLevelType w:val="multilevel"/>
    <w:tmpl w:val="B1C4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C5AEA"/>
    <w:multiLevelType w:val="hybridMultilevel"/>
    <w:tmpl w:val="31863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1F210D"/>
    <w:multiLevelType w:val="multilevel"/>
    <w:tmpl w:val="58E8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23AB5"/>
    <w:multiLevelType w:val="multilevel"/>
    <w:tmpl w:val="DDD6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42C42"/>
    <w:multiLevelType w:val="multilevel"/>
    <w:tmpl w:val="3B8E0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E44E1"/>
    <w:multiLevelType w:val="multilevel"/>
    <w:tmpl w:val="6C289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683A2E"/>
    <w:multiLevelType w:val="multilevel"/>
    <w:tmpl w:val="67467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97E30"/>
    <w:multiLevelType w:val="multilevel"/>
    <w:tmpl w:val="75A6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91043"/>
    <w:multiLevelType w:val="multilevel"/>
    <w:tmpl w:val="3640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F5AE3"/>
    <w:multiLevelType w:val="multilevel"/>
    <w:tmpl w:val="F9CC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412376">
    <w:abstractNumId w:val="21"/>
  </w:num>
  <w:num w:numId="2" w16cid:durableId="394624888">
    <w:abstractNumId w:val="16"/>
  </w:num>
  <w:num w:numId="3" w16cid:durableId="1847592792">
    <w:abstractNumId w:val="22"/>
  </w:num>
  <w:num w:numId="4" w16cid:durableId="1451625353">
    <w:abstractNumId w:val="23"/>
  </w:num>
  <w:num w:numId="5" w16cid:durableId="466968176">
    <w:abstractNumId w:val="12"/>
  </w:num>
  <w:num w:numId="6" w16cid:durableId="62916911">
    <w:abstractNumId w:val="11"/>
  </w:num>
  <w:num w:numId="7" w16cid:durableId="2019967682">
    <w:abstractNumId w:val="24"/>
  </w:num>
  <w:num w:numId="8" w16cid:durableId="803621396">
    <w:abstractNumId w:val="17"/>
  </w:num>
  <w:num w:numId="9" w16cid:durableId="1012218094">
    <w:abstractNumId w:val="6"/>
  </w:num>
  <w:num w:numId="10" w16cid:durableId="511990023">
    <w:abstractNumId w:val="8"/>
  </w:num>
  <w:num w:numId="11" w16cid:durableId="1181969648">
    <w:abstractNumId w:val="3"/>
  </w:num>
  <w:num w:numId="12" w16cid:durableId="1297222512">
    <w:abstractNumId w:val="25"/>
  </w:num>
  <w:num w:numId="13" w16cid:durableId="424618913">
    <w:abstractNumId w:val="0"/>
  </w:num>
  <w:num w:numId="14" w16cid:durableId="1666087710">
    <w:abstractNumId w:val="26"/>
  </w:num>
  <w:num w:numId="15" w16cid:durableId="748699363">
    <w:abstractNumId w:val="2"/>
  </w:num>
  <w:num w:numId="16" w16cid:durableId="1495409457">
    <w:abstractNumId w:val="15"/>
  </w:num>
  <w:num w:numId="17" w16cid:durableId="199368146">
    <w:abstractNumId w:val="7"/>
  </w:num>
  <w:num w:numId="18" w16cid:durableId="862717575">
    <w:abstractNumId w:val="14"/>
  </w:num>
  <w:num w:numId="19" w16cid:durableId="1827043945">
    <w:abstractNumId w:val="4"/>
  </w:num>
  <w:num w:numId="20" w16cid:durableId="1685014664">
    <w:abstractNumId w:val="19"/>
  </w:num>
  <w:num w:numId="21" w16cid:durableId="1798524094">
    <w:abstractNumId w:val="9"/>
  </w:num>
  <w:num w:numId="22" w16cid:durableId="1259405904">
    <w:abstractNumId w:val="20"/>
  </w:num>
  <w:num w:numId="23" w16cid:durableId="1988317000">
    <w:abstractNumId w:val="10"/>
  </w:num>
  <w:num w:numId="24" w16cid:durableId="229466383">
    <w:abstractNumId w:val="18"/>
  </w:num>
  <w:num w:numId="25" w16cid:durableId="1304382339">
    <w:abstractNumId w:val="5"/>
  </w:num>
  <w:num w:numId="26" w16cid:durableId="1966085563">
    <w:abstractNumId w:val="13"/>
  </w:num>
  <w:num w:numId="27" w16cid:durableId="411784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EE"/>
    <w:rsid w:val="001A2F60"/>
    <w:rsid w:val="005569B5"/>
    <w:rsid w:val="007B3584"/>
    <w:rsid w:val="0088182B"/>
    <w:rsid w:val="008A21E4"/>
    <w:rsid w:val="00DC6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DABF"/>
  <w15:chartTrackingRefBased/>
  <w15:docId w15:val="{E65729D0-3210-47AD-A04D-BBB3134A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6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6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6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6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6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6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2EE"/>
    <w:rPr>
      <w:rFonts w:eastAsiaTheme="majorEastAsia" w:cstheme="majorBidi"/>
      <w:color w:val="272727" w:themeColor="text1" w:themeTint="D8"/>
    </w:rPr>
  </w:style>
  <w:style w:type="paragraph" w:styleId="Title">
    <w:name w:val="Title"/>
    <w:basedOn w:val="Normal"/>
    <w:next w:val="Normal"/>
    <w:link w:val="TitleChar"/>
    <w:uiPriority w:val="10"/>
    <w:qFormat/>
    <w:rsid w:val="00DC6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2EE"/>
    <w:pPr>
      <w:spacing w:before="160"/>
      <w:jc w:val="center"/>
    </w:pPr>
    <w:rPr>
      <w:i/>
      <w:iCs/>
      <w:color w:val="404040" w:themeColor="text1" w:themeTint="BF"/>
    </w:rPr>
  </w:style>
  <w:style w:type="character" w:customStyle="1" w:styleId="QuoteChar">
    <w:name w:val="Quote Char"/>
    <w:basedOn w:val="DefaultParagraphFont"/>
    <w:link w:val="Quote"/>
    <w:uiPriority w:val="29"/>
    <w:rsid w:val="00DC62EE"/>
    <w:rPr>
      <w:i/>
      <w:iCs/>
      <w:color w:val="404040" w:themeColor="text1" w:themeTint="BF"/>
    </w:rPr>
  </w:style>
  <w:style w:type="paragraph" w:styleId="ListParagraph">
    <w:name w:val="List Paragraph"/>
    <w:basedOn w:val="Normal"/>
    <w:uiPriority w:val="34"/>
    <w:qFormat/>
    <w:rsid w:val="00DC62EE"/>
    <w:pPr>
      <w:ind w:left="720"/>
      <w:contextualSpacing/>
    </w:pPr>
  </w:style>
  <w:style w:type="character" w:styleId="IntenseEmphasis">
    <w:name w:val="Intense Emphasis"/>
    <w:basedOn w:val="DefaultParagraphFont"/>
    <w:uiPriority w:val="21"/>
    <w:qFormat/>
    <w:rsid w:val="00DC62EE"/>
    <w:rPr>
      <w:i/>
      <w:iCs/>
      <w:color w:val="0F4761" w:themeColor="accent1" w:themeShade="BF"/>
    </w:rPr>
  </w:style>
  <w:style w:type="paragraph" w:styleId="IntenseQuote">
    <w:name w:val="Intense Quote"/>
    <w:basedOn w:val="Normal"/>
    <w:next w:val="Normal"/>
    <w:link w:val="IntenseQuoteChar"/>
    <w:uiPriority w:val="30"/>
    <w:qFormat/>
    <w:rsid w:val="00DC6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2EE"/>
    <w:rPr>
      <w:i/>
      <w:iCs/>
      <w:color w:val="0F4761" w:themeColor="accent1" w:themeShade="BF"/>
    </w:rPr>
  </w:style>
  <w:style w:type="character" w:styleId="IntenseReference">
    <w:name w:val="Intense Reference"/>
    <w:basedOn w:val="DefaultParagraphFont"/>
    <w:uiPriority w:val="32"/>
    <w:qFormat/>
    <w:rsid w:val="00DC62EE"/>
    <w:rPr>
      <w:b/>
      <w:bCs/>
      <w:smallCaps/>
      <w:color w:val="0F4761" w:themeColor="accent1" w:themeShade="BF"/>
      <w:spacing w:val="5"/>
    </w:rPr>
  </w:style>
  <w:style w:type="paragraph" w:styleId="NormalWeb">
    <w:name w:val="Normal (Web)"/>
    <w:basedOn w:val="Normal"/>
    <w:uiPriority w:val="99"/>
    <w:semiHidden/>
    <w:unhideWhenUsed/>
    <w:rsid w:val="00DC62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62EE"/>
    <w:rPr>
      <w:b/>
      <w:bCs/>
    </w:rPr>
  </w:style>
  <w:style w:type="table" w:styleId="TableGrid">
    <w:name w:val="Table Grid"/>
    <w:basedOn w:val="TableNormal"/>
    <w:uiPriority w:val="39"/>
    <w:rsid w:val="00556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936176">
      <w:bodyDiv w:val="1"/>
      <w:marLeft w:val="0"/>
      <w:marRight w:val="0"/>
      <w:marTop w:val="0"/>
      <w:marBottom w:val="0"/>
      <w:divBdr>
        <w:top w:val="none" w:sz="0" w:space="0" w:color="auto"/>
        <w:left w:val="none" w:sz="0" w:space="0" w:color="auto"/>
        <w:bottom w:val="none" w:sz="0" w:space="0" w:color="auto"/>
        <w:right w:val="none" w:sz="0" w:space="0" w:color="auto"/>
      </w:divBdr>
    </w:div>
    <w:div w:id="388498213">
      <w:bodyDiv w:val="1"/>
      <w:marLeft w:val="0"/>
      <w:marRight w:val="0"/>
      <w:marTop w:val="0"/>
      <w:marBottom w:val="0"/>
      <w:divBdr>
        <w:top w:val="none" w:sz="0" w:space="0" w:color="auto"/>
        <w:left w:val="none" w:sz="0" w:space="0" w:color="auto"/>
        <w:bottom w:val="none" w:sz="0" w:space="0" w:color="auto"/>
        <w:right w:val="none" w:sz="0" w:space="0" w:color="auto"/>
      </w:divBdr>
    </w:div>
    <w:div w:id="388529261">
      <w:bodyDiv w:val="1"/>
      <w:marLeft w:val="0"/>
      <w:marRight w:val="0"/>
      <w:marTop w:val="0"/>
      <w:marBottom w:val="0"/>
      <w:divBdr>
        <w:top w:val="none" w:sz="0" w:space="0" w:color="auto"/>
        <w:left w:val="none" w:sz="0" w:space="0" w:color="auto"/>
        <w:bottom w:val="none" w:sz="0" w:space="0" w:color="auto"/>
        <w:right w:val="none" w:sz="0" w:space="0" w:color="auto"/>
      </w:divBdr>
    </w:div>
    <w:div w:id="608005102">
      <w:bodyDiv w:val="1"/>
      <w:marLeft w:val="0"/>
      <w:marRight w:val="0"/>
      <w:marTop w:val="0"/>
      <w:marBottom w:val="0"/>
      <w:divBdr>
        <w:top w:val="none" w:sz="0" w:space="0" w:color="auto"/>
        <w:left w:val="none" w:sz="0" w:space="0" w:color="auto"/>
        <w:bottom w:val="none" w:sz="0" w:space="0" w:color="auto"/>
        <w:right w:val="none" w:sz="0" w:space="0" w:color="auto"/>
      </w:divBdr>
    </w:div>
    <w:div w:id="707723306">
      <w:bodyDiv w:val="1"/>
      <w:marLeft w:val="0"/>
      <w:marRight w:val="0"/>
      <w:marTop w:val="0"/>
      <w:marBottom w:val="0"/>
      <w:divBdr>
        <w:top w:val="none" w:sz="0" w:space="0" w:color="auto"/>
        <w:left w:val="none" w:sz="0" w:space="0" w:color="auto"/>
        <w:bottom w:val="none" w:sz="0" w:space="0" w:color="auto"/>
        <w:right w:val="none" w:sz="0" w:space="0" w:color="auto"/>
      </w:divBdr>
    </w:div>
    <w:div w:id="708843270">
      <w:bodyDiv w:val="1"/>
      <w:marLeft w:val="0"/>
      <w:marRight w:val="0"/>
      <w:marTop w:val="0"/>
      <w:marBottom w:val="0"/>
      <w:divBdr>
        <w:top w:val="none" w:sz="0" w:space="0" w:color="auto"/>
        <w:left w:val="none" w:sz="0" w:space="0" w:color="auto"/>
        <w:bottom w:val="none" w:sz="0" w:space="0" w:color="auto"/>
        <w:right w:val="none" w:sz="0" w:space="0" w:color="auto"/>
      </w:divBdr>
    </w:div>
    <w:div w:id="716857078">
      <w:bodyDiv w:val="1"/>
      <w:marLeft w:val="0"/>
      <w:marRight w:val="0"/>
      <w:marTop w:val="0"/>
      <w:marBottom w:val="0"/>
      <w:divBdr>
        <w:top w:val="none" w:sz="0" w:space="0" w:color="auto"/>
        <w:left w:val="none" w:sz="0" w:space="0" w:color="auto"/>
        <w:bottom w:val="none" w:sz="0" w:space="0" w:color="auto"/>
        <w:right w:val="none" w:sz="0" w:space="0" w:color="auto"/>
      </w:divBdr>
    </w:div>
    <w:div w:id="739911424">
      <w:bodyDiv w:val="1"/>
      <w:marLeft w:val="0"/>
      <w:marRight w:val="0"/>
      <w:marTop w:val="0"/>
      <w:marBottom w:val="0"/>
      <w:divBdr>
        <w:top w:val="none" w:sz="0" w:space="0" w:color="auto"/>
        <w:left w:val="none" w:sz="0" w:space="0" w:color="auto"/>
        <w:bottom w:val="none" w:sz="0" w:space="0" w:color="auto"/>
        <w:right w:val="none" w:sz="0" w:space="0" w:color="auto"/>
      </w:divBdr>
    </w:div>
    <w:div w:id="750934318">
      <w:bodyDiv w:val="1"/>
      <w:marLeft w:val="0"/>
      <w:marRight w:val="0"/>
      <w:marTop w:val="0"/>
      <w:marBottom w:val="0"/>
      <w:divBdr>
        <w:top w:val="none" w:sz="0" w:space="0" w:color="auto"/>
        <w:left w:val="none" w:sz="0" w:space="0" w:color="auto"/>
        <w:bottom w:val="none" w:sz="0" w:space="0" w:color="auto"/>
        <w:right w:val="none" w:sz="0" w:space="0" w:color="auto"/>
      </w:divBdr>
    </w:div>
    <w:div w:id="1369988782">
      <w:bodyDiv w:val="1"/>
      <w:marLeft w:val="0"/>
      <w:marRight w:val="0"/>
      <w:marTop w:val="0"/>
      <w:marBottom w:val="0"/>
      <w:divBdr>
        <w:top w:val="none" w:sz="0" w:space="0" w:color="auto"/>
        <w:left w:val="none" w:sz="0" w:space="0" w:color="auto"/>
        <w:bottom w:val="none" w:sz="0" w:space="0" w:color="auto"/>
        <w:right w:val="none" w:sz="0" w:space="0" w:color="auto"/>
      </w:divBdr>
    </w:div>
    <w:div w:id="1525746039">
      <w:bodyDiv w:val="1"/>
      <w:marLeft w:val="0"/>
      <w:marRight w:val="0"/>
      <w:marTop w:val="0"/>
      <w:marBottom w:val="0"/>
      <w:divBdr>
        <w:top w:val="none" w:sz="0" w:space="0" w:color="auto"/>
        <w:left w:val="none" w:sz="0" w:space="0" w:color="auto"/>
        <w:bottom w:val="none" w:sz="0" w:space="0" w:color="auto"/>
        <w:right w:val="none" w:sz="0" w:space="0" w:color="auto"/>
      </w:divBdr>
    </w:div>
    <w:div w:id="1561091840">
      <w:bodyDiv w:val="1"/>
      <w:marLeft w:val="0"/>
      <w:marRight w:val="0"/>
      <w:marTop w:val="0"/>
      <w:marBottom w:val="0"/>
      <w:divBdr>
        <w:top w:val="none" w:sz="0" w:space="0" w:color="auto"/>
        <w:left w:val="none" w:sz="0" w:space="0" w:color="auto"/>
        <w:bottom w:val="none" w:sz="0" w:space="0" w:color="auto"/>
        <w:right w:val="none" w:sz="0" w:space="0" w:color="auto"/>
      </w:divBdr>
    </w:div>
    <w:div w:id="172787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2024-06-19T12:42:00Z</dcterms:created>
  <dcterms:modified xsi:type="dcterms:W3CDTF">2024-06-19T13:05:00Z</dcterms:modified>
</cp:coreProperties>
</file>