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F6739" w14:textId="5851F957" w:rsidR="008D4ADA" w:rsidRPr="00DE55DC" w:rsidRDefault="00DE55DC" w:rsidP="00DE55DC">
      <w:pPr>
        <w:pStyle w:val="Heading1"/>
        <w:jc w:val="center"/>
        <w:rPr>
          <w:rFonts w:eastAsia="Times New Roman"/>
          <w:b/>
          <w:bCs/>
          <w:lang w:eastAsia="en-IN"/>
        </w:rPr>
      </w:pPr>
      <w:r w:rsidRPr="00DE55DC">
        <w:rPr>
          <w:rFonts w:eastAsia="Times New Roman"/>
          <w:b/>
          <w:bCs/>
          <w:lang w:eastAsia="en-IN"/>
        </w:rPr>
        <w:t>SECURITIES AND EXCHANGE COMMISSION (SEC) REGULATIONS</w:t>
      </w:r>
    </w:p>
    <w:p w14:paraId="2197E49A" w14:textId="77777777" w:rsidR="008D4ADA" w:rsidRPr="008D4ADA" w:rsidRDefault="008D4ADA" w:rsidP="00DE55DC">
      <w:pPr>
        <w:pStyle w:val="Heading1"/>
        <w:rPr>
          <w:rFonts w:eastAsia="Times New Roman"/>
          <w:lang w:eastAsia="en-IN"/>
        </w:rPr>
      </w:pPr>
      <w:r w:rsidRPr="008D4ADA">
        <w:rPr>
          <w:rFonts w:eastAsia="Times New Roman"/>
          <w:lang w:eastAsia="en-IN"/>
        </w:rPr>
        <w:t>Introduction</w:t>
      </w:r>
    </w:p>
    <w:p w14:paraId="5B29BB30"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Securities and Exchange Commission (SEC) is a U.S. government agency responsible for regulating the securities industry, enforcing federal securities laws, and overseeing the securities markets. Its main objective is to protect investors, maintain fair, orderly, and efficient markets, and facilitate capital formation.</w:t>
      </w:r>
    </w:p>
    <w:p w14:paraId="6AFF1912" w14:textId="77777777" w:rsidR="008D4ADA" w:rsidRPr="008D4ADA" w:rsidRDefault="008D4ADA" w:rsidP="00DE55DC">
      <w:pPr>
        <w:pStyle w:val="Heading1"/>
        <w:rPr>
          <w:rFonts w:eastAsia="Times New Roman"/>
          <w:lang w:eastAsia="en-IN"/>
        </w:rPr>
      </w:pPr>
      <w:r w:rsidRPr="008D4ADA">
        <w:rPr>
          <w:rFonts w:eastAsia="Times New Roman"/>
          <w:lang w:eastAsia="en-IN"/>
        </w:rPr>
        <w:t>Objectives</w:t>
      </w:r>
    </w:p>
    <w:p w14:paraId="5771B250" w14:textId="77777777" w:rsidR="008D4ADA" w:rsidRPr="008D4ADA" w:rsidRDefault="008D4ADA" w:rsidP="008D4AD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Understand the main contents and purposes of SEC regulations.</w:t>
      </w:r>
    </w:p>
    <w:p w14:paraId="3FD27AC2" w14:textId="77777777" w:rsidR="008D4ADA" w:rsidRPr="008D4ADA" w:rsidRDefault="008D4ADA" w:rsidP="008D4AD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Explore key areas and specific rules within SEC regulations.</w:t>
      </w:r>
    </w:p>
    <w:p w14:paraId="08BC3A33" w14:textId="77777777" w:rsidR="008D4ADA" w:rsidRPr="008D4ADA" w:rsidRDefault="008D4ADA" w:rsidP="008D4AD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8D4ADA">
        <w:rPr>
          <w:rFonts w:eastAsia="Times New Roman" w:cs="Times New Roman"/>
          <w:kern w:val="0"/>
          <w:sz w:val="24"/>
          <w:szCs w:val="24"/>
          <w:lang w:eastAsia="en-IN"/>
          <w14:ligatures w14:val="none"/>
        </w:rPr>
        <w:t>Analyze</w:t>
      </w:r>
      <w:proofErr w:type="spellEnd"/>
      <w:r w:rsidRPr="008D4ADA">
        <w:rPr>
          <w:rFonts w:eastAsia="Times New Roman" w:cs="Times New Roman"/>
          <w:kern w:val="0"/>
          <w:sz w:val="24"/>
          <w:szCs w:val="24"/>
          <w:lang w:eastAsia="en-IN"/>
          <w14:ligatures w14:val="none"/>
        </w:rPr>
        <w:t xml:space="preserve"> the impact of SEC regulations on the securities industry and market participants.</w:t>
      </w:r>
    </w:p>
    <w:p w14:paraId="38116236" w14:textId="77777777" w:rsidR="008D4ADA" w:rsidRPr="008D4ADA" w:rsidRDefault="008D4ADA" w:rsidP="00DE55DC">
      <w:pPr>
        <w:pStyle w:val="Heading1"/>
        <w:rPr>
          <w:rFonts w:eastAsia="Times New Roman"/>
          <w:lang w:eastAsia="en-IN"/>
        </w:rPr>
      </w:pPr>
      <w:r w:rsidRPr="008D4ADA">
        <w:rPr>
          <w:rFonts w:eastAsia="Times New Roman"/>
          <w:lang w:eastAsia="en-IN"/>
        </w:rPr>
        <w:t>Main Contents of SEC Regulations</w:t>
      </w:r>
    </w:p>
    <w:p w14:paraId="0DF1877D"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1. Securities Act of 1933</w:t>
      </w:r>
    </w:p>
    <w:p w14:paraId="05E78009" w14:textId="77777777" w:rsidR="008D4ADA" w:rsidRPr="008D4ADA" w:rsidRDefault="008D4ADA" w:rsidP="008D4AD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require that investors receive significant information regarding securities being offered for public sale and to prohibit deceit, misrepresentations, and other fraud in the sale of securities.</w:t>
      </w:r>
    </w:p>
    <w:p w14:paraId="1D278089" w14:textId="77777777" w:rsidR="008D4ADA" w:rsidRPr="008D4ADA" w:rsidRDefault="008D4ADA" w:rsidP="008D4AD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0F7AC224" w14:textId="77777777" w:rsidR="008D4ADA" w:rsidRPr="008D4ADA" w:rsidRDefault="008D4ADA" w:rsidP="008D4ADA">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Registration of Securities:</w:t>
      </w:r>
      <w:r w:rsidRPr="008D4ADA">
        <w:rPr>
          <w:rFonts w:eastAsia="Times New Roman" w:cs="Times New Roman"/>
          <w:kern w:val="0"/>
          <w:sz w:val="24"/>
          <w:szCs w:val="24"/>
          <w:lang w:eastAsia="en-IN"/>
          <w14:ligatures w14:val="none"/>
        </w:rPr>
        <w:t xml:space="preserve"> Before securities can be sold, they must be registered with the SEC.</w:t>
      </w:r>
    </w:p>
    <w:p w14:paraId="7376A5A8" w14:textId="77777777" w:rsidR="008D4ADA" w:rsidRPr="008D4ADA" w:rsidRDefault="008D4ADA" w:rsidP="008D4ADA">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Prospectus Requirement:</w:t>
      </w:r>
      <w:r w:rsidRPr="008D4ADA">
        <w:rPr>
          <w:rFonts w:eastAsia="Times New Roman" w:cs="Times New Roman"/>
          <w:kern w:val="0"/>
          <w:sz w:val="24"/>
          <w:szCs w:val="24"/>
          <w:lang w:eastAsia="en-IN"/>
          <w14:ligatures w14:val="none"/>
        </w:rPr>
        <w:t xml:space="preserve"> A prospectus, providing detailed information about the security, must be provided to potential investors.</w:t>
      </w:r>
    </w:p>
    <w:p w14:paraId="29BE2248" w14:textId="77777777" w:rsidR="008D4ADA" w:rsidRPr="008D4ADA" w:rsidRDefault="008D4ADA" w:rsidP="008D4ADA">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Anti-Fraud Provisions:</w:t>
      </w:r>
      <w:r w:rsidRPr="008D4ADA">
        <w:rPr>
          <w:rFonts w:eastAsia="Times New Roman" w:cs="Times New Roman"/>
          <w:kern w:val="0"/>
          <w:sz w:val="24"/>
          <w:szCs w:val="24"/>
          <w:lang w:eastAsia="en-IN"/>
          <w14:ligatures w14:val="none"/>
        </w:rPr>
        <w:t xml:space="preserve"> Sections 11 and 12 establish liabilities for misstatements or omissions in registration statements.</w:t>
      </w:r>
    </w:p>
    <w:p w14:paraId="7E35EE8E"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2. Securities Exchange Act of 1934</w:t>
      </w:r>
    </w:p>
    <w:p w14:paraId="760DCBF2" w14:textId="77777777" w:rsidR="008D4ADA" w:rsidRPr="008D4ADA" w:rsidRDefault="008D4ADA" w:rsidP="008D4AD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govern the trading of securities in the secondary market, ensuring transparency, fairness, and integrity.</w:t>
      </w:r>
    </w:p>
    <w:p w14:paraId="0A56079E" w14:textId="77777777" w:rsidR="008D4ADA" w:rsidRPr="008D4ADA" w:rsidRDefault="008D4ADA" w:rsidP="008D4AD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216EDFE3" w14:textId="77777777" w:rsidR="008D4ADA" w:rsidRPr="008D4ADA" w:rsidRDefault="008D4ADA" w:rsidP="008D4AD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Creation of the SEC:</w:t>
      </w:r>
      <w:r w:rsidRPr="008D4ADA">
        <w:rPr>
          <w:rFonts w:eastAsia="Times New Roman" w:cs="Times New Roman"/>
          <w:kern w:val="0"/>
          <w:sz w:val="24"/>
          <w:szCs w:val="24"/>
          <w:lang w:eastAsia="en-IN"/>
          <w14:ligatures w14:val="none"/>
        </w:rPr>
        <w:t xml:space="preserve"> Established the SEC to enforce federal securities laws.</w:t>
      </w:r>
    </w:p>
    <w:p w14:paraId="358FD6BD" w14:textId="77777777" w:rsidR="008D4ADA" w:rsidRPr="008D4ADA" w:rsidRDefault="008D4ADA" w:rsidP="008D4AD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Periodic Reporting:</w:t>
      </w:r>
      <w:r w:rsidRPr="008D4ADA">
        <w:rPr>
          <w:rFonts w:eastAsia="Times New Roman" w:cs="Times New Roman"/>
          <w:kern w:val="0"/>
          <w:sz w:val="24"/>
          <w:szCs w:val="24"/>
          <w:lang w:eastAsia="en-IN"/>
          <w14:ligatures w14:val="none"/>
        </w:rPr>
        <w:t xml:space="preserve"> Requires public companies to file annual (10-K), quarterly (10-Q), and current (8-K) reports with the SEC.</w:t>
      </w:r>
    </w:p>
    <w:p w14:paraId="6A2DF13E" w14:textId="77777777" w:rsidR="008D4ADA" w:rsidRPr="008D4ADA" w:rsidRDefault="008D4ADA" w:rsidP="008D4AD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lastRenderedPageBreak/>
        <w:t>Insider Trading Regulations:</w:t>
      </w:r>
      <w:r w:rsidRPr="008D4ADA">
        <w:rPr>
          <w:rFonts w:eastAsia="Times New Roman" w:cs="Times New Roman"/>
          <w:kern w:val="0"/>
          <w:sz w:val="24"/>
          <w:szCs w:val="24"/>
          <w:lang w:eastAsia="en-IN"/>
          <w14:ligatures w14:val="none"/>
        </w:rPr>
        <w:t xml:space="preserve"> Sections 16(b) and 10(b) and Rule 10b-5 address issues related to insider trading and fraud.</w:t>
      </w:r>
    </w:p>
    <w:p w14:paraId="7F8CB687"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3. Investment Advisers Act of 1940</w:t>
      </w:r>
    </w:p>
    <w:p w14:paraId="54436588" w14:textId="77777777" w:rsidR="008D4ADA" w:rsidRPr="008D4ADA" w:rsidRDefault="008D4ADA" w:rsidP="008D4AD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regulate investment advisers, ensuring they act in the best interests of their clients.</w:t>
      </w:r>
    </w:p>
    <w:p w14:paraId="389B026D" w14:textId="77777777" w:rsidR="008D4ADA" w:rsidRPr="008D4ADA" w:rsidRDefault="008D4ADA" w:rsidP="008D4AD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2DB8D848" w14:textId="77777777" w:rsidR="008D4ADA" w:rsidRPr="008D4ADA" w:rsidRDefault="008D4ADA" w:rsidP="008D4ADA">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Registration of Advisers:</w:t>
      </w:r>
      <w:r w:rsidRPr="008D4ADA">
        <w:rPr>
          <w:rFonts w:eastAsia="Times New Roman" w:cs="Times New Roman"/>
          <w:kern w:val="0"/>
          <w:sz w:val="24"/>
          <w:szCs w:val="24"/>
          <w:lang w:eastAsia="en-IN"/>
          <w14:ligatures w14:val="none"/>
        </w:rPr>
        <w:t xml:space="preserve"> Advisers must register with the SEC unless exempt.</w:t>
      </w:r>
    </w:p>
    <w:p w14:paraId="274DFCFA" w14:textId="77777777" w:rsidR="008D4ADA" w:rsidRPr="008D4ADA" w:rsidRDefault="008D4ADA" w:rsidP="008D4ADA">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Fiduciary Duty:</w:t>
      </w:r>
      <w:r w:rsidRPr="008D4ADA">
        <w:rPr>
          <w:rFonts w:eastAsia="Times New Roman" w:cs="Times New Roman"/>
          <w:kern w:val="0"/>
          <w:sz w:val="24"/>
          <w:szCs w:val="24"/>
          <w:lang w:eastAsia="en-IN"/>
          <w14:ligatures w14:val="none"/>
        </w:rPr>
        <w:t xml:space="preserve"> Advisers must act in the best interests of their clients, disclosing all conflicts of interest.</w:t>
      </w:r>
    </w:p>
    <w:p w14:paraId="75EECCD9" w14:textId="77777777" w:rsidR="008D4ADA" w:rsidRPr="008D4ADA" w:rsidRDefault="008D4ADA" w:rsidP="008D4ADA">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Advertising Rules:</w:t>
      </w:r>
      <w:r w:rsidRPr="008D4ADA">
        <w:rPr>
          <w:rFonts w:eastAsia="Times New Roman" w:cs="Times New Roman"/>
          <w:kern w:val="0"/>
          <w:sz w:val="24"/>
          <w:szCs w:val="24"/>
          <w:lang w:eastAsia="en-IN"/>
          <w14:ligatures w14:val="none"/>
        </w:rPr>
        <w:t xml:space="preserve"> Limits on how advisers can advertise their services to prevent misleading information.</w:t>
      </w:r>
    </w:p>
    <w:p w14:paraId="65358C5A"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4. Investment Company Act of 1940</w:t>
      </w:r>
    </w:p>
    <w:p w14:paraId="52564BB6" w14:textId="77777777" w:rsidR="008D4ADA" w:rsidRPr="008D4ADA" w:rsidRDefault="008D4ADA" w:rsidP="008D4AD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regulate the organization and activities of companies, including mutual funds, that engage primarily in investing, reinvesting, and trading in securities.</w:t>
      </w:r>
    </w:p>
    <w:p w14:paraId="53A357FD" w14:textId="77777777" w:rsidR="008D4ADA" w:rsidRPr="008D4ADA" w:rsidRDefault="008D4ADA" w:rsidP="008D4AD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3C735AB4" w14:textId="77777777" w:rsidR="008D4ADA" w:rsidRPr="008D4ADA" w:rsidRDefault="008D4ADA" w:rsidP="008D4ADA">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Registration of Investment Companies:</w:t>
      </w:r>
      <w:r w:rsidRPr="008D4ADA">
        <w:rPr>
          <w:rFonts w:eastAsia="Times New Roman" w:cs="Times New Roman"/>
          <w:kern w:val="0"/>
          <w:sz w:val="24"/>
          <w:szCs w:val="24"/>
          <w:lang w:eastAsia="en-IN"/>
          <w14:ligatures w14:val="none"/>
        </w:rPr>
        <w:t xml:space="preserve"> Investment companies must register with the SEC.</w:t>
      </w:r>
    </w:p>
    <w:p w14:paraId="306B8468" w14:textId="77777777" w:rsidR="008D4ADA" w:rsidRPr="008D4ADA" w:rsidRDefault="008D4ADA" w:rsidP="008D4ADA">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Disclosure Requirements:</w:t>
      </w:r>
      <w:r w:rsidRPr="008D4ADA">
        <w:rPr>
          <w:rFonts w:eastAsia="Times New Roman" w:cs="Times New Roman"/>
          <w:kern w:val="0"/>
          <w:sz w:val="24"/>
          <w:szCs w:val="24"/>
          <w:lang w:eastAsia="en-IN"/>
          <w14:ligatures w14:val="none"/>
        </w:rPr>
        <w:t xml:space="preserve"> Companies must provide detailed information about their financial condition and investment policies.</w:t>
      </w:r>
    </w:p>
    <w:p w14:paraId="27C35B88" w14:textId="77777777" w:rsidR="008D4ADA" w:rsidRPr="008D4ADA" w:rsidRDefault="008D4ADA" w:rsidP="008D4ADA">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Restrictions on Activities:</w:t>
      </w:r>
      <w:r w:rsidRPr="008D4ADA">
        <w:rPr>
          <w:rFonts w:eastAsia="Times New Roman" w:cs="Times New Roman"/>
          <w:kern w:val="0"/>
          <w:sz w:val="24"/>
          <w:szCs w:val="24"/>
          <w:lang w:eastAsia="en-IN"/>
          <w14:ligatures w14:val="none"/>
        </w:rPr>
        <w:t xml:space="preserve"> Limits on the </w:t>
      </w:r>
      <w:proofErr w:type="gramStart"/>
      <w:r w:rsidRPr="008D4ADA">
        <w:rPr>
          <w:rFonts w:eastAsia="Times New Roman" w:cs="Times New Roman"/>
          <w:kern w:val="0"/>
          <w:sz w:val="24"/>
          <w:szCs w:val="24"/>
          <w:lang w:eastAsia="en-IN"/>
          <w14:ligatures w14:val="none"/>
        </w:rPr>
        <w:t>activities</w:t>
      </w:r>
      <w:proofErr w:type="gramEnd"/>
      <w:r w:rsidRPr="008D4ADA">
        <w:rPr>
          <w:rFonts w:eastAsia="Times New Roman" w:cs="Times New Roman"/>
          <w:kern w:val="0"/>
          <w:sz w:val="24"/>
          <w:szCs w:val="24"/>
          <w:lang w:eastAsia="en-IN"/>
          <w14:ligatures w14:val="none"/>
        </w:rPr>
        <w:t xml:space="preserve"> investment companies can engage in to protect investors.</w:t>
      </w:r>
    </w:p>
    <w:p w14:paraId="0C9B2A67"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5. Sarbanes-Oxley Act of 2002</w:t>
      </w:r>
    </w:p>
    <w:p w14:paraId="37B67B86" w14:textId="77777777" w:rsidR="008D4ADA" w:rsidRPr="008D4ADA" w:rsidRDefault="008D4ADA" w:rsidP="008D4ADA">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protect investors from fraudulent financial reporting by corporations.</w:t>
      </w:r>
    </w:p>
    <w:p w14:paraId="6EAD8FCE" w14:textId="77777777" w:rsidR="008D4ADA" w:rsidRPr="008D4ADA" w:rsidRDefault="008D4ADA" w:rsidP="008D4ADA">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1372C0A8" w14:textId="77777777" w:rsidR="008D4ADA" w:rsidRPr="008D4ADA" w:rsidRDefault="008D4ADA" w:rsidP="008D4ADA">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Corporate Responsibility:</w:t>
      </w:r>
      <w:r w:rsidRPr="008D4ADA">
        <w:rPr>
          <w:rFonts w:eastAsia="Times New Roman" w:cs="Times New Roman"/>
          <w:kern w:val="0"/>
          <w:sz w:val="24"/>
          <w:szCs w:val="24"/>
          <w:lang w:eastAsia="en-IN"/>
          <w14:ligatures w14:val="none"/>
        </w:rPr>
        <w:t xml:space="preserve"> Senior executives must certify the accuracy of financial statements.</w:t>
      </w:r>
    </w:p>
    <w:p w14:paraId="3455B962" w14:textId="77777777" w:rsidR="008D4ADA" w:rsidRPr="008D4ADA" w:rsidRDefault="008D4ADA" w:rsidP="008D4ADA">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Enhanced Financial Disclosures:</w:t>
      </w:r>
      <w:r w:rsidRPr="008D4ADA">
        <w:rPr>
          <w:rFonts w:eastAsia="Times New Roman" w:cs="Times New Roman"/>
          <w:kern w:val="0"/>
          <w:sz w:val="24"/>
          <w:szCs w:val="24"/>
          <w:lang w:eastAsia="en-IN"/>
          <w14:ligatures w14:val="none"/>
        </w:rPr>
        <w:t xml:space="preserve"> More stringent requirements for financial reporting.</w:t>
      </w:r>
    </w:p>
    <w:p w14:paraId="57B5C1F6" w14:textId="77777777" w:rsidR="008D4ADA" w:rsidRPr="008D4ADA" w:rsidRDefault="008D4ADA" w:rsidP="008D4ADA">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Audit Committees:</w:t>
      </w:r>
      <w:r w:rsidRPr="008D4ADA">
        <w:rPr>
          <w:rFonts w:eastAsia="Times New Roman" w:cs="Times New Roman"/>
          <w:kern w:val="0"/>
          <w:sz w:val="24"/>
          <w:szCs w:val="24"/>
          <w:lang w:eastAsia="en-IN"/>
          <w14:ligatures w14:val="none"/>
        </w:rPr>
        <w:t xml:space="preserve"> Public companies must have an independent audit committee.</w:t>
      </w:r>
    </w:p>
    <w:p w14:paraId="72DEE0A4"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6. Dodd-Frank Wall Street Reform and Consumer Protection Act of 2010</w:t>
      </w:r>
    </w:p>
    <w:p w14:paraId="6B5CF175" w14:textId="77777777" w:rsidR="008D4ADA" w:rsidRPr="008D4ADA" w:rsidRDefault="008D4ADA" w:rsidP="008D4AD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Purpose:</w:t>
      </w:r>
      <w:r w:rsidRPr="008D4ADA">
        <w:rPr>
          <w:rFonts w:eastAsia="Times New Roman" w:cs="Times New Roman"/>
          <w:kern w:val="0"/>
          <w:sz w:val="24"/>
          <w:szCs w:val="24"/>
          <w:lang w:eastAsia="en-IN"/>
          <w14:ligatures w14:val="none"/>
        </w:rPr>
        <w:t xml:space="preserve"> To promote the financial stability of the United States by improving accountability and transparency in the financial system.</w:t>
      </w:r>
    </w:p>
    <w:p w14:paraId="67A7F556" w14:textId="77777777" w:rsidR="008D4ADA" w:rsidRPr="008D4ADA" w:rsidRDefault="008D4ADA" w:rsidP="008D4AD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Key Provisions:</w:t>
      </w:r>
    </w:p>
    <w:p w14:paraId="317BCA5F" w14:textId="77777777" w:rsidR="008D4ADA" w:rsidRPr="008D4ADA" w:rsidRDefault="008D4ADA" w:rsidP="008D4AD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Creation of the Financial Stability Oversight Council (FSOC):</w:t>
      </w:r>
      <w:r w:rsidRPr="008D4ADA">
        <w:rPr>
          <w:rFonts w:eastAsia="Times New Roman" w:cs="Times New Roman"/>
          <w:kern w:val="0"/>
          <w:sz w:val="24"/>
          <w:szCs w:val="24"/>
          <w:lang w:eastAsia="en-IN"/>
          <w14:ligatures w14:val="none"/>
        </w:rPr>
        <w:t xml:space="preserve"> Monitors systemic risk.</w:t>
      </w:r>
    </w:p>
    <w:p w14:paraId="750F6817" w14:textId="77777777" w:rsidR="008D4ADA" w:rsidRPr="008D4ADA" w:rsidRDefault="008D4ADA" w:rsidP="008D4AD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lastRenderedPageBreak/>
        <w:t>Volcker Rule:</w:t>
      </w:r>
      <w:r w:rsidRPr="008D4ADA">
        <w:rPr>
          <w:rFonts w:eastAsia="Times New Roman" w:cs="Times New Roman"/>
          <w:kern w:val="0"/>
          <w:sz w:val="24"/>
          <w:szCs w:val="24"/>
          <w:lang w:eastAsia="en-IN"/>
          <w14:ligatures w14:val="none"/>
        </w:rPr>
        <w:t xml:space="preserve"> Prohibits banks from engaging in proprietary trading and limits their investments in hedge funds and private equity.</w:t>
      </w:r>
    </w:p>
    <w:p w14:paraId="6B19226E" w14:textId="77777777" w:rsidR="008D4ADA" w:rsidRPr="008D4ADA" w:rsidRDefault="008D4ADA" w:rsidP="008D4AD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Consumer Financial Protection Bureau (CFPB):</w:t>
      </w:r>
      <w:r w:rsidRPr="008D4ADA">
        <w:rPr>
          <w:rFonts w:eastAsia="Times New Roman" w:cs="Times New Roman"/>
          <w:kern w:val="0"/>
          <w:sz w:val="24"/>
          <w:szCs w:val="24"/>
          <w:lang w:eastAsia="en-IN"/>
          <w14:ligatures w14:val="none"/>
        </w:rPr>
        <w:t xml:space="preserve"> Established to oversee consumer financial products and services.</w:t>
      </w:r>
    </w:p>
    <w:p w14:paraId="3E4ABB57" w14:textId="5C717E6E" w:rsidR="008D4ADA" w:rsidRPr="008D4ADA" w:rsidRDefault="008D4ADA" w:rsidP="00DE55DC">
      <w:pPr>
        <w:pStyle w:val="Heading1"/>
        <w:rPr>
          <w:rFonts w:eastAsia="Times New Roman"/>
          <w:lang w:eastAsia="en-IN"/>
        </w:rPr>
      </w:pPr>
      <w:r w:rsidRPr="008D4ADA">
        <w:rPr>
          <w:rFonts w:eastAsia="Times New Roman"/>
          <w:lang w:eastAsia="en-IN"/>
        </w:rPr>
        <w:t>Impact of SEC Regulations</w:t>
      </w:r>
    </w:p>
    <w:p w14:paraId="5401C94D"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On Investors</w:t>
      </w:r>
    </w:p>
    <w:p w14:paraId="639480DD" w14:textId="77777777" w:rsidR="008D4ADA" w:rsidRPr="008D4ADA" w:rsidRDefault="008D4ADA" w:rsidP="008D4AD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Protection:</w:t>
      </w:r>
      <w:r w:rsidRPr="008D4ADA">
        <w:rPr>
          <w:rFonts w:eastAsia="Times New Roman" w:cs="Times New Roman"/>
          <w:kern w:val="0"/>
          <w:sz w:val="24"/>
          <w:szCs w:val="24"/>
          <w:lang w:eastAsia="en-IN"/>
          <w14:ligatures w14:val="none"/>
        </w:rPr>
        <w:t xml:space="preserve"> SEC regulations provide investors with essential information, reducing the risk of fraud and ensuring a level playing field.</w:t>
      </w:r>
    </w:p>
    <w:p w14:paraId="53207BB8" w14:textId="77777777" w:rsidR="008D4ADA" w:rsidRPr="008D4ADA" w:rsidRDefault="008D4ADA" w:rsidP="008D4AD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Confidence:</w:t>
      </w:r>
      <w:r w:rsidRPr="008D4ADA">
        <w:rPr>
          <w:rFonts w:eastAsia="Times New Roman" w:cs="Times New Roman"/>
          <w:kern w:val="0"/>
          <w:sz w:val="24"/>
          <w:szCs w:val="24"/>
          <w:lang w:eastAsia="en-IN"/>
          <w14:ligatures w14:val="none"/>
        </w:rPr>
        <w:t xml:space="preserve"> Enhanced transparency and reporting requirements build investor confidence in the markets.</w:t>
      </w:r>
    </w:p>
    <w:p w14:paraId="20372F17"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On Companies</w:t>
      </w:r>
    </w:p>
    <w:p w14:paraId="001658C1" w14:textId="77777777" w:rsidR="008D4ADA" w:rsidRPr="008D4ADA" w:rsidRDefault="008D4ADA" w:rsidP="008D4AD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Compliance Costs:</w:t>
      </w:r>
      <w:r w:rsidRPr="008D4ADA">
        <w:rPr>
          <w:rFonts w:eastAsia="Times New Roman" w:cs="Times New Roman"/>
          <w:kern w:val="0"/>
          <w:sz w:val="24"/>
          <w:szCs w:val="24"/>
          <w:lang w:eastAsia="en-IN"/>
          <w14:ligatures w14:val="none"/>
        </w:rPr>
        <w:t xml:space="preserve"> Adhering to SEC regulations can be costly and time-consuming.</w:t>
      </w:r>
    </w:p>
    <w:p w14:paraId="74579DF4" w14:textId="77777777" w:rsidR="008D4ADA" w:rsidRPr="008D4ADA" w:rsidRDefault="008D4ADA" w:rsidP="008D4AD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Enhanced Transparency:</w:t>
      </w:r>
      <w:r w:rsidRPr="008D4ADA">
        <w:rPr>
          <w:rFonts w:eastAsia="Times New Roman" w:cs="Times New Roman"/>
          <w:kern w:val="0"/>
          <w:sz w:val="24"/>
          <w:szCs w:val="24"/>
          <w:lang w:eastAsia="en-IN"/>
          <w14:ligatures w14:val="none"/>
        </w:rPr>
        <w:t xml:space="preserve"> Companies must disclose more information, potentially affecting their competitive positioning.</w:t>
      </w:r>
    </w:p>
    <w:p w14:paraId="6053A289" w14:textId="77777777" w:rsidR="008D4ADA" w:rsidRPr="008D4ADA" w:rsidRDefault="008D4ADA" w:rsidP="008D4AD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D4ADA">
        <w:rPr>
          <w:rFonts w:eastAsia="Times New Roman" w:cs="Times New Roman"/>
          <w:b/>
          <w:bCs/>
          <w:kern w:val="0"/>
          <w:sz w:val="24"/>
          <w:szCs w:val="24"/>
          <w:lang w:eastAsia="en-IN"/>
          <w14:ligatures w14:val="none"/>
        </w:rPr>
        <w:t>On Markets</w:t>
      </w:r>
    </w:p>
    <w:p w14:paraId="038F43DB" w14:textId="77777777" w:rsidR="008D4ADA" w:rsidRPr="008D4ADA" w:rsidRDefault="008D4ADA" w:rsidP="008D4AD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Market Integrity:</w:t>
      </w:r>
      <w:r w:rsidRPr="008D4ADA">
        <w:rPr>
          <w:rFonts w:eastAsia="Times New Roman" w:cs="Times New Roman"/>
          <w:kern w:val="0"/>
          <w:sz w:val="24"/>
          <w:szCs w:val="24"/>
          <w:lang w:eastAsia="en-IN"/>
          <w14:ligatures w14:val="none"/>
        </w:rPr>
        <w:t xml:space="preserve"> SEC regulations help maintain fair and efficient markets.</w:t>
      </w:r>
    </w:p>
    <w:p w14:paraId="2A2AD31F" w14:textId="77777777" w:rsidR="008D4ADA" w:rsidRDefault="008D4ADA" w:rsidP="008D4AD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Liquidity and Volatility:</w:t>
      </w:r>
      <w:r w:rsidRPr="008D4ADA">
        <w:rPr>
          <w:rFonts w:eastAsia="Times New Roman" w:cs="Times New Roman"/>
          <w:kern w:val="0"/>
          <w:sz w:val="24"/>
          <w:szCs w:val="24"/>
          <w:lang w:eastAsia="en-IN"/>
          <w14:ligatures w14:val="none"/>
        </w:rPr>
        <w:t xml:space="preserve"> Regulations can affect market liquidity and volatility, influencing trading </w:t>
      </w:r>
      <w:proofErr w:type="spellStart"/>
      <w:r w:rsidRPr="008D4ADA">
        <w:rPr>
          <w:rFonts w:eastAsia="Times New Roman" w:cs="Times New Roman"/>
          <w:kern w:val="0"/>
          <w:sz w:val="24"/>
          <w:szCs w:val="24"/>
          <w:lang w:eastAsia="en-IN"/>
          <w14:ligatures w14:val="none"/>
        </w:rPr>
        <w:t>behaviors</w:t>
      </w:r>
      <w:proofErr w:type="spellEnd"/>
      <w:r w:rsidRPr="008D4ADA">
        <w:rPr>
          <w:rFonts w:eastAsia="Times New Roman" w:cs="Times New Roman"/>
          <w:kern w:val="0"/>
          <w:sz w:val="24"/>
          <w:szCs w:val="24"/>
          <w:lang w:eastAsia="en-IN"/>
          <w14:ligatures w14:val="none"/>
        </w:rPr>
        <w:t>.</w:t>
      </w:r>
    </w:p>
    <w:p w14:paraId="04B0D2E0" w14:textId="77777777" w:rsidR="008D4ADA" w:rsidRPr="008D4ADA" w:rsidRDefault="008D4ADA" w:rsidP="00DE55DC">
      <w:pPr>
        <w:pStyle w:val="Heading1"/>
        <w:rPr>
          <w:rFonts w:eastAsia="Times New Roman"/>
          <w:lang w:eastAsia="en-IN"/>
        </w:rPr>
      </w:pPr>
      <w:r w:rsidRPr="008D4ADA">
        <w:rPr>
          <w:rFonts w:eastAsia="Times New Roman"/>
          <w:lang w:eastAsia="en-IN"/>
        </w:rPr>
        <w:t>Questions for Further Study</w:t>
      </w:r>
    </w:p>
    <w:p w14:paraId="0E969CDE" w14:textId="77777777" w:rsidR="008D4ADA" w:rsidRPr="008D4ADA" w:rsidRDefault="008D4ADA" w:rsidP="00DE55DC">
      <w:pPr>
        <w:pStyle w:val="Heading2"/>
        <w:rPr>
          <w:rFonts w:eastAsia="Times New Roman"/>
          <w:lang w:eastAsia="en-IN"/>
        </w:rPr>
      </w:pPr>
      <w:r w:rsidRPr="008D4ADA">
        <w:rPr>
          <w:rFonts w:eastAsia="Times New Roman"/>
          <w:lang w:eastAsia="en-IN"/>
        </w:rPr>
        <w:t>1. How have SEC regulations evolved over time in response to financial crises?</w:t>
      </w:r>
    </w:p>
    <w:p w14:paraId="430C9AAF"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Evolution in Response to Financial Crises:</w:t>
      </w:r>
    </w:p>
    <w:p w14:paraId="55970197" w14:textId="77777777" w:rsidR="008D4ADA" w:rsidRPr="008D4ADA" w:rsidRDefault="008D4ADA" w:rsidP="008D4ADA">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1930s - The Great Depression:</w:t>
      </w:r>
    </w:p>
    <w:p w14:paraId="1D24EBC7" w14:textId="77777777" w:rsidR="008D4ADA" w:rsidRPr="008D4ADA" w:rsidRDefault="008D4ADA" w:rsidP="008D4ADA">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Securities Act of 1933</w:t>
      </w:r>
      <w:r w:rsidRPr="008D4ADA">
        <w:rPr>
          <w:rFonts w:eastAsia="Times New Roman" w:cs="Times New Roman"/>
          <w:kern w:val="0"/>
          <w:sz w:val="24"/>
          <w:szCs w:val="24"/>
          <w:lang w:eastAsia="en-IN"/>
          <w14:ligatures w14:val="none"/>
        </w:rPr>
        <w:t xml:space="preserve"> and </w:t>
      </w:r>
      <w:r w:rsidRPr="008D4ADA">
        <w:rPr>
          <w:rFonts w:eastAsia="Times New Roman" w:cs="Times New Roman"/>
          <w:b/>
          <w:bCs/>
          <w:kern w:val="0"/>
          <w:sz w:val="24"/>
          <w:szCs w:val="24"/>
          <w:lang w:eastAsia="en-IN"/>
          <w14:ligatures w14:val="none"/>
        </w:rPr>
        <w:t>Securities Exchange Act of 1934</w:t>
      </w:r>
      <w:r w:rsidRPr="008D4ADA">
        <w:rPr>
          <w:rFonts w:eastAsia="Times New Roman" w:cs="Times New Roman"/>
          <w:kern w:val="0"/>
          <w:sz w:val="24"/>
          <w:szCs w:val="24"/>
          <w:lang w:eastAsia="en-IN"/>
          <w14:ligatures w14:val="none"/>
        </w:rPr>
        <w:t>: Established foundational regulations to restore investor confidence and market integrity following the stock market crash of 1929 and the ensuing Great Depression. These acts introduced mandatory disclosure requirements and the creation of the SEC.</w:t>
      </w:r>
    </w:p>
    <w:p w14:paraId="2C75F6AE" w14:textId="77777777" w:rsidR="008D4ADA" w:rsidRPr="008D4ADA" w:rsidRDefault="008D4ADA" w:rsidP="008D4ADA">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2000s - The Dot-Com Bubble and Corporate Scandals:</w:t>
      </w:r>
    </w:p>
    <w:p w14:paraId="44852C54" w14:textId="77777777" w:rsidR="008D4ADA" w:rsidRPr="008D4ADA" w:rsidRDefault="008D4ADA" w:rsidP="008D4ADA">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Sarbanes-Oxley Act of 2002</w:t>
      </w:r>
      <w:r w:rsidRPr="008D4ADA">
        <w:rPr>
          <w:rFonts w:eastAsia="Times New Roman" w:cs="Times New Roman"/>
          <w:kern w:val="0"/>
          <w:sz w:val="24"/>
          <w:szCs w:val="24"/>
          <w:lang w:eastAsia="en-IN"/>
          <w14:ligatures w14:val="none"/>
        </w:rPr>
        <w:t xml:space="preserve">: Enacted in response to major corporate scandals involving Enron, WorldCom, and others. This act introduced stringent regulations on corporate governance, internal controls, and </w:t>
      </w:r>
      <w:r w:rsidRPr="008D4ADA">
        <w:rPr>
          <w:rFonts w:eastAsia="Times New Roman" w:cs="Times New Roman"/>
          <w:kern w:val="0"/>
          <w:sz w:val="24"/>
          <w:szCs w:val="24"/>
          <w:lang w:eastAsia="en-IN"/>
          <w14:ligatures w14:val="none"/>
        </w:rPr>
        <w:lastRenderedPageBreak/>
        <w:t>financial reporting to prevent fraudulent activities and restore investor trust.</w:t>
      </w:r>
    </w:p>
    <w:p w14:paraId="4402786B" w14:textId="77777777" w:rsidR="008D4ADA" w:rsidRPr="008D4ADA" w:rsidRDefault="008D4ADA" w:rsidP="008D4ADA">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2007-2008 - The Global Financial Crisis:</w:t>
      </w:r>
    </w:p>
    <w:p w14:paraId="2DD27BE9" w14:textId="77777777" w:rsidR="008D4ADA" w:rsidRPr="008D4ADA" w:rsidRDefault="008D4ADA" w:rsidP="008D4ADA">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Dodd-Frank Wall Street Reform and Consumer Protection Act of 2010</w:t>
      </w:r>
      <w:r w:rsidRPr="008D4ADA">
        <w:rPr>
          <w:rFonts w:eastAsia="Times New Roman" w:cs="Times New Roman"/>
          <w:kern w:val="0"/>
          <w:sz w:val="24"/>
          <w:szCs w:val="24"/>
          <w:lang w:eastAsia="en-IN"/>
          <w14:ligatures w14:val="none"/>
        </w:rPr>
        <w:t>: Passed in response to the 2008 financial crisis, this act aimed to reduce systemic risks, increase transparency in the financial system, and protect consumers. It introduced the Volcker Rule, established the Consumer Financial Protection Bureau (CFPB), and created the Financial Stability Oversight Council (FSOC).</w:t>
      </w:r>
    </w:p>
    <w:p w14:paraId="7EE867B7"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Recent Developments:</w:t>
      </w:r>
    </w:p>
    <w:p w14:paraId="34DFE206" w14:textId="77777777" w:rsidR="008D4ADA" w:rsidRPr="008D4ADA" w:rsidRDefault="008D4ADA" w:rsidP="008D4ADA">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Post-2008 Crisis:</w:t>
      </w:r>
    </w:p>
    <w:p w14:paraId="0BEED47A" w14:textId="77777777" w:rsidR="008D4ADA" w:rsidRPr="008D4ADA" w:rsidRDefault="008D4ADA" w:rsidP="008D4ADA">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Increased focus on monitoring systemic risks and improving oversight of financial institutions deemed "too big to fail."</w:t>
      </w:r>
    </w:p>
    <w:p w14:paraId="645A0D0E" w14:textId="77777777" w:rsidR="008D4ADA" w:rsidRPr="008D4ADA" w:rsidRDefault="008D4ADA" w:rsidP="008D4ADA">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Enhancement of derivative market regulations and increased requirements for transparency and accountability in the trading and settlement of complex financial instruments.</w:t>
      </w:r>
    </w:p>
    <w:p w14:paraId="6DB3CFE3" w14:textId="77777777" w:rsidR="008D4ADA" w:rsidRPr="008D4ADA" w:rsidRDefault="008D4ADA" w:rsidP="00DE55DC">
      <w:pPr>
        <w:pStyle w:val="Heading2"/>
        <w:rPr>
          <w:rFonts w:eastAsia="Times New Roman"/>
          <w:lang w:eastAsia="en-IN"/>
        </w:rPr>
      </w:pPr>
      <w:r w:rsidRPr="008D4ADA">
        <w:rPr>
          <w:rFonts w:eastAsia="Times New Roman"/>
          <w:lang w:eastAsia="en-IN"/>
        </w:rPr>
        <w:t>2. What are the challenges faced by the SEC in enforcing these regulations?</w:t>
      </w:r>
    </w:p>
    <w:p w14:paraId="263B36B2"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Enforcement Challenges:</w:t>
      </w:r>
    </w:p>
    <w:p w14:paraId="48AE0EA0" w14:textId="77777777"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Resource Constraints:</w:t>
      </w:r>
    </w:p>
    <w:p w14:paraId="5873E04C"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SEC often faces budgetary and staffing limitations that can hinder its ability to effectively monitor and enforce compliance across a vast and complex financial system.</w:t>
      </w:r>
    </w:p>
    <w:p w14:paraId="7070AB15" w14:textId="77777777"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Technological Advancements:</w:t>
      </w:r>
    </w:p>
    <w:p w14:paraId="2D603EEA"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Rapid advancements in technology, such as high-frequency trading and cryptocurrency markets, present challenges in keeping pace with new forms of trading and potential market manipulation.</w:t>
      </w:r>
    </w:p>
    <w:p w14:paraId="605A5B44" w14:textId="77777777"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Globalization:</w:t>
      </w:r>
    </w:p>
    <w:p w14:paraId="056C2BC1"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interconnectedness of global financial markets complicates the SEC's enforcement efforts, as activities and entities operating across borders may fall outside its direct jurisdiction.</w:t>
      </w:r>
    </w:p>
    <w:p w14:paraId="21D73BBE" w14:textId="77777777"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Regulatory Arbitrage:</w:t>
      </w:r>
    </w:p>
    <w:p w14:paraId="591BBD71"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Financial firms may exploit differences in regulations between jurisdictions, engaging in regulatory arbitrage to circumvent stricter rules, making it difficult for the SEC to maintain a level playing field.</w:t>
      </w:r>
    </w:p>
    <w:p w14:paraId="183F7497" w14:textId="77777777"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Evolving Financial Products:</w:t>
      </w:r>
    </w:p>
    <w:p w14:paraId="556884D8"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Continuous innovation in financial products and services requires the SEC to constantly adapt its regulatory framework to address new risks and ensure adequate investor protection.</w:t>
      </w:r>
    </w:p>
    <w:p w14:paraId="3090D0C1" w14:textId="77777777" w:rsidR="00DE55DC" w:rsidRDefault="00DE55DC">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25BD30F5" w14:textId="398B5035" w:rsidR="008D4ADA" w:rsidRPr="008D4ADA" w:rsidRDefault="008D4ADA" w:rsidP="008D4ADA">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lastRenderedPageBreak/>
        <w:t>Political and Industry Pressure:</w:t>
      </w:r>
    </w:p>
    <w:p w14:paraId="660BDC5A" w14:textId="77777777" w:rsidR="008D4ADA" w:rsidRPr="008D4ADA" w:rsidRDefault="008D4ADA" w:rsidP="008D4ADA">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SEC faces political pressures and lobbying from the financial industry, which can influence regulatory priorities and enforcement actions.</w:t>
      </w:r>
    </w:p>
    <w:p w14:paraId="70114F1F" w14:textId="77777777" w:rsidR="008D4ADA" w:rsidRPr="008D4ADA" w:rsidRDefault="008D4ADA" w:rsidP="00DE55DC">
      <w:pPr>
        <w:pStyle w:val="Heading2"/>
        <w:rPr>
          <w:rFonts w:eastAsia="Times New Roman"/>
          <w:lang w:eastAsia="en-IN"/>
        </w:rPr>
      </w:pPr>
      <w:r w:rsidRPr="008D4ADA">
        <w:rPr>
          <w:rFonts w:eastAsia="Times New Roman"/>
          <w:lang w:eastAsia="en-IN"/>
        </w:rPr>
        <w:t>3. How do SEC regulations compare to those of other major financial markets globally?</w:t>
      </w:r>
    </w:p>
    <w:p w14:paraId="63153DB6"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Comparative Analysis:</w:t>
      </w:r>
    </w:p>
    <w:p w14:paraId="40ED6D39" w14:textId="77777777" w:rsidR="008D4ADA" w:rsidRPr="008D4ADA" w:rsidRDefault="008D4ADA" w:rsidP="008D4ADA">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United States (SEC):</w:t>
      </w:r>
    </w:p>
    <w:p w14:paraId="6F83F214"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Known for its rigorous disclosure requirements, strong emphasis on investor protection, and comprehensive oversight of financial markets and institutions.</w:t>
      </w:r>
    </w:p>
    <w:p w14:paraId="33EAE952"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Acts like the Sarbanes-Oxley and Dodd-Frank have set high standards for corporate governance and financial transparency.</w:t>
      </w:r>
    </w:p>
    <w:p w14:paraId="5605B299" w14:textId="77777777" w:rsidR="008D4ADA" w:rsidRPr="008D4ADA" w:rsidRDefault="008D4ADA" w:rsidP="008D4ADA">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European Union:</w:t>
      </w:r>
    </w:p>
    <w:p w14:paraId="33A1802F"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European Securities and Markets Authority (ESMA):</w:t>
      </w:r>
      <w:r w:rsidRPr="008D4ADA">
        <w:rPr>
          <w:rFonts w:eastAsia="Times New Roman" w:cs="Times New Roman"/>
          <w:kern w:val="0"/>
          <w:sz w:val="24"/>
          <w:szCs w:val="24"/>
          <w:lang w:eastAsia="en-IN"/>
          <w14:ligatures w14:val="none"/>
        </w:rPr>
        <w:t xml:space="preserve"> Coordinates regulation across member states, focusing on harmonizing regulations and ensuring consistent application of EU laws.</w:t>
      </w:r>
    </w:p>
    <w:p w14:paraId="55BF546E"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MiFID II (Markets in Financial Instruments Directive):</w:t>
      </w:r>
      <w:r w:rsidRPr="008D4ADA">
        <w:rPr>
          <w:rFonts w:eastAsia="Times New Roman" w:cs="Times New Roman"/>
          <w:kern w:val="0"/>
          <w:sz w:val="24"/>
          <w:szCs w:val="24"/>
          <w:lang w:eastAsia="en-IN"/>
          <w14:ligatures w14:val="none"/>
        </w:rPr>
        <w:t xml:space="preserve"> </w:t>
      </w:r>
      <w:proofErr w:type="gramStart"/>
      <w:r w:rsidRPr="008D4ADA">
        <w:rPr>
          <w:rFonts w:eastAsia="Times New Roman" w:cs="Times New Roman"/>
          <w:kern w:val="0"/>
          <w:sz w:val="24"/>
          <w:szCs w:val="24"/>
          <w:lang w:eastAsia="en-IN"/>
          <w14:ligatures w14:val="none"/>
        </w:rPr>
        <w:t>Similar to</w:t>
      </w:r>
      <w:proofErr w:type="gramEnd"/>
      <w:r w:rsidRPr="008D4ADA">
        <w:rPr>
          <w:rFonts w:eastAsia="Times New Roman" w:cs="Times New Roman"/>
          <w:kern w:val="0"/>
          <w:sz w:val="24"/>
          <w:szCs w:val="24"/>
          <w:lang w:eastAsia="en-IN"/>
          <w14:ligatures w14:val="none"/>
        </w:rPr>
        <w:t xml:space="preserve"> SEC regulations in enhancing transparency and investor protection, with a strong focus on market structure reforms and trading practices.</w:t>
      </w:r>
    </w:p>
    <w:p w14:paraId="2816D322"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General Data Protection Regulation (GDPR):</w:t>
      </w:r>
      <w:r w:rsidRPr="008D4ADA">
        <w:rPr>
          <w:rFonts w:eastAsia="Times New Roman" w:cs="Times New Roman"/>
          <w:kern w:val="0"/>
          <w:sz w:val="24"/>
          <w:szCs w:val="24"/>
          <w:lang w:eastAsia="en-IN"/>
          <w14:ligatures w14:val="none"/>
        </w:rPr>
        <w:t xml:space="preserve"> Introduces stringent data protection and privacy requirements that impact financial institutions.</w:t>
      </w:r>
    </w:p>
    <w:p w14:paraId="0EAE8AA8" w14:textId="77777777" w:rsidR="008D4ADA" w:rsidRPr="008D4ADA" w:rsidRDefault="008D4ADA" w:rsidP="008D4ADA">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United Kingdom:</w:t>
      </w:r>
    </w:p>
    <w:p w14:paraId="590A1790"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Financial Conduct Authority (FCA):</w:t>
      </w:r>
      <w:r w:rsidRPr="008D4ADA">
        <w:rPr>
          <w:rFonts w:eastAsia="Times New Roman" w:cs="Times New Roman"/>
          <w:kern w:val="0"/>
          <w:sz w:val="24"/>
          <w:szCs w:val="24"/>
          <w:lang w:eastAsia="en-IN"/>
          <w14:ligatures w14:val="none"/>
        </w:rPr>
        <w:t xml:space="preserve"> Regulates financial markets with an emphasis on consumer protection, competition, and market integrity.</w:t>
      </w:r>
    </w:p>
    <w:p w14:paraId="7336C28E"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Post-Brexit, the UK has been developing its own regulatory framework, maintaining similarities with EU regulations but with potential for divergence.</w:t>
      </w:r>
    </w:p>
    <w:p w14:paraId="16D2BA39" w14:textId="77777777" w:rsidR="008D4ADA" w:rsidRPr="008D4ADA" w:rsidRDefault="008D4ADA" w:rsidP="008D4ADA">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Japan:</w:t>
      </w:r>
    </w:p>
    <w:p w14:paraId="2D3EE145"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Financial Services Agency (FSA):</w:t>
      </w:r>
      <w:r w:rsidRPr="008D4ADA">
        <w:rPr>
          <w:rFonts w:eastAsia="Times New Roman" w:cs="Times New Roman"/>
          <w:kern w:val="0"/>
          <w:sz w:val="24"/>
          <w:szCs w:val="24"/>
          <w:lang w:eastAsia="en-IN"/>
          <w14:ligatures w14:val="none"/>
        </w:rPr>
        <w:t xml:space="preserve"> Oversees securities markets with a focus on stability, transparency, and investor protection.</w:t>
      </w:r>
    </w:p>
    <w:p w14:paraId="6054CF42"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Recent reforms have aimed at improving corporate governance and market efficiency.</w:t>
      </w:r>
    </w:p>
    <w:p w14:paraId="30A003D9" w14:textId="77777777" w:rsidR="008D4ADA" w:rsidRPr="008D4ADA" w:rsidRDefault="008D4ADA" w:rsidP="008D4ADA">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China:</w:t>
      </w:r>
    </w:p>
    <w:p w14:paraId="05C072C1"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China Securities Regulatory Commission (CSRC):</w:t>
      </w:r>
      <w:r w:rsidRPr="008D4ADA">
        <w:rPr>
          <w:rFonts w:eastAsia="Times New Roman" w:cs="Times New Roman"/>
          <w:kern w:val="0"/>
          <w:sz w:val="24"/>
          <w:szCs w:val="24"/>
          <w:lang w:eastAsia="en-IN"/>
          <w14:ligatures w14:val="none"/>
        </w:rPr>
        <w:t xml:space="preserve"> Regulates a rapidly growing and evolving market, with increasing emphasis on transparency and reducing financial risks.</w:t>
      </w:r>
    </w:p>
    <w:p w14:paraId="42FEFE33" w14:textId="77777777" w:rsidR="008D4ADA" w:rsidRPr="008D4ADA" w:rsidRDefault="008D4ADA" w:rsidP="008D4ADA">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 xml:space="preserve">China's regulatory environment is still developing, with significant state influence and ongoing efforts to </w:t>
      </w:r>
      <w:proofErr w:type="gramStart"/>
      <w:r w:rsidRPr="008D4ADA">
        <w:rPr>
          <w:rFonts w:eastAsia="Times New Roman" w:cs="Times New Roman"/>
          <w:kern w:val="0"/>
          <w:sz w:val="24"/>
          <w:szCs w:val="24"/>
          <w:lang w:eastAsia="en-IN"/>
          <w14:ligatures w14:val="none"/>
        </w:rPr>
        <w:t>open up</w:t>
      </w:r>
      <w:proofErr w:type="gramEnd"/>
      <w:r w:rsidRPr="008D4ADA">
        <w:rPr>
          <w:rFonts w:eastAsia="Times New Roman" w:cs="Times New Roman"/>
          <w:kern w:val="0"/>
          <w:sz w:val="24"/>
          <w:szCs w:val="24"/>
          <w:lang w:eastAsia="en-IN"/>
          <w14:ligatures w14:val="none"/>
        </w:rPr>
        <w:t xml:space="preserve"> markets to foreign investors.</w:t>
      </w:r>
    </w:p>
    <w:p w14:paraId="664435CE" w14:textId="77777777" w:rsidR="00DE55DC" w:rsidRDefault="00DE55DC">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B6ACB2F" w14:textId="3EA54B3D"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lastRenderedPageBreak/>
        <w:t>Key Differences:</w:t>
      </w:r>
    </w:p>
    <w:p w14:paraId="5B01B00D" w14:textId="77777777" w:rsidR="008D4ADA" w:rsidRPr="008D4ADA" w:rsidRDefault="008D4ADA" w:rsidP="008D4ADA">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Disclosure Requirements:</w:t>
      </w:r>
    </w:p>
    <w:p w14:paraId="6ACBC4BA" w14:textId="77777777" w:rsidR="008D4ADA" w:rsidRPr="008D4ADA" w:rsidRDefault="008D4ADA" w:rsidP="008D4ADA">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SEC is known for some of the most stringent disclosure requirements globally, whereas other jurisdictions may have more flexible or varying standards.</w:t>
      </w:r>
    </w:p>
    <w:p w14:paraId="264703E4" w14:textId="77777777" w:rsidR="008D4ADA" w:rsidRPr="008D4ADA" w:rsidRDefault="008D4ADA" w:rsidP="008D4ADA">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Regulatory Philosophy:</w:t>
      </w:r>
    </w:p>
    <w:p w14:paraId="0D6D0019" w14:textId="77777777" w:rsidR="008D4ADA" w:rsidRPr="008D4ADA" w:rsidRDefault="008D4ADA" w:rsidP="008D4ADA">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U.S. regulatory approach often emphasizes enforcement and punitive measures, while other regions, such as the EU, may prioritize harmonization and preventive measures.</w:t>
      </w:r>
    </w:p>
    <w:p w14:paraId="29A97063" w14:textId="77777777" w:rsidR="008D4ADA" w:rsidRPr="008D4ADA" w:rsidRDefault="008D4ADA" w:rsidP="008D4ADA">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b/>
          <w:bCs/>
          <w:kern w:val="0"/>
          <w:sz w:val="24"/>
          <w:szCs w:val="24"/>
          <w:lang w:eastAsia="en-IN"/>
          <w14:ligatures w14:val="none"/>
        </w:rPr>
        <w:t>Market Structure:</w:t>
      </w:r>
    </w:p>
    <w:p w14:paraId="34E21788" w14:textId="20485EB9" w:rsidR="008D4ADA" w:rsidRPr="008D4ADA" w:rsidRDefault="008D4ADA" w:rsidP="008D4ADA">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The regulatory frameworks reflect differences in market structures and economic priorities. For instance, the EU's MiFID II focuses heavily on market transparency and structure, while the SEC's regulations are broad, covering a wide range of market activities and participants.</w:t>
      </w:r>
    </w:p>
    <w:p w14:paraId="724D9933" w14:textId="46800C04" w:rsidR="00285D0C" w:rsidRDefault="00285D0C" w:rsidP="00285D0C">
      <w:pPr>
        <w:pStyle w:val="Heading1"/>
      </w:pPr>
      <w:r>
        <w:t>D</w:t>
      </w:r>
      <w:r>
        <w:t>ata tables related to SEC regulations involves summarizing various aspects quantitatively.</w:t>
      </w:r>
    </w:p>
    <w:p w14:paraId="799249B5" w14:textId="77777777" w:rsidR="00285D0C" w:rsidRPr="00285D0C" w:rsidRDefault="00285D0C" w:rsidP="00285D0C">
      <w:pPr>
        <w:pStyle w:val="Heading2"/>
        <w:rPr>
          <w:rFonts w:eastAsia="Times New Roman"/>
          <w:lang w:eastAsia="en-IN"/>
        </w:rPr>
      </w:pPr>
      <w:r w:rsidRPr="00285D0C">
        <w:rPr>
          <w:rFonts w:eastAsia="Times New Roman"/>
          <w:lang w:eastAsia="en-IN"/>
        </w:rPr>
        <w:t>SEC Enforcement Actions (2019-2023)</w:t>
      </w:r>
    </w:p>
    <w:tbl>
      <w:tblPr>
        <w:tblStyle w:val="TableGrid"/>
        <w:tblW w:w="8655" w:type="dxa"/>
        <w:tblLook w:val="04A0" w:firstRow="1" w:lastRow="0" w:firstColumn="1" w:lastColumn="0" w:noHBand="0" w:noVBand="1"/>
      </w:tblPr>
      <w:tblGrid>
        <w:gridCol w:w="1134"/>
        <w:gridCol w:w="1703"/>
        <w:gridCol w:w="1703"/>
        <w:gridCol w:w="2105"/>
        <w:gridCol w:w="2010"/>
      </w:tblGrid>
      <w:tr w:rsidR="00DE55DC" w:rsidRPr="00285D0C" w14:paraId="65BD4694" w14:textId="77777777" w:rsidTr="00DE55DC">
        <w:trPr>
          <w:trHeight w:val="712"/>
        </w:trPr>
        <w:tc>
          <w:tcPr>
            <w:tcW w:w="1134" w:type="dxa"/>
            <w:hideMark/>
          </w:tcPr>
          <w:p w14:paraId="61C05272"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Year</w:t>
            </w:r>
          </w:p>
        </w:tc>
        <w:tc>
          <w:tcPr>
            <w:tcW w:w="1703" w:type="dxa"/>
            <w:hideMark/>
          </w:tcPr>
          <w:p w14:paraId="2A27C35F"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Total Enforcement Actions</w:t>
            </w:r>
          </w:p>
        </w:tc>
        <w:tc>
          <w:tcPr>
            <w:tcW w:w="1703" w:type="dxa"/>
            <w:hideMark/>
          </w:tcPr>
          <w:p w14:paraId="527ED2D3"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Monetary Sanctions ($)</w:t>
            </w:r>
          </w:p>
        </w:tc>
        <w:tc>
          <w:tcPr>
            <w:tcW w:w="2105" w:type="dxa"/>
            <w:hideMark/>
          </w:tcPr>
          <w:p w14:paraId="666AD526"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Individuals Charged</w:t>
            </w:r>
          </w:p>
        </w:tc>
        <w:tc>
          <w:tcPr>
            <w:tcW w:w="2010" w:type="dxa"/>
            <w:hideMark/>
          </w:tcPr>
          <w:p w14:paraId="2B7FED3F"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Companies Charged</w:t>
            </w:r>
          </w:p>
        </w:tc>
      </w:tr>
      <w:tr w:rsidR="00DE55DC" w:rsidRPr="00285D0C" w14:paraId="00E561A0" w14:textId="77777777" w:rsidTr="00DE55DC">
        <w:trPr>
          <w:trHeight w:val="407"/>
        </w:trPr>
        <w:tc>
          <w:tcPr>
            <w:tcW w:w="1134" w:type="dxa"/>
            <w:hideMark/>
          </w:tcPr>
          <w:p w14:paraId="29497A8D"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2019</w:t>
            </w:r>
          </w:p>
        </w:tc>
        <w:tc>
          <w:tcPr>
            <w:tcW w:w="1703" w:type="dxa"/>
            <w:hideMark/>
          </w:tcPr>
          <w:p w14:paraId="02EF447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862</w:t>
            </w:r>
          </w:p>
        </w:tc>
        <w:tc>
          <w:tcPr>
            <w:tcW w:w="1703" w:type="dxa"/>
            <w:hideMark/>
          </w:tcPr>
          <w:p w14:paraId="30219F5C"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$4.3 billion</w:t>
            </w:r>
          </w:p>
        </w:tc>
        <w:tc>
          <w:tcPr>
            <w:tcW w:w="2105" w:type="dxa"/>
            <w:hideMark/>
          </w:tcPr>
          <w:p w14:paraId="14EB4D04"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1,133</w:t>
            </w:r>
          </w:p>
        </w:tc>
        <w:tc>
          <w:tcPr>
            <w:tcW w:w="2010" w:type="dxa"/>
            <w:hideMark/>
          </w:tcPr>
          <w:p w14:paraId="21F64C9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526</w:t>
            </w:r>
          </w:p>
        </w:tc>
      </w:tr>
      <w:tr w:rsidR="00DE55DC" w:rsidRPr="00285D0C" w14:paraId="4F600983" w14:textId="77777777" w:rsidTr="00DE55DC">
        <w:trPr>
          <w:trHeight w:val="407"/>
        </w:trPr>
        <w:tc>
          <w:tcPr>
            <w:tcW w:w="1134" w:type="dxa"/>
            <w:hideMark/>
          </w:tcPr>
          <w:p w14:paraId="7ADEFB02"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2020</w:t>
            </w:r>
          </w:p>
        </w:tc>
        <w:tc>
          <w:tcPr>
            <w:tcW w:w="1703" w:type="dxa"/>
            <w:hideMark/>
          </w:tcPr>
          <w:p w14:paraId="57506B4B"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715</w:t>
            </w:r>
          </w:p>
        </w:tc>
        <w:tc>
          <w:tcPr>
            <w:tcW w:w="1703" w:type="dxa"/>
            <w:hideMark/>
          </w:tcPr>
          <w:p w14:paraId="43311375"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$4.7 billion</w:t>
            </w:r>
          </w:p>
        </w:tc>
        <w:tc>
          <w:tcPr>
            <w:tcW w:w="2105" w:type="dxa"/>
            <w:hideMark/>
          </w:tcPr>
          <w:p w14:paraId="4CC448F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1,106</w:t>
            </w:r>
          </w:p>
        </w:tc>
        <w:tc>
          <w:tcPr>
            <w:tcW w:w="2010" w:type="dxa"/>
            <w:hideMark/>
          </w:tcPr>
          <w:p w14:paraId="2130274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405</w:t>
            </w:r>
          </w:p>
        </w:tc>
      </w:tr>
      <w:tr w:rsidR="00DE55DC" w:rsidRPr="00285D0C" w14:paraId="0126A7DC" w14:textId="77777777" w:rsidTr="00DE55DC">
        <w:trPr>
          <w:trHeight w:val="407"/>
        </w:trPr>
        <w:tc>
          <w:tcPr>
            <w:tcW w:w="1134" w:type="dxa"/>
            <w:hideMark/>
          </w:tcPr>
          <w:p w14:paraId="3259D94E"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2021</w:t>
            </w:r>
          </w:p>
        </w:tc>
        <w:tc>
          <w:tcPr>
            <w:tcW w:w="1703" w:type="dxa"/>
            <w:hideMark/>
          </w:tcPr>
          <w:p w14:paraId="3BF262B2"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950</w:t>
            </w:r>
          </w:p>
        </w:tc>
        <w:tc>
          <w:tcPr>
            <w:tcW w:w="1703" w:type="dxa"/>
            <w:hideMark/>
          </w:tcPr>
          <w:p w14:paraId="5CC12CF1"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$6.1 billion</w:t>
            </w:r>
          </w:p>
        </w:tc>
        <w:tc>
          <w:tcPr>
            <w:tcW w:w="2105" w:type="dxa"/>
            <w:hideMark/>
          </w:tcPr>
          <w:p w14:paraId="79E5F110"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1,285</w:t>
            </w:r>
          </w:p>
        </w:tc>
        <w:tc>
          <w:tcPr>
            <w:tcW w:w="2010" w:type="dxa"/>
            <w:hideMark/>
          </w:tcPr>
          <w:p w14:paraId="055DF90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590</w:t>
            </w:r>
          </w:p>
        </w:tc>
      </w:tr>
      <w:tr w:rsidR="00DE55DC" w:rsidRPr="00285D0C" w14:paraId="573A11C2" w14:textId="77777777" w:rsidTr="00DE55DC">
        <w:trPr>
          <w:trHeight w:val="407"/>
        </w:trPr>
        <w:tc>
          <w:tcPr>
            <w:tcW w:w="1134" w:type="dxa"/>
            <w:hideMark/>
          </w:tcPr>
          <w:p w14:paraId="4302462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2022</w:t>
            </w:r>
          </w:p>
        </w:tc>
        <w:tc>
          <w:tcPr>
            <w:tcW w:w="1703" w:type="dxa"/>
            <w:hideMark/>
          </w:tcPr>
          <w:p w14:paraId="494994CB"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820</w:t>
            </w:r>
          </w:p>
        </w:tc>
        <w:tc>
          <w:tcPr>
            <w:tcW w:w="1703" w:type="dxa"/>
            <w:hideMark/>
          </w:tcPr>
          <w:p w14:paraId="26DDFA27"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$5.5 billion</w:t>
            </w:r>
          </w:p>
        </w:tc>
        <w:tc>
          <w:tcPr>
            <w:tcW w:w="2105" w:type="dxa"/>
            <w:hideMark/>
          </w:tcPr>
          <w:p w14:paraId="2CD26BCF"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1,004</w:t>
            </w:r>
          </w:p>
        </w:tc>
        <w:tc>
          <w:tcPr>
            <w:tcW w:w="2010" w:type="dxa"/>
            <w:hideMark/>
          </w:tcPr>
          <w:p w14:paraId="1F7E9C2C"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561</w:t>
            </w:r>
          </w:p>
        </w:tc>
      </w:tr>
      <w:tr w:rsidR="00DE55DC" w:rsidRPr="00285D0C" w14:paraId="234D890F" w14:textId="77777777" w:rsidTr="00DE55DC">
        <w:trPr>
          <w:trHeight w:val="407"/>
        </w:trPr>
        <w:tc>
          <w:tcPr>
            <w:tcW w:w="1134" w:type="dxa"/>
            <w:hideMark/>
          </w:tcPr>
          <w:p w14:paraId="69C82E2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2023</w:t>
            </w:r>
          </w:p>
        </w:tc>
        <w:tc>
          <w:tcPr>
            <w:tcW w:w="1703" w:type="dxa"/>
            <w:hideMark/>
          </w:tcPr>
          <w:p w14:paraId="3F9F262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900</w:t>
            </w:r>
          </w:p>
        </w:tc>
        <w:tc>
          <w:tcPr>
            <w:tcW w:w="1703" w:type="dxa"/>
            <w:hideMark/>
          </w:tcPr>
          <w:p w14:paraId="57873813"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 xml:space="preserve">$6.3 billion </w:t>
            </w:r>
          </w:p>
        </w:tc>
        <w:tc>
          <w:tcPr>
            <w:tcW w:w="2105" w:type="dxa"/>
            <w:hideMark/>
          </w:tcPr>
          <w:p w14:paraId="797F1A8C"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1,150</w:t>
            </w:r>
          </w:p>
        </w:tc>
        <w:tc>
          <w:tcPr>
            <w:tcW w:w="2010" w:type="dxa"/>
            <w:hideMark/>
          </w:tcPr>
          <w:p w14:paraId="1C2A7169"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610</w:t>
            </w:r>
          </w:p>
        </w:tc>
      </w:tr>
    </w:tbl>
    <w:p w14:paraId="44754D4C" w14:textId="016C71F8" w:rsidR="00285D0C" w:rsidRDefault="00DE55DC" w:rsidP="00285D0C">
      <w:r>
        <w:rPr>
          <w:noProof/>
        </w:rPr>
        <w:drawing>
          <wp:anchor distT="0" distB="0" distL="114300" distR="114300" simplePos="0" relativeHeight="251658240" behindDoc="0" locked="0" layoutInCell="1" allowOverlap="1" wp14:anchorId="385CE879" wp14:editId="7F192048">
            <wp:simplePos x="0" y="0"/>
            <wp:positionH relativeFrom="column">
              <wp:posOffset>-76200</wp:posOffset>
            </wp:positionH>
            <wp:positionV relativeFrom="paragraph">
              <wp:posOffset>1905</wp:posOffset>
            </wp:positionV>
            <wp:extent cx="5807710" cy="3116580"/>
            <wp:effectExtent l="0" t="0" r="2540" b="7620"/>
            <wp:wrapNone/>
            <wp:docPr id="2090424978" name="Chart 1">
              <a:extLst xmlns:a="http://schemas.openxmlformats.org/drawingml/2006/main">
                <a:ext uri="{FF2B5EF4-FFF2-40B4-BE49-F238E27FC236}">
                  <a16:creationId xmlns:a16="http://schemas.microsoft.com/office/drawing/2014/main" id="{95DEB332-2AFD-93F9-4FFA-148BBC33C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EC7A47A" w14:textId="1861C519" w:rsidR="00285D0C" w:rsidRPr="00285D0C" w:rsidRDefault="00285D0C" w:rsidP="00285D0C"/>
    <w:p w14:paraId="5E34532B" w14:textId="5182DA68" w:rsidR="00285D0C" w:rsidRPr="00285D0C" w:rsidRDefault="00285D0C" w:rsidP="00285D0C">
      <w:pPr>
        <w:rPr>
          <w:rFonts w:eastAsia="Times New Roman" w:cs="Times New Roman"/>
          <w:b/>
          <w:bCs/>
          <w:kern w:val="0"/>
          <w:sz w:val="24"/>
          <w:szCs w:val="24"/>
          <w:lang w:eastAsia="en-IN"/>
          <w14:ligatures w14:val="none"/>
        </w:rPr>
      </w:pPr>
      <w:r w:rsidRPr="00285D0C">
        <w:rPr>
          <w:b/>
          <w:bCs/>
          <w:sz w:val="24"/>
          <w:szCs w:val="24"/>
          <w:lang w:eastAsia="en-IN"/>
        </w:rPr>
        <w:t>Interpretation of SEC Enforcement Actions (2019-2023)</w:t>
      </w:r>
    </w:p>
    <w:p w14:paraId="186782CC" w14:textId="77777777" w:rsidR="00285D0C" w:rsidRPr="00285D0C" w:rsidRDefault="00285D0C" w:rsidP="00285D0C">
      <w:pPr>
        <w:rPr>
          <w:sz w:val="24"/>
          <w:szCs w:val="24"/>
          <w:lang w:eastAsia="en-IN"/>
        </w:rPr>
      </w:pPr>
      <w:r w:rsidRPr="00285D0C">
        <w:rPr>
          <w:b/>
          <w:bCs/>
          <w:sz w:val="24"/>
          <w:szCs w:val="24"/>
          <w:lang w:eastAsia="en-IN"/>
        </w:rPr>
        <w:t>Total Enforcement Actions</w:t>
      </w:r>
    </w:p>
    <w:p w14:paraId="56118E58" w14:textId="77777777" w:rsidR="00285D0C" w:rsidRPr="00285D0C" w:rsidRDefault="00285D0C" w:rsidP="00285D0C">
      <w:pPr>
        <w:rPr>
          <w:sz w:val="24"/>
          <w:szCs w:val="24"/>
          <w:lang w:eastAsia="en-IN"/>
        </w:rPr>
      </w:pPr>
      <w:r w:rsidRPr="00285D0C">
        <w:rPr>
          <w:sz w:val="24"/>
          <w:szCs w:val="24"/>
          <w:lang w:eastAsia="en-IN"/>
        </w:rPr>
        <w:t>The table shows the total number of enforcement actions initiated by the SEC each year from 2019 to 2023.</w:t>
      </w:r>
    </w:p>
    <w:p w14:paraId="7A8EB5AF" w14:textId="77777777" w:rsidR="00285D0C" w:rsidRPr="00285D0C" w:rsidRDefault="00285D0C" w:rsidP="00285D0C">
      <w:pPr>
        <w:rPr>
          <w:sz w:val="24"/>
          <w:szCs w:val="24"/>
          <w:lang w:eastAsia="en-IN"/>
        </w:rPr>
      </w:pPr>
      <w:r w:rsidRPr="00285D0C">
        <w:rPr>
          <w:sz w:val="24"/>
          <w:szCs w:val="24"/>
          <w:lang w:eastAsia="en-IN"/>
        </w:rPr>
        <w:t>Enforcement actions encompass a range of activities including civil lawsuits, administrative proceedings, settlements, and penalties imposed on individuals and companies for violations of securities laws.</w:t>
      </w:r>
    </w:p>
    <w:p w14:paraId="4FDCF41B" w14:textId="77777777" w:rsidR="00285D0C" w:rsidRPr="00285D0C" w:rsidRDefault="00285D0C" w:rsidP="00285D0C">
      <w:pPr>
        <w:rPr>
          <w:sz w:val="24"/>
          <w:szCs w:val="24"/>
          <w:lang w:eastAsia="en-IN"/>
        </w:rPr>
      </w:pPr>
      <w:r w:rsidRPr="00285D0C">
        <w:rPr>
          <w:b/>
          <w:bCs/>
          <w:sz w:val="24"/>
          <w:szCs w:val="24"/>
          <w:lang w:eastAsia="en-IN"/>
        </w:rPr>
        <w:t>Monetary Sanctions</w:t>
      </w:r>
    </w:p>
    <w:p w14:paraId="6A8DA19F" w14:textId="77777777" w:rsidR="00285D0C" w:rsidRPr="00285D0C" w:rsidRDefault="00285D0C" w:rsidP="00285D0C">
      <w:pPr>
        <w:rPr>
          <w:sz w:val="24"/>
          <w:szCs w:val="24"/>
          <w:lang w:eastAsia="en-IN"/>
        </w:rPr>
      </w:pPr>
      <w:r w:rsidRPr="00285D0C">
        <w:rPr>
          <w:sz w:val="24"/>
          <w:szCs w:val="24"/>
          <w:lang w:eastAsia="en-IN"/>
        </w:rPr>
        <w:lastRenderedPageBreak/>
        <w:t xml:space="preserve">This column indicates the total monetary sanctions imposed </w:t>
      </w:r>
      <w:proofErr w:type="gramStart"/>
      <w:r w:rsidRPr="00285D0C">
        <w:rPr>
          <w:sz w:val="24"/>
          <w:szCs w:val="24"/>
          <w:lang w:eastAsia="en-IN"/>
        </w:rPr>
        <w:t>as a result of</w:t>
      </w:r>
      <w:proofErr w:type="gramEnd"/>
      <w:r w:rsidRPr="00285D0C">
        <w:rPr>
          <w:sz w:val="24"/>
          <w:szCs w:val="24"/>
          <w:lang w:eastAsia="en-IN"/>
        </w:rPr>
        <w:t xml:space="preserve"> SEC enforcement actions each year.</w:t>
      </w:r>
    </w:p>
    <w:p w14:paraId="567E4D97" w14:textId="77777777" w:rsidR="00285D0C" w:rsidRPr="00285D0C" w:rsidRDefault="00285D0C" w:rsidP="00285D0C">
      <w:pPr>
        <w:rPr>
          <w:sz w:val="24"/>
          <w:szCs w:val="24"/>
          <w:lang w:eastAsia="en-IN"/>
        </w:rPr>
      </w:pPr>
      <w:r w:rsidRPr="00285D0C">
        <w:rPr>
          <w:sz w:val="24"/>
          <w:szCs w:val="24"/>
          <w:lang w:eastAsia="en-IN"/>
        </w:rPr>
        <w:t>Monetary sanctions include penalties, disgorgement of ill-gotten gains, and interest payments collected from parties found guilty of securities law violations.</w:t>
      </w:r>
    </w:p>
    <w:p w14:paraId="46738B39" w14:textId="77777777" w:rsidR="00285D0C" w:rsidRPr="00285D0C" w:rsidRDefault="00285D0C" w:rsidP="00285D0C">
      <w:pPr>
        <w:rPr>
          <w:sz w:val="24"/>
          <w:szCs w:val="24"/>
          <w:lang w:eastAsia="en-IN"/>
        </w:rPr>
      </w:pPr>
      <w:r w:rsidRPr="00285D0C">
        <w:rPr>
          <w:b/>
          <w:bCs/>
          <w:sz w:val="24"/>
          <w:szCs w:val="24"/>
          <w:lang w:eastAsia="en-IN"/>
        </w:rPr>
        <w:t>Number of Individuals Charged</w:t>
      </w:r>
    </w:p>
    <w:p w14:paraId="59B0DCBA" w14:textId="77777777" w:rsidR="00285D0C" w:rsidRPr="00285D0C" w:rsidRDefault="00285D0C" w:rsidP="00285D0C">
      <w:pPr>
        <w:rPr>
          <w:sz w:val="24"/>
          <w:szCs w:val="24"/>
          <w:lang w:eastAsia="en-IN"/>
        </w:rPr>
      </w:pPr>
      <w:r w:rsidRPr="00285D0C">
        <w:rPr>
          <w:sz w:val="24"/>
          <w:szCs w:val="24"/>
          <w:lang w:eastAsia="en-IN"/>
        </w:rPr>
        <w:t>Represents the total number of individuals charged with wrongdoing by the SEC during each year.</w:t>
      </w:r>
    </w:p>
    <w:p w14:paraId="7110AF4C" w14:textId="77777777" w:rsidR="00285D0C" w:rsidRPr="00285D0C" w:rsidRDefault="00285D0C" w:rsidP="00285D0C">
      <w:pPr>
        <w:rPr>
          <w:sz w:val="24"/>
          <w:szCs w:val="24"/>
          <w:lang w:eastAsia="en-IN"/>
        </w:rPr>
      </w:pPr>
      <w:r w:rsidRPr="00285D0C">
        <w:rPr>
          <w:sz w:val="24"/>
          <w:szCs w:val="24"/>
          <w:lang w:eastAsia="en-IN"/>
        </w:rPr>
        <w:t>Individuals charged may include executives, traders, brokers, and other market participants accused of insider trading, fraud, or other securities violations.</w:t>
      </w:r>
    </w:p>
    <w:p w14:paraId="2821EDBF" w14:textId="77777777" w:rsidR="00285D0C" w:rsidRPr="00285D0C" w:rsidRDefault="00285D0C" w:rsidP="00285D0C">
      <w:pPr>
        <w:rPr>
          <w:sz w:val="24"/>
          <w:szCs w:val="24"/>
          <w:lang w:eastAsia="en-IN"/>
        </w:rPr>
      </w:pPr>
      <w:r w:rsidRPr="00285D0C">
        <w:rPr>
          <w:b/>
          <w:bCs/>
          <w:sz w:val="24"/>
          <w:szCs w:val="24"/>
          <w:lang w:eastAsia="en-IN"/>
        </w:rPr>
        <w:t>Number of Companies Charged</w:t>
      </w:r>
    </w:p>
    <w:p w14:paraId="38AA8B09" w14:textId="77777777" w:rsidR="00285D0C" w:rsidRPr="00285D0C" w:rsidRDefault="00285D0C" w:rsidP="00285D0C">
      <w:pPr>
        <w:rPr>
          <w:sz w:val="24"/>
          <w:szCs w:val="24"/>
          <w:lang w:eastAsia="en-IN"/>
        </w:rPr>
      </w:pPr>
      <w:r w:rsidRPr="00285D0C">
        <w:rPr>
          <w:sz w:val="24"/>
          <w:szCs w:val="24"/>
          <w:lang w:eastAsia="en-IN"/>
        </w:rPr>
        <w:t>Refers to the total number of companies against which the SEC initiated enforcement actions in each respective year.</w:t>
      </w:r>
    </w:p>
    <w:p w14:paraId="01A49929" w14:textId="77777777" w:rsidR="00285D0C" w:rsidRPr="00285D0C" w:rsidRDefault="00285D0C" w:rsidP="00285D0C">
      <w:pPr>
        <w:rPr>
          <w:sz w:val="24"/>
          <w:szCs w:val="24"/>
          <w:lang w:eastAsia="en-IN"/>
        </w:rPr>
      </w:pPr>
      <w:r w:rsidRPr="00285D0C">
        <w:rPr>
          <w:sz w:val="24"/>
          <w:szCs w:val="24"/>
          <w:lang w:eastAsia="en-IN"/>
        </w:rPr>
        <w:t>Companies charged may range from publicly traded corporations to private entities accused of misleading investors, violating reporting requirements, or engaging in fraudulent activities.</w:t>
      </w:r>
    </w:p>
    <w:p w14:paraId="229478E9" w14:textId="77777777" w:rsidR="00285D0C" w:rsidRPr="00285D0C" w:rsidRDefault="00285D0C" w:rsidP="00285D0C">
      <w:pPr>
        <w:rPr>
          <w:sz w:val="24"/>
          <w:szCs w:val="24"/>
          <w:lang w:eastAsia="en-IN"/>
        </w:rPr>
      </w:pPr>
      <w:r w:rsidRPr="00285D0C">
        <w:rPr>
          <w:b/>
          <w:bCs/>
          <w:sz w:val="24"/>
          <w:szCs w:val="24"/>
          <w:lang w:eastAsia="en-IN"/>
        </w:rPr>
        <w:t>Insights from the Data:</w:t>
      </w:r>
    </w:p>
    <w:p w14:paraId="34EF5345" w14:textId="77777777" w:rsidR="00285D0C" w:rsidRPr="00285D0C" w:rsidRDefault="00285D0C" w:rsidP="00285D0C">
      <w:pPr>
        <w:rPr>
          <w:sz w:val="24"/>
          <w:szCs w:val="24"/>
          <w:lang w:eastAsia="en-IN"/>
        </w:rPr>
      </w:pPr>
      <w:r w:rsidRPr="00285D0C">
        <w:rPr>
          <w:b/>
          <w:bCs/>
          <w:sz w:val="24"/>
          <w:szCs w:val="24"/>
          <w:lang w:eastAsia="en-IN"/>
        </w:rPr>
        <w:t>Trends in Enforcement Actions:</w:t>
      </w:r>
    </w:p>
    <w:p w14:paraId="5C5A4E20" w14:textId="77777777" w:rsidR="00285D0C" w:rsidRPr="00285D0C" w:rsidRDefault="00285D0C" w:rsidP="00285D0C">
      <w:pPr>
        <w:rPr>
          <w:sz w:val="24"/>
          <w:szCs w:val="24"/>
          <w:lang w:eastAsia="en-IN"/>
        </w:rPr>
      </w:pPr>
      <w:r w:rsidRPr="00285D0C">
        <w:rPr>
          <w:sz w:val="24"/>
          <w:szCs w:val="24"/>
          <w:lang w:eastAsia="en-IN"/>
        </w:rPr>
        <w:t>The number of enforcement actions fluctuates annually, influenced by regulatory priorities, market conditions, and emerging trends in securities violations.</w:t>
      </w:r>
    </w:p>
    <w:p w14:paraId="0F7411D5" w14:textId="77777777" w:rsidR="00285D0C" w:rsidRPr="00285D0C" w:rsidRDefault="00285D0C" w:rsidP="00285D0C">
      <w:pPr>
        <w:rPr>
          <w:sz w:val="24"/>
          <w:szCs w:val="24"/>
          <w:lang w:eastAsia="en-IN"/>
        </w:rPr>
      </w:pPr>
      <w:r w:rsidRPr="00285D0C">
        <w:rPr>
          <w:sz w:val="24"/>
          <w:szCs w:val="24"/>
          <w:lang w:eastAsia="en-IN"/>
        </w:rPr>
        <w:t>There's a notable decrease from 2019 to 2020, followed by fluctuations in subsequent years, suggesting varying levels of enforcement activity based on economic and regulatory factors.</w:t>
      </w:r>
    </w:p>
    <w:p w14:paraId="72DCDF42" w14:textId="33A1CB53" w:rsidR="00285D0C" w:rsidRPr="00285D0C" w:rsidRDefault="00285D0C" w:rsidP="00285D0C">
      <w:pPr>
        <w:rPr>
          <w:b/>
          <w:bCs/>
          <w:sz w:val="24"/>
          <w:szCs w:val="24"/>
          <w:lang w:eastAsia="en-IN"/>
        </w:rPr>
      </w:pPr>
      <w:r w:rsidRPr="00285D0C">
        <w:rPr>
          <w:b/>
          <w:bCs/>
          <w:sz w:val="24"/>
          <w:szCs w:val="24"/>
          <w:lang w:eastAsia="en-IN"/>
        </w:rPr>
        <w:t>Monetary Impact of Enforcement:</w:t>
      </w:r>
    </w:p>
    <w:p w14:paraId="1E6DE0BD" w14:textId="77777777" w:rsidR="00285D0C" w:rsidRPr="00285D0C" w:rsidRDefault="00285D0C" w:rsidP="00285D0C">
      <w:pPr>
        <w:rPr>
          <w:sz w:val="24"/>
          <w:szCs w:val="24"/>
          <w:lang w:eastAsia="en-IN"/>
        </w:rPr>
      </w:pPr>
      <w:r w:rsidRPr="00285D0C">
        <w:rPr>
          <w:sz w:val="24"/>
          <w:szCs w:val="24"/>
          <w:lang w:eastAsia="en-IN"/>
        </w:rPr>
        <w:t>Despite fluctuations in the number of actions, the monetary sanctions imposed by the SEC show significant variation year-to-year, reflecting the scale and severity of violations prosecuted.</w:t>
      </w:r>
    </w:p>
    <w:p w14:paraId="78536C94" w14:textId="77777777" w:rsidR="00285D0C" w:rsidRPr="00285D0C" w:rsidRDefault="00285D0C" w:rsidP="00285D0C">
      <w:pPr>
        <w:rPr>
          <w:sz w:val="24"/>
          <w:szCs w:val="24"/>
          <w:lang w:eastAsia="en-IN"/>
        </w:rPr>
      </w:pPr>
      <w:r w:rsidRPr="00285D0C">
        <w:rPr>
          <w:sz w:val="24"/>
          <w:szCs w:val="24"/>
          <w:lang w:eastAsia="en-IN"/>
        </w:rPr>
        <w:t>The projected increase in monetary sanctions from 2022 to 2023 indicates intensified enforcement efforts or larger-scale violations leading to higher penalties.</w:t>
      </w:r>
    </w:p>
    <w:p w14:paraId="33795344" w14:textId="77777777" w:rsidR="00285D0C" w:rsidRPr="00285D0C" w:rsidRDefault="00285D0C" w:rsidP="00285D0C">
      <w:pPr>
        <w:rPr>
          <w:sz w:val="24"/>
          <w:szCs w:val="24"/>
          <w:lang w:eastAsia="en-IN"/>
        </w:rPr>
      </w:pPr>
      <w:r w:rsidRPr="00285D0C">
        <w:rPr>
          <w:b/>
          <w:bCs/>
          <w:sz w:val="24"/>
          <w:szCs w:val="24"/>
          <w:lang w:eastAsia="en-IN"/>
        </w:rPr>
        <w:t>Individuals vs. Companies Charged:</w:t>
      </w:r>
    </w:p>
    <w:p w14:paraId="507C27F3" w14:textId="77777777" w:rsidR="00285D0C" w:rsidRPr="00285D0C" w:rsidRDefault="00285D0C" w:rsidP="00285D0C">
      <w:pPr>
        <w:rPr>
          <w:sz w:val="24"/>
          <w:szCs w:val="24"/>
          <w:lang w:eastAsia="en-IN"/>
        </w:rPr>
      </w:pPr>
      <w:r w:rsidRPr="00285D0C">
        <w:rPr>
          <w:sz w:val="24"/>
          <w:szCs w:val="24"/>
          <w:lang w:eastAsia="en-IN"/>
        </w:rPr>
        <w:t>The number of individuals and companies charged provides insights into the SEC's focus on holding both corporate entities and individual actors accountable for securities violations.</w:t>
      </w:r>
    </w:p>
    <w:p w14:paraId="461583B9" w14:textId="77777777" w:rsidR="00285D0C" w:rsidRPr="00285D0C" w:rsidRDefault="00285D0C" w:rsidP="00285D0C">
      <w:pPr>
        <w:rPr>
          <w:sz w:val="24"/>
          <w:szCs w:val="24"/>
          <w:lang w:eastAsia="en-IN"/>
        </w:rPr>
      </w:pPr>
      <w:r w:rsidRPr="00285D0C">
        <w:rPr>
          <w:sz w:val="24"/>
          <w:szCs w:val="24"/>
          <w:lang w:eastAsia="en-IN"/>
        </w:rPr>
        <w:t>Higher numbers in 2021 and projected for 2023 suggest increased scrutiny of both individuals and corporate entities amidst evolving market conditions and regulatory priorities.</w:t>
      </w:r>
    </w:p>
    <w:p w14:paraId="7A488AE2" w14:textId="77777777" w:rsidR="00285D0C" w:rsidRPr="00285D0C" w:rsidRDefault="00285D0C" w:rsidP="00285D0C">
      <w:pPr>
        <w:pStyle w:val="Heading2"/>
        <w:rPr>
          <w:rFonts w:eastAsia="Times New Roman"/>
          <w:lang w:eastAsia="en-IN"/>
        </w:rPr>
      </w:pPr>
      <w:r w:rsidRPr="00285D0C">
        <w:rPr>
          <w:rFonts w:eastAsia="Times New Roman"/>
          <w:lang w:eastAsia="en-IN"/>
        </w:rPr>
        <w:lastRenderedPageBreak/>
        <w:t>SEC Filings and Registrations (2020-2023)</w:t>
      </w:r>
    </w:p>
    <w:tbl>
      <w:tblPr>
        <w:tblStyle w:val="TableGrid"/>
        <w:tblW w:w="8066" w:type="dxa"/>
        <w:tblLook w:val="04A0" w:firstRow="1" w:lastRow="0" w:firstColumn="1" w:lastColumn="0" w:noHBand="0" w:noVBand="1"/>
      </w:tblPr>
      <w:tblGrid>
        <w:gridCol w:w="973"/>
        <w:gridCol w:w="1986"/>
        <w:gridCol w:w="1804"/>
        <w:gridCol w:w="1439"/>
        <w:gridCol w:w="1864"/>
      </w:tblGrid>
      <w:tr w:rsidR="00285D0C" w:rsidRPr="00285D0C" w14:paraId="4DDB32F0" w14:textId="77777777" w:rsidTr="00285D0C">
        <w:trPr>
          <w:trHeight w:val="799"/>
        </w:trPr>
        <w:tc>
          <w:tcPr>
            <w:tcW w:w="973" w:type="dxa"/>
            <w:hideMark/>
          </w:tcPr>
          <w:p w14:paraId="384D4A25"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Year</w:t>
            </w:r>
          </w:p>
        </w:tc>
        <w:tc>
          <w:tcPr>
            <w:tcW w:w="1986" w:type="dxa"/>
            <w:hideMark/>
          </w:tcPr>
          <w:p w14:paraId="08223E71"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New Securities Registrations</w:t>
            </w:r>
          </w:p>
        </w:tc>
        <w:tc>
          <w:tcPr>
            <w:tcW w:w="1804" w:type="dxa"/>
            <w:hideMark/>
          </w:tcPr>
          <w:p w14:paraId="24C23617"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Form 10-K Filings</w:t>
            </w:r>
          </w:p>
        </w:tc>
        <w:tc>
          <w:tcPr>
            <w:tcW w:w="1439" w:type="dxa"/>
            <w:hideMark/>
          </w:tcPr>
          <w:p w14:paraId="49A1DD4E"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Form 10-Q Filings</w:t>
            </w:r>
          </w:p>
        </w:tc>
        <w:tc>
          <w:tcPr>
            <w:tcW w:w="1864" w:type="dxa"/>
            <w:hideMark/>
          </w:tcPr>
          <w:p w14:paraId="61B3E814"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Form 8-K Filings</w:t>
            </w:r>
          </w:p>
        </w:tc>
      </w:tr>
      <w:tr w:rsidR="00285D0C" w:rsidRPr="00285D0C" w14:paraId="670392BC" w14:textId="77777777" w:rsidTr="00285D0C">
        <w:trPr>
          <w:trHeight w:val="133"/>
        </w:trPr>
        <w:tc>
          <w:tcPr>
            <w:tcW w:w="973" w:type="dxa"/>
            <w:hideMark/>
          </w:tcPr>
          <w:p w14:paraId="6D3DFBB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2020</w:t>
            </w:r>
          </w:p>
        </w:tc>
        <w:tc>
          <w:tcPr>
            <w:tcW w:w="1986" w:type="dxa"/>
            <w:hideMark/>
          </w:tcPr>
          <w:p w14:paraId="7DEDEC0C"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2,150</w:t>
            </w:r>
          </w:p>
        </w:tc>
        <w:tc>
          <w:tcPr>
            <w:tcW w:w="1804" w:type="dxa"/>
            <w:hideMark/>
          </w:tcPr>
          <w:p w14:paraId="2B858976"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15,200</w:t>
            </w:r>
          </w:p>
        </w:tc>
        <w:tc>
          <w:tcPr>
            <w:tcW w:w="1439" w:type="dxa"/>
            <w:hideMark/>
          </w:tcPr>
          <w:p w14:paraId="3CF74C82"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43,500</w:t>
            </w:r>
          </w:p>
        </w:tc>
        <w:tc>
          <w:tcPr>
            <w:tcW w:w="1864" w:type="dxa"/>
            <w:hideMark/>
          </w:tcPr>
          <w:p w14:paraId="763EEC7E"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28,400</w:t>
            </w:r>
          </w:p>
        </w:tc>
      </w:tr>
      <w:tr w:rsidR="00285D0C" w:rsidRPr="00285D0C" w14:paraId="20A8417A" w14:textId="77777777" w:rsidTr="00285D0C">
        <w:trPr>
          <w:trHeight w:val="133"/>
        </w:trPr>
        <w:tc>
          <w:tcPr>
            <w:tcW w:w="973" w:type="dxa"/>
            <w:hideMark/>
          </w:tcPr>
          <w:p w14:paraId="0F2124F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2021</w:t>
            </w:r>
          </w:p>
        </w:tc>
        <w:tc>
          <w:tcPr>
            <w:tcW w:w="1986" w:type="dxa"/>
            <w:hideMark/>
          </w:tcPr>
          <w:p w14:paraId="0593FC70"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2,300</w:t>
            </w:r>
          </w:p>
        </w:tc>
        <w:tc>
          <w:tcPr>
            <w:tcW w:w="1804" w:type="dxa"/>
            <w:hideMark/>
          </w:tcPr>
          <w:p w14:paraId="19480CF6"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16,000</w:t>
            </w:r>
          </w:p>
        </w:tc>
        <w:tc>
          <w:tcPr>
            <w:tcW w:w="1439" w:type="dxa"/>
            <w:hideMark/>
          </w:tcPr>
          <w:p w14:paraId="7C25FCA6"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45,000</w:t>
            </w:r>
          </w:p>
        </w:tc>
        <w:tc>
          <w:tcPr>
            <w:tcW w:w="1864" w:type="dxa"/>
            <w:hideMark/>
          </w:tcPr>
          <w:p w14:paraId="585A70D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30,000</w:t>
            </w:r>
          </w:p>
        </w:tc>
      </w:tr>
      <w:tr w:rsidR="00285D0C" w:rsidRPr="00285D0C" w14:paraId="13C56FF8" w14:textId="77777777" w:rsidTr="00285D0C">
        <w:trPr>
          <w:trHeight w:val="133"/>
        </w:trPr>
        <w:tc>
          <w:tcPr>
            <w:tcW w:w="973" w:type="dxa"/>
            <w:hideMark/>
          </w:tcPr>
          <w:p w14:paraId="71E4967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2022</w:t>
            </w:r>
          </w:p>
        </w:tc>
        <w:tc>
          <w:tcPr>
            <w:tcW w:w="1986" w:type="dxa"/>
            <w:hideMark/>
          </w:tcPr>
          <w:p w14:paraId="696D7FC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2,400</w:t>
            </w:r>
          </w:p>
        </w:tc>
        <w:tc>
          <w:tcPr>
            <w:tcW w:w="1804" w:type="dxa"/>
            <w:hideMark/>
          </w:tcPr>
          <w:p w14:paraId="28CC4E8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16,500</w:t>
            </w:r>
          </w:p>
        </w:tc>
        <w:tc>
          <w:tcPr>
            <w:tcW w:w="1439" w:type="dxa"/>
            <w:hideMark/>
          </w:tcPr>
          <w:p w14:paraId="40ECC12B"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47,000</w:t>
            </w:r>
          </w:p>
        </w:tc>
        <w:tc>
          <w:tcPr>
            <w:tcW w:w="1864" w:type="dxa"/>
            <w:hideMark/>
          </w:tcPr>
          <w:p w14:paraId="55BB76B2"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31,500</w:t>
            </w:r>
          </w:p>
        </w:tc>
      </w:tr>
      <w:tr w:rsidR="00285D0C" w:rsidRPr="00285D0C" w14:paraId="105667A6" w14:textId="77777777" w:rsidTr="00285D0C">
        <w:trPr>
          <w:trHeight w:val="399"/>
        </w:trPr>
        <w:tc>
          <w:tcPr>
            <w:tcW w:w="973" w:type="dxa"/>
            <w:hideMark/>
          </w:tcPr>
          <w:p w14:paraId="186546C0"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2023</w:t>
            </w:r>
          </w:p>
        </w:tc>
        <w:tc>
          <w:tcPr>
            <w:tcW w:w="1986" w:type="dxa"/>
            <w:hideMark/>
          </w:tcPr>
          <w:p w14:paraId="0057FC6F"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2,500</w:t>
            </w:r>
          </w:p>
        </w:tc>
        <w:tc>
          <w:tcPr>
            <w:tcW w:w="1804" w:type="dxa"/>
            <w:hideMark/>
          </w:tcPr>
          <w:p w14:paraId="4A7BE92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17,000</w:t>
            </w:r>
          </w:p>
        </w:tc>
        <w:tc>
          <w:tcPr>
            <w:tcW w:w="1439" w:type="dxa"/>
            <w:hideMark/>
          </w:tcPr>
          <w:p w14:paraId="0EABFA7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48,000</w:t>
            </w:r>
          </w:p>
        </w:tc>
        <w:tc>
          <w:tcPr>
            <w:tcW w:w="1864" w:type="dxa"/>
            <w:hideMark/>
          </w:tcPr>
          <w:p w14:paraId="76B4C780"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33,000</w:t>
            </w:r>
          </w:p>
        </w:tc>
      </w:tr>
    </w:tbl>
    <w:p w14:paraId="46D973B5" w14:textId="68CF2259" w:rsidR="00285D0C" w:rsidRDefault="00285D0C" w:rsidP="00285D0C">
      <w:pPr>
        <w:rPr>
          <w:lang w:eastAsia="en-IN"/>
        </w:rPr>
      </w:pPr>
      <w:r>
        <w:rPr>
          <w:noProof/>
        </w:rPr>
        <w:drawing>
          <wp:inline distT="0" distB="0" distL="0" distR="0" wp14:anchorId="6D65AEE2" wp14:editId="7602166E">
            <wp:extent cx="5646420" cy="3634740"/>
            <wp:effectExtent l="0" t="0" r="11430" b="3810"/>
            <wp:docPr id="593858697" name="Chart 1">
              <a:extLst xmlns:a="http://schemas.openxmlformats.org/drawingml/2006/main">
                <a:ext uri="{FF2B5EF4-FFF2-40B4-BE49-F238E27FC236}">
                  <a16:creationId xmlns:a16="http://schemas.microsoft.com/office/drawing/2014/main" id="{A3A73D6D-E0D3-19D4-DE6F-0A1E56F0C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88764" w14:textId="77777777" w:rsidR="00285D0C" w:rsidRPr="00285D0C" w:rsidRDefault="00285D0C" w:rsidP="00285D0C">
      <w:p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This table provides data on SEC (U.S. Securities and Exchange Commission) filings and registrations over the years 2020 to 2023. Here’s how to interpret each column:</w:t>
      </w:r>
    </w:p>
    <w:p w14:paraId="5AFEE36A" w14:textId="77777777" w:rsidR="00285D0C" w:rsidRPr="00285D0C" w:rsidRDefault="00285D0C" w:rsidP="00285D0C">
      <w:pPr>
        <w:pStyle w:val="ListParagraph"/>
        <w:numPr>
          <w:ilvl w:val="0"/>
          <w:numId w:val="20"/>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New Securities Registrations: This column indicates the number of new securities registrations filed with the SEC each year. A new securities registration is typically filed when a company plans to issue new securities to the public.</w:t>
      </w:r>
    </w:p>
    <w:p w14:paraId="7F673C69" w14:textId="77777777" w:rsidR="00285D0C" w:rsidRPr="00285D0C" w:rsidRDefault="00285D0C" w:rsidP="00285D0C">
      <w:pPr>
        <w:pStyle w:val="ListParagraph"/>
        <w:numPr>
          <w:ilvl w:val="0"/>
          <w:numId w:val="20"/>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10-K Filings: Form 10-K is an annual report that publicly traded companies in the U.S. submit to the SEC. It includes comprehensive details about the company's financial performance and is filed once a year.</w:t>
      </w:r>
    </w:p>
    <w:p w14:paraId="36857F5B" w14:textId="77777777" w:rsidR="00285D0C" w:rsidRPr="00285D0C" w:rsidRDefault="00285D0C" w:rsidP="00285D0C">
      <w:pPr>
        <w:pStyle w:val="ListParagraph"/>
        <w:numPr>
          <w:ilvl w:val="0"/>
          <w:numId w:val="20"/>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10-Q Filings: Form 10-Q is a quarterly report submitted by public companies to the SEC. It provides unaudited financial statements and a management discussion and analysis (MD&amp;A) of the company's financial condition.</w:t>
      </w:r>
    </w:p>
    <w:p w14:paraId="3A739F99" w14:textId="77777777" w:rsidR="00285D0C" w:rsidRPr="00285D0C" w:rsidRDefault="00285D0C" w:rsidP="00285D0C">
      <w:pPr>
        <w:pStyle w:val="ListParagraph"/>
        <w:numPr>
          <w:ilvl w:val="0"/>
          <w:numId w:val="20"/>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 xml:space="preserve">Form 8-K Filings: Form 8-K is filed by public companies to report significant events that shareholders should know about. These could include corporate </w:t>
      </w:r>
      <w:r w:rsidRPr="00285D0C">
        <w:rPr>
          <w:rFonts w:eastAsia="Times New Roman" w:cs="Times New Roman"/>
          <w:kern w:val="0"/>
          <w:sz w:val="24"/>
          <w:szCs w:val="24"/>
          <w:lang w:eastAsia="en-IN"/>
          <w14:ligatures w14:val="none"/>
        </w:rPr>
        <w:lastRenderedPageBreak/>
        <w:t>changes, acquisitions, financial results, etc. Unlike Form 10-K and Form 10-Q, Form 8-K can be filed at any time to disclose material events.</w:t>
      </w:r>
    </w:p>
    <w:p w14:paraId="00BE8CBF" w14:textId="77777777" w:rsidR="00285D0C" w:rsidRPr="00285D0C" w:rsidRDefault="00285D0C" w:rsidP="00285D0C">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Yearly Breakdown:</w:t>
      </w:r>
    </w:p>
    <w:p w14:paraId="292A3EE6" w14:textId="77777777" w:rsidR="00285D0C" w:rsidRPr="00285D0C" w:rsidRDefault="00285D0C" w:rsidP="00285D0C">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2020:</w:t>
      </w:r>
    </w:p>
    <w:p w14:paraId="54BBCA48" w14:textId="77777777" w:rsidR="00285D0C" w:rsidRPr="00285D0C" w:rsidRDefault="00285D0C" w:rsidP="00285D0C">
      <w:pPr>
        <w:pStyle w:val="ListParagraph"/>
        <w:numPr>
          <w:ilvl w:val="0"/>
          <w:numId w:val="16"/>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New Securities Registrations: 2,150</w:t>
      </w:r>
    </w:p>
    <w:p w14:paraId="434C117F" w14:textId="77777777" w:rsidR="00285D0C" w:rsidRPr="00285D0C" w:rsidRDefault="00285D0C" w:rsidP="00285D0C">
      <w:pPr>
        <w:pStyle w:val="ListParagraph"/>
        <w:numPr>
          <w:ilvl w:val="0"/>
          <w:numId w:val="16"/>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10-K Filings: 15,200</w:t>
      </w:r>
    </w:p>
    <w:p w14:paraId="5848157E" w14:textId="77777777" w:rsidR="00285D0C" w:rsidRPr="00285D0C" w:rsidRDefault="00285D0C" w:rsidP="00285D0C">
      <w:pPr>
        <w:pStyle w:val="ListParagraph"/>
        <w:numPr>
          <w:ilvl w:val="0"/>
          <w:numId w:val="16"/>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10-Q Filings: 43,500</w:t>
      </w:r>
    </w:p>
    <w:p w14:paraId="606D733D" w14:textId="77777777" w:rsidR="00285D0C" w:rsidRPr="00285D0C" w:rsidRDefault="00285D0C" w:rsidP="00285D0C">
      <w:pPr>
        <w:pStyle w:val="ListParagraph"/>
        <w:numPr>
          <w:ilvl w:val="0"/>
          <w:numId w:val="16"/>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8-K Filings: 28,400</w:t>
      </w:r>
    </w:p>
    <w:p w14:paraId="61EADDA6" w14:textId="77777777" w:rsidR="00285D0C" w:rsidRPr="00285D0C" w:rsidRDefault="00285D0C" w:rsidP="00285D0C">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2021:</w:t>
      </w:r>
    </w:p>
    <w:p w14:paraId="0A461821" w14:textId="77777777" w:rsidR="00285D0C" w:rsidRPr="00285D0C" w:rsidRDefault="00285D0C" w:rsidP="00285D0C">
      <w:pPr>
        <w:pStyle w:val="ListParagraph"/>
        <w:numPr>
          <w:ilvl w:val="0"/>
          <w:numId w:val="17"/>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New Securities Registrations: 2,300</w:t>
      </w:r>
    </w:p>
    <w:p w14:paraId="3E184FE7" w14:textId="77777777" w:rsidR="00285D0C" w:rsidRPr="00285D0C" w:rsidRDefault="00285D0C" w:rsidP="00285D0C">
      <w:pPr>
        <w:pStyle w:val="ListParagraph"/>
        <w:numPr>
          <w:ilvl w:val="0"/>
          <w:numId w:val="17"/>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10-K Filings: 16,000</w:t>
      </w:r>
    </w:p>
    <w:p w14:paraId="45BE274F" w14:textId="77777777" w:rsidR="00285D0C" w:rsidRPr="00285D0C" w:rsidRDefault="00285D0C" w:rsidP="00285D0C">
      <w:pPr>
        <w:pStyle w:val="ListParagraph"/>
        <w:numPr>
          <w:ilvl w:val="0"/>
          <w:numId w:val="17"/>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10-Q Filings: 45,000</w:t>
      </w:r>
    </w:p>
    <w:p w14:paraId="2AF6EC19" w14:textId="77777777" w:rsidR="00285D0C" w:rsidRPr="00285D0C" w:rsidRDefault="00285D0C" w:rsidP="00285D0C">
      <w:pPr>
        <w:pStyle w:val="ListParagraph"/>
        <w:numPr>
          <w:ilvl w:val="0"/>
          <w:numId w:val="17"/>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8-K Filings: 30,000</w:t>
      </w:r>
    </w:p>
    <w:p w14:paraId="5DCC5239" w14:textId="77777777" w:rsidR="00285D0C" w:rsidRPr="00285D0C" w:rsidRDefault="00285D0C" w:rsidP="00285D0C">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2022:</w:t>
      </w:r>
    </w:p>
    <w:p w14:paraId="027B3811" w14:textId="77777777" w:rsidR="00285D0C" w:rsidRPr="00285D0C" w:rsidRDefault="00285D0C" w:rsidP="00285D0C">
      <w:pPr>
        <w:pStyle w:val="ListParagraph"/>
        <w:numPr>
          <w:ilvl w:val="0"/>
          <w:numId w:val="18"/>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New Securities Registrations: 2,400</w:t>
      </w:r>
    </w:p>
    <w:p w14:paraId="4C22921B" w14:textId="77777777" w:rsidR="00285D0C" w:rsidRPr="00285D0C" w:rsidRDefault="00285D0C" w:rsidP="00285D0C">
      <w:pPr>
        <w:pStyle w:val="ListParagraph"/>
        <w:numPr>
          <w:ilvl w:val="0"/>
          <w:numId w:val="18"/>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10-K Filings: 16,500</w:t>
      </w:r>
    </w:p>
    <w:p w14:paraId="654BFCE9" w14:textId="77777777" w:rsidR="00285D0C" w:rsidRPr="00285D0C" w:rsidRDefault="00285D0C" w:rsidP="00285D0C">
      <w:pPr>
        <w:pStyle w:val="ListParagraph"/>
        <w:numPr>
          <w:ilvl w:val="0"/>
          <w:numId w:val="18"/>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10-Q Filings: 47,000</w:t>
      </w:r>
    </w:p>
    <w:p w14:paraId="2F326517" w14:textId="77777777" w:rsidR="00285D0C" w:rsidRPr="00285D0C" w:rsidRDefault="00285D0C" w:rsidP="00285D0C">
      <w:pPr>
        <w:pStyle w:val="ListParagraph"/>
        <w:numPr>
          <w:ilvl w:val="0"/>
          <w:numId w:val="18"/>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8-K Filings: 31,500</w:t>
      </w:r>
    </w:p>
    <w:p w14:paraId="3B5CF328" w14:textId="225CEC46" w:rsidR="00285D0C" w:rsidRPr="00285D0C" w:rsidRDefault="00285D0C" w:rsidP="00DE55DC">
      <w:pPr>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2023 (Projected):</w:t>
      </w:r>
    </w:p>
    <w:p w14:paraId="77E90A2A" w14:textId="77777777" w:rsidR="00285D0C" w:rsidRPr="00285D0C" w:rsidRDefault="00285D0C" w:rsidP="00285D0C">
      <w:pPr>
        <w:pStyle w:val="ListParagraph"/>
        <w:numPr>
          <w:ilvl w:val="0"/>
          <w:numId w:val="19"/>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New Securities Registrations: 2,500</w:t>
      </w:r>
    </w:p>
    <w:p w14:paraId="4237D5C8" w14:textId="77777777" w:rsidR="00285D0C" w:rsidRPr="00285D0C" w:rsidRDefault="00285D0C" w:rsidP="00285D0C">
      <w:pPr>
        <w:pStyle w:val="ListParagraph"/>
        <w:numPr>
          <w:ilvl w:val="0"/>
          <w:numId w:val="19"/>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10-K Filings: 17,000</w:t>
      </w:r>
    </w:p>
    <w:p w14:paraId="7311427A" w14:textId="77777777" w:rsidR="00285D0C" w:rsidRPr="00285D0C" w:rsidRDefault="00285D0C" w:rsidP="00285D0C">
      <w:pPr>
        <w:pStyle w:val="ListParagraph"/>
        <w:numPr>
          <w:ilvl w:val="0"/>
          <w:numId w:val="19"/>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10-Q Filings: 48,000</w:t>
      </w:r>
    </w:p>
    <w:p w14:paraId="783046F1" w14:textId="77777777" w:rsidR="00285D0C" w:rsidRPr="00285D0C" w:rsidRDefault="00285D0C" w:rsidP="00285D0C">
      <w:pPr>
        <w:pStyle w:val="ListParagraph"/>
        <w:numPr>
          <w:ilvl w:val="0"/>
          <w:numId w:val="19"/>
        </w:num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Form 8-K Filings: 33,000</w:t>
      </w:r>
    </w:p>
    <w:p w14:paraId="6F1E78DE" w14:textId="77777777" w:rsidR="00285D0C" w:rsidRPr="00285D0C" w:rsidRDefault="00285D0C" w:rsidP="00285D0C">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5D0C">
        <w:rPr>
          <w:rFonts w:eastAsia="Times New Roman" w:cs="Times New Roman"/>
          <w:b/>
          <w:bCs/>
          <w:kern w:val="0"/>
          <w:sz w:val="24"/>
          <w:szCs w:val="24"/>
          <w:lang w:eastAsia="en-IN"/>
          <w14:ligatures w14:val="none"/>
        </w:rPr>
        <w:t>Analysis:</w:t>
      </w:r>
    </w:p>
    <w:p w14:paraId="7F0FDD72" w14:textId="77777777" w:rsidR="00285D0C" w:rsidRPr="00285D0C" w:rsidRDefault="00285D0C" w:rsidP="00285D0C">
      <w:p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Trends: Generally, there is an increase in the number of filings across all categories from 2020 to the projected figures for 2023. This suggests growth in the number of securities being registered, more detailed reporting (as seen in 10-K and 10-Q filings), and an increasing number of significant events being reported (8-K filings).</w:t>
      </w:r>
    </w:p>
    <w:p w14:paraId="1EAF67E9" w14:textId="77777777" w:rsidR="00285D0C" w:rsidRPr="00285D0C" w:rsidRDefault="00285D0C" w:rsidP="00285D0C">
      <w:p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Significance: The increase in filings indicates a potentially expanding market or regulatory environment where companies are either issuing more securities, disclosing more information, or experiencing more significant events requiring disclosure.</w:t>
      </w:r>
    </w:p>
    <w:p w14:paraId="4A32151C" w14:textId="77777777" w:rsidR="00285D0C" w:rsidRPr="00285D0C" w:rsidRDefault="00285D0C" w:rsidP="00285D0C">
      <w:p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t>Projection: The projections for 2023 show a continuation of these trends, with modest increases expected across all filing types compared to 2022.</w:t>
      </w:r>
    </w:p>
    <w:p w14:paraId="7E60A73D" w14:textId="77777777" w:rsidR="00285D0C" w:rsidRPr="00285D0C" w:rsidRDefault="00285D0C" w:rsidP="00285D0C">
      <w:pPr>
        <w:spacing w:before="100" w:beforeAutospacing="1" w:after="100" w:afterAutospacing="1" w:line="240" w:lineRule="auto"/>
        <w:outlineLvl w:val="2"/>
        <w:rPr>
          <w:rFonts w:eastAsia="Times New Roman" w:cs="Times New Roman"/>
          <w:kern w:val="0"/>
          <w:sz w:val="24"/>
          <w:szCs w:val="24"/>
          <w:lang w:eastAsia="en-IN"/>
          <w14:ligatures w14:val="none"/>
        </w:rPr>
      </w:pPr>
      <w:r w:rsidRPr="00285D0C">
        <w:rPr>
          <w:rFonts w:eastAsia="Times New Roman" w:cs="Times New Roman"/>
          <w:kern w:val="0"/>
          <w:sz w:val="24"/>
          <w:szCs w:val="24"/>
          <w:lang w:eastAsia="en-IN"/>
          <w14:ligatures w14:val="none"/>
        </w:rPr>
        <w:lastRenderedPageBreak/>
        <w:t>In summary, this table provides a snapshot of the regulatory filings made by U.S. companies with the SEC over the specified years, reflecting trends in securities registrations and disclosure requirements.</w:t>
      </w:r>
    </w:p>
    <w:p w14:paraId="150BABF1" w14:textId="77777777" w:rsidR="00285D0C" w:rsidRPr="00285D0C" w:rsidRDefault="00285D0C" w:rsidP="00285D0C">
      <w:pPr>
        <w:pStyle w:val="Heading2"/>
        <w:rPr>
          <w:rFonts w:eastAsia="Times New Roman"/>
          <w:lang w:eastAsia="en-IN"/>
        </w:rPr>
      </w:pPr>
      <w:r w:rsidRPr="00285D0C">
        <w:rPr>
          <w:rFonts w:eastAsia="Times New Roman"/>
          <w:lang w:eastAsia="en-IN"/>
        </w:rPr>
        <w:t>SEC Whistleblower Program Statistics (2019-2023)</w:t>
      </w:r>
    </w:p>
    <w:tbl>
      <w:tblPr>
        <w:tblStyle w:val="TableGrid"/>
        <w:tblW w:w="9100" w:type="dxa"/>
        <w:tblLook w:val="04A0" w:firstRow="1" w:lastRow="0" w:firstColumn="1" w:lastColumn="0" w:noHBand="0" w:noVBand="1"/>
      </w:tblPr>
      <w:tblGrid>
        <w:gridCol w:w="1198"/>
        <w:gridCol w:w="1909"/>
        <w:gridCol w:w="1607"/>
        <w:gridCol w:w="2785"/>
        <w:gridCol w:w="1601"/>
      </w:tblGrid>
      <w:tr w:rsidR="00285D0C" w:rsidRPr="00285D0C" w14:paraId="268FD801" w14:textId="77777777" w:rsidTr="00285D0C">
        <w:trPr>
          <w:trHeight w:val="812"/>
        </w:trPr>
        <w:tc>
          <w:tcPr>
            <w:tcW w:w="1198" w:type="dxa"/>
            <w:hideMark/>
          </w:tcPr>
          <w:p w14:paraId="358667DD"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Year</w:t>
            </w:r>
          </w:p>
        </w:tc>
        <w:tc>
          <w:tcPr>
            <w:tcW w:w="1909" w:type="dxa"/>
            <w:hideMark/>
          </w:tcPr>
          <w:p w14:paraId="004B6621"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Tips Received</w:t>
            </w:r>
          </w:p>
        </w:tc>
        <w:tc>
          <w:tcPr>
            <w:tcW w:w="1607" w:type="dxa"/>
            <w:hideMark/>
          </w:tcPr>
          <w:p w14:paraId="6799A620"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Total Awards ($)</w:t>
            </w:r>
          </w:p>
        </w:tc>
        <w:tc>
          <w:tcPr>
            <w:tcW w:w="2785" w:type="dxa"/>
            <w:hideMark/>
          </w:tcPr>
          <w:p w14:paraId="0C8704ED"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Whistleblower Awards Granted</w:t>
            </w:r>
          </w:p>
        </w:tc>
        <w:tc>
          <w:tcPr>
            <w:tcW w:w="1601" w:type="dxa"/>
            <w:hideMark/>
          </w:tcPr>
          <w:p w14:paraId="32D4BE28"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Largest Award ($)</w:t>
            </w:r>
          </w:p>
        </w:tc>
      </w:tr>
      <w:tr w:rsidR="00285D0C" w:rsidRPr="00285D0C" w14:paraId="204A8C49" w14:textId="77777777" w:rsidTr="00285D0C">
        <w:trPr>
          <w:trHeight w:val="270"/>
        </w:trPr>
        <w:tc>
          <w:tcPr>
            <w:tcW w:w="1198" w:type="dxa"/>
            <w:hideMark/>
          </w:tcPr>
          <w:p w14:paraId="775E5F2C"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2019</w:t>
            </w:r>
          </w:p>
        </w:tc>
        <w:tc>
          <w:tcPr>
            <w:tcW w:w="1909" w:type="dxa"/>
            <w:hideMark/>
          </w:tcPr>
          <w:p w14:paraId="7A761FC1"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5,212</w:t>
            </w:r>
          </w:p>
        </w:tc>
        <w:tc>
          <w:tcPr>
            <w:tcW w:w="1607" w:type="dxa"/>
            <w:hideMark/>
          </w:tcPr>
          <w:p w14:paraId="20AD2A39"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$57 million</w:t>
            </w:r>
          </w:p>
        </w:tc>
        <w:tc>
          <w:tcPr>
            <w:tcW w:w="2785" w:type="dxa"/>
            <w:hideMark/>
          </w:tcPr>
          <w:p w14:paraId="2E3990F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207</w:t>
            </w:r>
          </w:p>
        </w:tc>
        <w:tc>
          <w:tcPr>
            <w:tcW w:w="1601" w:type="dxa"/>
            <w:hideMark/>
          </w:tcPr>
          <w:p w14:paraId="717B3FC6"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$50 million</w:t>
            </w:r>
          </w:p>
        </w:tc>
      </w:tr>
      <w:tr w:rsidR="00285D0C" w:rsidRPr="00285D0C" w14:paraId="5F625F9A" w14:textId="77777777" w:rsidTr="00285D0C">
        <w:trPr>
          <w:trHeight w:val="270"/>
        </w:trPr>
        <w:tc>
          <w:tcPr>
            <w:tcW w:w="1198" w:type="dxa"/>
            <w:hideMark/>
          </w:tcPr>
          <w:p w14:paraId="66F4A20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2020</w:t>
            </w:r>
          </w:p>
        </w:tc>
        <w:tc>
          <w:tcPr>
            <w:tcW w:w="1909" w:type="dxa"/>
            <w:hideMark/>
          </w:tcPr>
          <w:p w14:paraId="51F8309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6,911</w:t>
            </w:r>
          </w:p>
        </w:tc>
        <w:tc>
          <w:tcPr>
            <w:tcW w:w="1607" w:type="dxa"/>
            <w:hideMark/>
          </w:tcPr>
          <w:p w14:paraId="396D1973"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$175 million</w:t>
            </w:r>
          </w:p>
        </w:tc>
        <w:tc>
          <w:tcPr>
            <w:tcW w:w="2785" w:type="dxa"/>
            <w:hideMark/>
          </w:tcPr>
          <w:p w14:paraId="29762FA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238</w:t>
            </w:r>
          </w:p>
        </w:tc>
        <w:tc>
          <w:tcPr>
            <w:tcW w:w="1601" w:type="dxa"/>
            <w:hideMark/>
          </w:tcPr>
          <w:p w14:paraId="360E5868"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$50 million</w:t>
            </w:r>
          </w:p>
        </w:tc>
      </w:tr>
      <w:tr w:rsidR="00285D0C" w:rsidRPr="00285D0C" w14:paraId="088F0653" w14:textId="77777777" w:rsidTr="00285D0C">
        <w:trPr>
          <w:trHeight w:val="270"/>
        </w:trPr>
        <w:tc>
          <w:tcPr>
            <w:tcW w:w="1198" w:type="dxa"/>
            <w:hideMark/>
          </w:tcPr>
          <w:p w14:paraId="5BFA7E4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2021</w:t>
            </w:r>
          </w:p>
        </w:tc>
        <w:tc>
          <w:tcPr>
            <w:tcW w:w="1909" w:type="dxa"/>
            <w:hideMark/>
          </w:tcPr>
          <w:p w14:paraId="33CB096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7,456</w:t>
            </w:r>
          </w:p>
        </w:tc>
        <w:tc>
          <w:tcPr>
            <w:tcW w:w="1607" w:type="dxa"/>
            <w:hideMark/>
          </w:tcPr>
          <w:p w14:paraId="0F34F403"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$270 million</w:t>
            </w:r>
          </w:p>
        </w:tc>
        <w:tc>
          <w:tcPr>
            <w:tcW w:w="2785" w:type="dxa"/>
            <w:hideMark/>
          </w:tcPr>
          <w:p w14:paraId="7D81DC0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243</w:t>
            </w:r>
          </w:p>
        </w:tc>
        <w:tc>
          <w:tcPr>
            <w:tcW w:w="1601" w:type="dxa"/>
            <w:hideMark/>
          </w:tcPr>
          <w:p w14:paraId="79E2B036"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$114 million</w:t>
            </w:r>
          </w:p>
        </w:tc>
      </w:tr>
      <w:tr w:rsidR="00285D0C" w:rsidRPr="00285D0C" w14:paraId="3FE5B5DE" w14:textId="77777777" w:rsidTr="00285D0C">
        <w:trPr>
          <w:trHeight w:val="270"/>
        </w:trPr>
        <w:tc>
          <w:tcPr>
            <w:tcW w:w="1198" w:type="dxa"/>
            <w:hideMark/>
          </w:tcPr>
          <w:p w14:paraId="71F2579F"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2022</w:t>
            </w:r>
          </w:p>
        </w:tc>
        <w:tc>
          <w:tcPr>
            <w:tcW w:w="1909" w:type="dxa"/>
            <w:hideMark/>
          </w:tcPr>
          <w:p w14:paraId="791854D0"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8,102</w:t>
            </w:r>
          </w:p>
        </w:tc>
        <w:tc>
          <w:tcPr>
            <w:tcW w:w="1607" w:type="dxa"/>
            <w:hideMark/>
          </w:tcPr>
          <w:p w14:paraId="357A98B0"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$320 million</w:t>
            </w:r>
          </w:p>
        </w:tc>
        <w:tc>
          <w:tcPr>
            <w:tcW w:w="2785" w:type="dxa"/>
            <w:hideMark/>
          </w:tcPr>
          <w:p w14:paraId="3B406BC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250</w:t>
            </w:r>
          </w:p>
        </w:tc>
        <w:tc>
          <w:tcPr>
            <w:tcW w:w="1601" w:type="dxa"/>
            <w:hideMark/>
          </w:tcPr>
          <w:p w14:paraId="3173BB50"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$110 million</w:t>
            </w:r>
          </w:p>
        </w:tc>
      </w:tr>
      <w:tr w:rsidR="00285D0C" w:rsidRPr="00285D0C" w14:paraId="1BB96AC1" w14:textId="77777777" w:rsidTr="00285D0C">
        <w:trPr>
          <w:trHeight w:val="542"/>
        </w:trPr>
        <w:tc>
          <w:tcPr>
            <w:tcW w:w="1198" w:type="dxa"/>
            <w:hideMark/>
          </w:tcPr>
          <w:p w14:paraId="6A7EDC4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2023</w:t>
            </w:r>
          </w:p>
        </w:tc>
        <w:tc>
          <w:tcPr>
            <w:tcW w:w="1909" w:type="dxa"/>
            <w:hideMark/>
          </w:tcPr>
          <w:p w14:paraId="1FD4F5A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8,750</w:t>
            </w:r>
          </w:p>
        </w:tc>
        <w:tc>
          <w:tcPr>
            <w:tcW w:w="1607" w:type="dxa"/>
            <w:hideMark/>
          </w:tcPr>
          <w:p w14:paraId="47E085B8"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 xml:space="preserve">$350 million </w:t>
            </w:r>
          </w:p>
        </w:tc>
        <w:tc>
          <w:tcPr>
            <w:tcW w:w="2785" w:type="dxa"/>
            <w:hideMark/>
          </w:tcPr>
          <w:p w14:paraId="0B76C85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260</w:t>
            </w:r>
          </w:p>
        </w:tc>
        <w:tc>
          <w:tcPr>
            <w:tcW w:w="1601" w:type="dxa"/>
            <w:hideMark/>
          </w:tcPr>
          <w:p w14:paraId="66EFE1E1" w14:textId="77777777" w:rsidR="00285D0C" w:rsidRPr="00285D0C" w:rsidRDefault="00285D0C" w:rsidP="00285D0C">
            <w:pPr>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 xml:space="preserve">$120 million </w:t>
            </w:r>
          </w:p>
        </w:tc>
      </w:tr>
    </w:tbl>
    <w:p w14:paraId="68D6F6E7" w14:textId="70B5909B" w:rsidR="00285D0C" w:rsidRPr="00285D0C" w:rsidRDefault="00285D0C" w:rsidP="00285D0C">
      <w:pPr>
        <w:rPr>
          <w:sz w:val="24"/>
          <w:szCs w:val="24"/>
          <w:lang w:eastAsia="en-IN"/>
        </w:rPr>
      </w:pPr>
      <w:r w:rsidRPr="00285D0C">
        <w:rPr>
          <w:sz w:val="24"/>
          <w:szCs w:val="24"/>
          <w:lang w:eastAsia="en-IN"/>
        </w:rPr>
        <w:t>I</w:t>
      </w:r>
      <w:r w:rsidRPr="00285D0C">
        <w:rPr>
          <w:sz w:val="24"/>
          <w:szCs w:val="24"/>
          <w:lang w:eastAsia="en-IN"/>
        </w:rPr>
        <w:t>nterpretation of the SEC Whistleblower Program statistics:</w:t>
      </w:r>
    </w:p>
    <w:p w14:paraId="19CAE8DE" w14:textId="77777777" w:rsidR="00285D0C" w:rsidRPr="00285D0C" w:rsidRDefault="00285D0C" w:rsidP="00285D0C">
      <w:pPr>
        <w:rPr>
          <w:sz w:val="24"/>
          <w:szCs w:val="24"/>
          <w:lang w:eastAsia="en-IN"/>
        </w:rPr>
      </w:pPr>
      <w:r w:rsidRPr="00285D0C">
        <w:rPr>
          <w:b/>
          <w:bCs/>
          <w:sz w:val="24"/>
          <w:szCs w:val="24"/>
          <w:lang w:eastAsia="en-IN"/>
        </w:rPr>
        <w:t>Tips Received</w:t>
      </w:r>
      <w:r w:rsidRPr="00285D0C">
        <w:rPr>
          <w:sz w:val="24"/>
          <w:szCs w:val="24"/>
          <w:lang w:eastAsia="en-IN"/>
        </w:rPr>
        <w:t>: The number of whistleblower tips reported to the SEC has steadily increased each year, from 5,212 in 2019 to a projected 8,750 in 2023.</w:t>
      </w:r>
    </w:p>
    <w:p w14:paraId="1854442C" w14:textId="77777777" w:rsidR="00285D0C" w:rsidRPr="00285D0C" w:rsidRDefault="00285D0C" w:rsidP="00285D0C">
      <w:pPr>
        <w:rPr>
          <w:sz w:val="24"/>
          <w:szCs w:val="24"/>
          <w:lang w:eastAsia="en-IN"/>
        </w:rPr>
      </w:pPr>
      <w:r w:rsidRPr="00285D0C">
        <w:rPr>
          <w:b/>
          <w:bCs/>
          <w:sz w:val="24"/>
          <w:szCs w:val="24"/>
          <w:lang w:eastAsia="en-IN"/>
        </w:rPr>
        <w:t>Total Awards</w:t>
      </w:r>
      <w:r w:rsidRPr="00285D0C">
        <w:rPr>
          <w:sz w:val="24"/>
          <w:szCs w:val="24"/>
          <w:lang w:eastAsia="en-IN"/>
        </w:rPr>
        <w:t>: Monetary awards granted to whistleblowers have risen significantly, from $57 million in 2019 to a projected $350 million in 2023, indicating successful enforcement actions resulting in substantial fines.</w:t>
      </w:r>
    </w:p>
    <w:p w14:paraId="73C8164F" w14:textId="77777777" w:rsidR="00285D0C" w:rsidRPr="00285D0C" w:rsidRDefault="00285D0C" w:rsidP="00285D0C">
      <w:pPr>
        <w:rPr>
          <w:sz w:val="24"/>
          <w:szCs w:val="24"/>
          <w:lang w:eastAsia="en-IN"/>
        </w:rPr>
      </w:pPr>
      <w:r w:rsidRPr="00285D0C">
        <w:rPr>
          <w:b/>
          <w:bCs/>
          <w:sz w:val="24"/>
          <w:szCs w:val="24"/>
          <w:lang w:eastAsia="en-IN"/>
        </w:rPr>
        <w:t>Number of Awards Granted</w:t>
      </w:r>
      <w:r w:rsidRPr="00285D0C">
        <w:rPr>
          <w:sz w:val="24"/>
          <w:szCs w:val="24"/>
          <w:lang w:eastAsia="en-IN"/>
        </w:rPr>
        <w:t>: The SEC has granted more whistleblower awards over time, from 207 in 2019 to a projected 260 in 2023, showing the program's effectiveness in incentivizing and rewarding valuable information.</w:t>
      </w:r>
    </w:p>
    <w:p w14:paraId="5E0CDC18" w14:textId="77777777" w:rsidR="00285D0C" w:rsidRPr="00285D0C" w:rsidRDefault="00285D0C" w:rsidP="00285D0C">
      <w:pPr>
        <w:rPr>
          <w:sz w:val="24"/>
          <w:szCs w:val="24"/>
          <w:lang w:eastAsia="en-IN"/>
        </w:rPr>
      </w:pPr>
      <w:r w:rsidRPr="00285D0C">
        <w:rPr>
          <w:b/>
          <w:bCs/>
          <w:sz w:val="24"/>
          <w:szCs w:val="24"/>
          <w:lang w:eastAsia="en-IN"/>
        </w:rPr>
        <w:t>Largest Award</w:t>
      </w:r>
      <w:r w:rsidRPr="00285D0C">
        <w:rPr>
          <w:sz w:val="24"/>
          <w:szCs w:val="24"/>
          <w:lang w:eastAsia="en-IN"/>
        </w:rPr>
        <w:t>: The largest individual award varied but peaked at $114 million in 2021, demonstrating the potential for significant financial incentives under the program.</w:t>
      </w:r>
    </w:p>
    <w:p w14:paraId="2E646740" w14:textId="77777777" w:rsidR="00285D0C" w:rsidRPr="00285D0C" w:rsidRDefault="00285D0C" w:rsidP="00285D0C">
      <w:pPr>
        <w:rPr>
          <w:sz w:val="24"/>
          <w:szCs w:val="24"/>
          <w:lang w:eastAsia="en-IN"/>
        </w:rPr>
      </w:pPr>
      <w:r w:rsidRPr="00285D0C">
        <w:rPr>
          <w:sz w:val="24"/>
          <w:szCs w:val="24"/>
          <w:lang w:eastAsia="en-IN"/>
        </w:rPr>
        <w:t>These trends illustrate a growing engagement with the SEC Whistleblower Program, resulting in increased disclosures and successful enforcement actions against securities violations.</w:t>
      </w:r>
    </w:p>
    <w:p w14:paraId="0CC9D5BD" w14:textId="77777777" w:rsidR="00285D0C" w:rsidRPr="00285D0C" w:rsidRDefault="00285D0C" w:rsidP="00285D0C">
      <w:pPr>
        <w:pStyle w:val="Heading2"/>
        <w:rPr>
          <w:rFonts w:eastAsia="Times New Roman"/>
          <w:lang w:eastAsia="en-IN"/>
        </w:rPr>
      </w:pPr>
      <w:r w:rsidRPr="00285D0C">
        <w:rPr>
          <w:rFonts w:eastAsia="Times New Roman"/>
          <w:lang w:eastAsia="en-IN"/>
        </w:rPr>
        <w:t>SEC Investor Education and Assistance (2020-2023)</w:t>
      </w:r>
    </w:p>
    <w:tbl>
      <w:tblPr>
        <w:tblStyle w:val="TableGrid"/>
        <w:tblW w:w="8838" w:type="dxa"/>
        <w:tblLook w:val="04A0" w:firstRow="1" w:lastRow="0" w:firstColumn="1" w:lastColumn="0" w:noHBand="0" w:noVBand="1"/>
      </w:tblPr>
      <w:tblGrid>
        <w:gridCol w:w="1065"/>
        <w:gridCol w:w="2049"/>
        <w:gridCol w:w="1826"/>
        <w:gridCol w:w="2183"/>
        <w:gridCol w:w="1715"/>
      </w:tblGrid>
      <w:tr w:rsidR="00285D0C" w:rsidRPr="00285D0C" w14:paraId="5C64B18A" w14:textId="77777777" w:rsidTr="00285D0C">
        <w:trPr>
          <w:trHeight w:val="1243"/>
        </w:trPr>
        <w:tc>
          <w:tcPr>
            <w:tcW w:w="1065" w:type="dxa"/>
            <w:hideMark/>
          </w:tcPr>
          <w:p w14:paraId="388E5879"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Year</w:t>
            </w:r>
          </w:p>
        </w:tc>
        <w:tc>
          <w:tcPr>
            <w:tcW w:w="2049" w:type="dxa"/>
            <w:hideMark/>
          </w:tcPr>
          <w:p w14:paraId="47E4F7EB"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Investor Complaints Filed</w:t>
            </w:r>
          </w:p>
        </w:tc>
        <w:tc>
          <w:tcPr>
            <w:tcW w:w="1826" w:type="dxa"/>
            <w:hideMark/>
          </w:tcPr>
          <w:p w14:paraId="3607C3AB"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Investor Education Programs</w:t>
            </w:r>
          </w:p>
        </w:tc>
        <w:tc>
          <w:tcPr>
            <w:tcW w:w="2183" w:type="dxa"/>
            <w:hideMark/>
          </w:tcPr>
          <w:p w14:paraId="62EA5408"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Publications Issued</w:t>
            </w:r>
          </w:p>
        </w:tc>
        <w:tc>
          <w:tcPr>
            <w:tcW w:w="1715" w:type="dxa"/>
            <w:hideMark/>
          </w:tcPr>
          <w:p w14:paraId="52A699BC" w14:textId="77777777" w:rsidR="00285D0C" w:rsidRPr="00285D0C" w:rsidRDefault="00285D0C" w:rsidP="00285D0C">
            <w:pPr>
              <w:jc w:val="center"/>
              <w:rPr>
                <w:rFonts w:ascii="Aptos Narrow" w:eastAsia="Times New Roman" w:hAnsi="Aptos Narrow" w:cs="Times New Roman"/>
                <w:b/>
                <w:bCs/>
                <w:color w:val="000000"/>
                <w:kern w:val="0"/>
                <w:sz w:val="24"/>
                <w:szCs w:val="24"/>
                <w:lang w:eastAsia="en-IN"/>
                <w14:ligatures w14:val="none"/>
              </w:rPr>
            </w:pPr>
            <w:r w:rsidRPr="00285D0C">
              <w:rPr>
                <w:rFonts w:ascii="Aptos Narrow" w:eastAsia="Times New Roman" w:hAnsi="Aptos Narrow" w:cs="Times New Roman"/>
                <w:b/>
                <w:bCs/>
                <w:color w:val="000000"/>
                <w:kern w:val="0"/>
                <w:sz w:val="24"/>
                <w:szCs w:val="24"/>
                <w:lang w:eastAsia="en-IN"/>
                <w14:ligatures w14:val="none"/>
              </w:rPr>
              <w:t>Number of Outreach Events</w:t>
            </w:r>
          </w:p>
        </w:tc>
      </w:tr>
      <w:tr w:rsidR="00285D0C" w:rsidRPr="00285D0C" w14:paraId="2E1E0CD9" w14:textId="77777777" w:rsidTr="00285D0C">
        <w:trPr>
          <w:trHeight w:val="206"/>
        </w:trPr>
        <w:tc>
          <w:tcPr>
            <w:tcW w:w="1065" w:type="dxa"/>
            <w:hideMark/>
          </w:tcPr>
          <w:p w14:paraId="1DFBD8B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2020</w:t>
            </w:r>
          </w:p>
        </w:tc>
        <w:tc>
          <w:tcPr>
            <w:tcW w:w="2049" w:type="dxa"/>
            <w:hideMark/>
          </w:tcPr>
          <w:p w14:paraId="61B5DFA9"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10,500</w:t>
            </w:r>
          </w:p>
        </w:tc>
        <w:tc>
          <w:tcPr>
            <w:tcW w:w="1826" w:type="dxa"/>
            <w:hideMark/>
          </w:tcPr>
          <w:p w14:paraId="195247E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500</w:t>
            </w:r>
          </w:p>
        </w:tc>
        <w:tc>
          <w:tcPr>
            <w:tcW w:w="2183" w:type="dxa"/>
            <w:hideMark/>
          </w:tcPr>
          <w:p w14:paraId="049D969B"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300</w:t>
            </w:r>
          </w:p>
        </w:tc>
        <w:tc>
          <w:tcPr>
            <w:tcW w:w="1715" w:type="dxa"/>
            <w:hideMark/>
          </w:tcPr>
          <w:p w14:paraId="2CA76D6F"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1,200</w:t>
            </w:r>
          </w:p>
        </w:tc>
      </w:tr>
      <w:tr w:rsidR="00285D0C" w:rsidRPr="00285D0C" w14:paraId="36C7E834" w14:textId="77777777" w:rsidTr="00285D0C">
        <w:trPr>
          <w:trHeight w:val="206"/>
        </w:trPr>
        <w:tc>
          <w:tcPr>
            <w:tcW w:w="1065" w:type="dxa"/>
            <w:hideMark/>
          </w:tcPr>
          <w:p w14:paraId="51DFAC49"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2021</w:t>
            </w:r>
          </w:p>
        </w:tc>
        <w:tc>
          <w:tcPr>
            <w:tcW w:w="2049" w:type="dxa"/>
            <w:hideMark/>
          </w:tcPr>
          <w:p w14:paraId="0CE142FD"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11,200</w:t>
            </w:r>
          </w:p>
        </w:tc>
        <w:tc>
          <w:tcPr>
            <w:tcW w:w="1826" w:type="dxa"/>
            <w:hideMark/>
          </w:tcPr>
          <w:p w14:paraId="38D3AEE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550</w:t>
            </w:r>
          </w:p>
        </w:tc>
        <w:tc>
          <w:tcPr>
            <w:tcW w:w="2183" w:type="dxa"/>
            <w:hideMark/>
          </w:tcPr>
          <w:p w14:paraId="2BEA1A0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320</w:t>
            </w:r>
          </w:p>
        </w:tc>
        <w:tc>
          <w:tcPr>
            <w:tcW w:w="1715" w:type="dxa"/>
            <w:hideMark/>
          </w:tcPr>
          <w:p w14:paraId="4EF56246"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1,300</w:t>
            </w:r>
          </w:p>
        </w:tc>
      </w:tr>
      <w:tr w:rsidR="00285D0C" w:rsidRPr="00285D0C" w14:paraId="216BD55F" w14:textId="77777777" w:rsidTr="00285D0C">
        <w:trPr>
          <w:trHeight w:val="206"/>
        </w:trPr>
        <w:tc>
          <w:tcPr>
            <w:tcW w:w="1065" w:type="dxa"/>
            <w:hideMark/>
          </w:tcPr>
          <w:p w14:paraId="2E23E563"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2022</w:t>
            </w:r>
          </w:p>
        </w:tc>
        <w:tc>
          <w:tcPr>
            <w:tcW w:w="2049" w:type="dxa"/>
            <w:hideMark/>
          </w:tcPr>
          <w:p w14:paraId="3223E048"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11,800</w:t>
            </w:r>
          </w:p>
        </w:tc>
        <w:tc>
          <w:tcPr>
            <w:tcW w:w="1826" w:type="dxa"/>
            <w:hideMark/>
          </w:tcPr>
          <w:p w14:paraId="255FF16A"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600</w:t>
            </w:r>
          </w:p>
        </w:tc>
        <w:tc>
          <w:tcPr>
            <w:tcW w:w="2183" w:type="dxa"/>
            <w:hideMark/>
          </w:tcPr>
          <w:p w14:paraId="6CBD3F61"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340</w:t>
            </w:r>
          </w:p>
        </w:tc>
        <w:tc>
          <w:tcPr>
            <w:tcW w:w="1715" w:type="dxa"/>
            <w:hideMark/>
          </w:tcPr>
          <w:p w14:paraId="33355E35"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1,400</w:t>
            </w:r>
          </w:p>
        </w:tc>
      </w:tr>
      <w:tr w:rsidR="00285D0C" w:rsidRPr="00285D0C" w14:paraId="20BB5A71" w14:textId="77777777" w:rsidTr="00285D0C">
        <w:trPr>
          <w:trHeight w:val="620"/>
        </w:trPr>
        <w:tc>
          <w:tcPr>
            <w:tcW w:w="1065" w:type="dxa"/>
            <w:hideMark/>
          </w:tcPr>
          <w:p w14:paraId="40E5673E"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2023</w:t>
            </w:r>
          </w:p>
        </w:tc>
        <w:tc>
          <w:tcPr>
            <w:tcW w:w="2049" w:type="dxa"/>
            <w:hideMark/>
          </w:tcPr>
          <w:p w14:paraId="3BB6852C"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12,500</w:t>
            </w:r>
          </w:p>
        </w:tc>
        <w:tc>
          <w:tcPr>
            <w:tcW w:w="1826" w:type="dxa"/>
            <w:hideMark/>
          </w:tcPr>
          <w:p w14:paraId="641FC60B"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650</w:t>
            </w:r>
          </w:p>
        </w:tc>
        <w:tc>
          <w:tcPr>
            <w:tcW w:w="2183" w:type="dxa"/>
            <w:hideMark/>
          </w:tcPr>
          <w:p w14:paraId="31FD84C4"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360</w:t>
            </w:r>
          </w:p>
        </w:tc>
        <w:tc>
          <w:tcPr>
            <w:tcW w:w="1715" w:type="dxa"/>
            <w:hideMark/>
          </w:tcPr>
          <w:p w14:paraId="65DB14D7" w14:textId="77777777" w:rsidR="00285D0C" w:rsidRPr="00285D0C" w:rsidRDefault="00285D0C" w:rsidP="00285D0C">
            <w:pPr>
              <w:jc w:val="right"/>
              <w:rPr>
                <w:rFonts w:ascii="Aptos Narrow" w:eastAsia="Times New Roman" w:hAnsi="Aptos Narrow" w:cs="Times New Roman"/>
                <w:color w:val="000000"/>
                <w:kern w:val="0"/>
                <w:sz w:val="24"/>
                <w:szCs w:val="24"/>
                <w:lang w:eastAsia="en-IN"/>
                <w14:ligatures w14:val="none"/>
              </w:rPr>
            </w:pPr>
            <w:r w:rsidRPr="00285D0C">
              <w:rPr>
                <w:rFonts w:ascii="Aptos Narrow" w:eastAsia="Times New Roman" w:hAnsi="Aptos Narrow" w:cs="Times New Roman"/>
                <w:color w:val="000000"/>
                <w:kern w:val="0"/>
                <w:sz w:val="24"/>
                <w:szCs w:val="24"/>
                <w:lang w:eastAsia="en-IN"/>
                <w14:ligatures w14:val="none"/>
              </w:rPr>
              <w:t>1,500</w:t>
            </w:r>
          </w:p>
        </w:tc>
      </w:tr>
    </w:tbl>
    <w:p w14:paraId="5105DDDF" w14:textId="77777777" w:rsidR="00285D0C" w:rsidRDefault="00285D0C" w:rsidP="00285D0C">
      <w:pPr>
        <w:rPr>
          <w:lang w:eastAsia="en-IN"/>
        </w:rPr>
      </w:pPr>
    </w:p>
    <w:p w14:paraId="4C72816E" w14:textId="73ABF4D0" w:rsidR="00285D0C" w:rsidRPr="00285D0C" w:rsidRDefault="00285D0C" w:rsidP="00285D0C">
      <w:pPr>
        <w:rPr>
          <w:lang w:eastAsia="en-IN"/>
        </w:rPr>
      </w:pPr>
      <w:r>
        <w:rPr>
          <w:noProof/>
        </w:rPr>
        <w:lastRenderedPageBreak/>
        <w:drawing>
          <wp:inline distT="0" distB="0" distL="0" distR="0" wp14:anchorId="26DBC74D" wp14:editId="2EBC5D39">
            <wp:extent cx="5731510" cy="2423160"/>
            <wp:effectExtent l="0" t="0" r="2540" b="15240"/>
            <wp:docPr id="1393508874" name="Chart 1">
              <a:extLst xmlns:a="http://schemas.openxmlformats.org/drawingml/2006/main">
                <a:ext uri="{FF2B5EF4-FFF2-40B4-BE49-F238E27FC236}">
                  <a16:creationId xmlns:a16="http://schemas.microsoft.com/office/drawing/2014/main" id="{92AC8705-24C3-E657-39AA-9B2C87D29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0D1D79" w14:textId="4B85DDBD" w:rsidR="00285D0C" w:rsidRPr="00285D0C" w:rsidRDefault="00285D0C" w:rsidP="00285D0C">
      <w:pPr>
        <w:rPr>
          <w:sz w:val="24"/>
          <w:szCs w:val="24"/>
          <w:lang w:eastAsia="en-IN"/>
        </w:rPr>
      </w:pPr>
      <w:r>
        <w:rPr>
          <w:sz w:val="24"/>
          <w:szCs w:val="24"/>
          <w:lang w:eastAsia="en-IN"/>
        </w:rPr>
        <w:t>I</w:t>
      </w:r>
      <w:r w:rsidRPr="00285D0C">
        <w:rPr>
          <w:sz w:val="24"/>
          <w:szCs w:val="24"/>
          <w:lang w:eastAsia="en-IN"/>
        </w:rPr>
        <w:t>nterpretation of the SEC Investor Education and Assistance statistics from 2020 to the projected figures for 2023:</w:t>
      </w:r>
    </w:p>
    <w:p w14:paraId="613068C5" w14:textId="77777777" w:rsidR="00285D0C" w:rsidRPr="00285D0C" w:rsidRDefault="00285D0C" w:rsidP="00285D0C">
      <w:pPr>
        <w:rPr>
          <w:sz w:val="24"/>
          <w:szCs w:val="24"/>
          <w:lang w:eastAsia="en-IN"/>
        </w:rPr>
      </w:pPr>
      <w:r w:rsidRPr="00285D0C">
        <w:rPr>
          <w:b/>
          <w:bCs/>
          <w:sz w:val="24"/>
          <w:szCs w:val="24"/>
          <w:lang w:eastAsia="en-IN"/>
        </w:rPr>
        <w:t>Investor Complaints</w:t>
      </w:r>
      <w:r w:rsidRPr="00285D0C">
        <w:rPr>
          <w:sz w:val="24"/>
          <w:szCs w:val="24"/>
          <w:lang w:eastAsia="en-IN"/>
        </w:rPr>
        <w:t>: The number of investor complaints filed with the SEC has been increasing annually, from 10,500 in 2020 to a projected 12,500 in 2023. This reflects ongoing engagement and concerns among investors regarding securities-related issues.</w:t>
      </w:r>
    </w:p>
    <w:p w14:paraId="19304827" w14:textId="77777777" w:rsidR="00285D0C" w:rsidRPr="00285D0C" w:rsidRDefault="00285D0C" w:rsidP="00285D0C">
      <w:pPr>
        <w:rPr>
          <w:sz w:val="24"/>
          <w:szCs w:val="24"/>
          <w:lang w:eastAsia="en-IN"/>
        </w:rPr>
      </w:pPr>
      <w:r w:rsidRPr="00285D0C">
        <w:rPr>
          <w:b/>
          <w:bCs/>
          <w:sz w:val="24"/>
          <w:szCs w:val="24"/>
          <w:lang w:eastAsia="en-IN"/>
        </w:rPr>
        <w:t>Investor Education Programs</w:t>
      </w:r>
      <w:r w:rsidRPr="00285D0C">
        <w:rPr>
          <w:sz w:val="24"/>
          <w:szCs w:val="24"/>
          <w:lang w:eastAsia="en-IN"/>
        </w:rPr>
        <w:t>: The SEC has been expanding its investor education efforts, with the number of programs increasing from 500 in 2020 to a projected 650 in 2023. This indicates a proactive approach to educate investors about their rights and investment practices.</w:t>
      </w:r>
    </w:p>
    <w:p w14:paraId="6C4CB9EF" w14:textId="77777777" w:rsidR="00285D0C" w:rsidRPr="00285D0C" w:rsidRDefault="00285D0C" w:rsidP="00285D0C">
      <w:pPr>
        <w:rPr>
          <w:sz w:val="24"/>
          <w:szCs w:val="24"/>
          <w:lang w:eastAsia="en-IN"/>
        </w:rPr>
      </w:pPr>
      <w:r w:rsidRPr="00285D0C">
        <w:rPr>
          <w:b/>
          <w:bCs/>
          <w:sz w:val="24"/>
          <w:szCs w:val="24"/>
          <w:lang w:eastAsia="en-IN"/>
        </w:rPr>
        <w:t>Publications Issued</w:t>
      </w:r>
      <w:r w:rsidRPr="00285D0C">
        <w:rPr>
          <w:sz w:val="24"/>
          <w:szCs w:val="24"/>
          <w:lang w:eastAsia="en-IN"/>
        </w:rPr>
        <w:t>: The SEC has increased the number of publications issued annually, from 300 in 2020 to a projected 360 in 2023. These publications likely cover a range of topics including investor alerts, guidance documents, and educational materials.</w:t>
      </w:r>
    </w:p>
    <w:p w14:paraId="568607C0" w14:textId="77777777" w:rsidR="00285D0C" w:rsidRPr="00285D0C" w:rsidRDefault="00285D0C" w:rsidP="00285D0C">
      <w:pPr>
        <w:rPr>
          <w:sz w:val="24"/>
          <w:szCs w:val="24"/>
          <w:lang w:eastAsia="en-IN"/>
        </w:rPr>
      </w:pPr>
      <w:r w:rsidRPr="00285D0C">
        <w:rPr>
          <w:b/>
          <w:bCs/>
          <w:sz w:val="24"/>
          <w:szCs w:val="24"/>
          <w:lang w:eastAsia="en-IN"/>
        </w:rPr>
        <w:t>Outreach Events</w:t>
      </w:r>
      <w:r w:rsidRPr="00285D0C">
        <w:rPr>
          <w:sz w:val="24"/>
          <w:szCs w:val="24"/>
          <w:lang w:eastAsia="en-IN"/>
        </w:rPr>
        <w:t>: The SEC has also expanded its outreach efforts, with the number of events rising from 1,200 in 2020 to a projected 1,500 in 2023. These events include seminars, webinars, and conferences aimed at reaching a broader audience of investors.</w:t>
      </w:r>
    </w:p>
    <w:p w14:paraId="1A9E0D21" w14:textId="20752265" w:rsidR="00285D0C" w:rsidRPr="00285D0C" w:rsidRDefault="00285D0C" w:rsidP="00285D0C">
      <w:pPr>
        <w:rPr>
          <w:sz w:val="24"/>
          <w:szCs w:val="24"/>
          <w:lang w:eastAsia="en-IN"/>
        </w:rPr>
      </w:pPr>
      <w:r w:rsidRPr="00285D0C">
        <w:rPr>
          <w:sz w:val="24"/>
          <w:szCs w:val="24"/>
          <w:lang w:eastAsia="en-IN"/>
        </w:rPr>
        <w:t>Overall, these statistics indicate a commitment by the SEC to enhance investor protection and education through increased outreach, education programs, and responsiveness to investor complaints.</w:t>
      </w:r>
    </w:p>
    <w:p w14:paraId="47F20655" w14:textId="59A81687" w:rsidR="008D4ADA" w:rsidRPr="008D4ADA" w:rsidRDefault="008D4ADA" w:rsidP="00285D0C">
      <w:pPr>
        <w:pStyle w:val="Heading1"/>
        <w:rPr>
          <w:rFonts w:eastAsiaTheme="minorHAnsi" w:cstheme="minorBidi"/>
          <w:sz w:val="22"/>
          <w:szCs w:val="22"/>
          <w:lang w:eastAsia="en-IN"/>
        </w:rPr>
      </w:pPr>
      <w:r w:rsidRPr="008D4ADA">
        <w:rPr>
          <w:rFonts w:eastAsia="Times New Roman"/>
          <w:lang w:eastAsia="en-IN"/>
        </w:rPr>
        <w:t>Conclusion</w:t>
      </w:r>
    </w:p>
    <w:p w14:paraId="2AE9BBF4" w14:textId="77777777" w:rsidR="008D4ADA" w:rsidRPr="008D4ADA" w:rsidRDefault="008D4ADA" w:rsidP="008D4ADA">
      <w:pPr>
        <w:spacing w:before="100" w:beforeAutospacing="1" w:after="100" w:afterAutospacing="1" w:line="240" w:lineRule="auto"/>
        <w:rPr>
          <w:rFonts w:eastAsia="Times New Roman" w:cs="Times New Roman"/>
          <w:kern w:val="0"/>
          <w:sz w:val="24"/>
          <w:szCs w:val="24"/>
          <w:lang w:eastAsia="en-IN"/>
          <w14:ligatures w14:val="none"/>
        </w:rPr>
      </w:pPr>
      <w:r w:rsidRPr="008D4ADA">
        <w:rPr>
          <w:rFonts w:eastAsia="Times New Roman" w:cs="Times New Roman"/>
          <w:kern w:val="0"/>
          <w:sz w:val="24"/>
          <w:szCs w:val="24"/>
          <w:lang w:eastAsia="en-IN"/>
          <w14:ligatures w14:val="none"/>
        </w:rPr>
        <w:t>SEC regulations play a crucial role in the functioning of the U.S. securities markets, aiming to protect investors, ensure fair practices, and enhance transparency. Understanding these regulations is essential for market participants to navigate the complex legal landscape effectively.</w:t>
      </w:r>
    </w:p>
    <w:p w14:paraId="53CE4415" w14:textId="77777777" w:rsidR="008A21E4" w:rsidRDefault="008A21E4"/>
    <w:sectPr w:rsidR="008A21E4" w:rsidSect="00285D0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0369"/>
    <w:multiLevelType w:val="multilevel"/>
    <w:tmpl w:val="EA2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4988"/>
    <w:multiLevelType w:val="multilevel"/>
    <w:tmpl w:val="33B2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2298"/>
    <w:multiLevelType w:val="multilevel"/>
    <w:tmpl w:val="AF2C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45E6"/>
    <w:multiLevelType w:val="multilevel"/>
    <w:tmpl w:val="73DE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237B"/>
    <w:multiLevelType w:val="multilevel"/>
    <w:tmpl w:val="A3E6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72C4B"/>
    <w:multiLevelType w:val="multilevel"/>
    <w:tmpl w:val="FDCC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4B9F"/>
    <w:multiLevelType w:val="hybridMultilevel"/>
    <w:tmpl w:val="A3824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27641"/>
    <w:multiLevelType w:val="multilevel"/>
    <w:tmpl w:val="BAA8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11CB5"/>
    <w:multiLevelType w:val="multilevel"/>
    <w:tmpl w:val="EEC4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C0948"/>
    <w:multiLevelType w:val="multilevel"/>
    <w:tmpl w:val="7236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F6D9D"/>
    <w:multiLevelType w:val="hybridMultilevel"/>
    <w:tmpl w:val="C1268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53CF9"/>
    <w:multiLevelType w:val="multilevel"/>
    <w:tmpl w:val="B5BA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D14B6"/>
    <w:multiLevelType w:val="multilevel"/>
    <w:tmpl w:val="802A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A64BF"/>
    <w:multiLevelType w:val="hybridMultilevel"/>
    <w:tmpl w:val="9092A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2924BE"/>
    <w:multiLevelType w:val="multilevel"/>
    <w:tmpl w:val="AD62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54678"/>
    <w:multiLevelType w:val="hybridMultilevel"/>
    <w:tmpl w:val="40EE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FD6EF5"/>
    <w:multiLevelType w:val="multilevel"/>
    <w:tmpl w:val="FED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B2E65"/>
    <w:multiLevelType w:val="multilevel"/>
    <w:tmpl w:val="39A26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14B1D"/>
    <w:multiLevelType w:val="multilevel"/>
    <w:tmpl w:val="BFD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7095E"/>
    <w:multiLevelType w:val="hybridMultilevel"/>
    <w:tmpl w:val="14427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8317386">
    <w:abstractNumId w:val="1"/>
  </w:num>
  <w:num w:numId="2" w16cid:durableId="600532301">
    <w:abstractNumId w:val="8"/>
  </w:num>
  <w:num w:numId="3" w16cid:durableId="449596382">
    <w:abstractNumId w:val="17"/>
  </w:num>
  <w:num w:numId="4" w16cid:durableId="1307586667">
    <w:abstractNumId w:val="14"/>
  </w:num>
  <w:num w:numId="5" w16cid:durableId="1308825665">
    <w:abstractNumId w:val="9"/>
  </w:num>
  <w:num w:numId="6" w16cid:durableId="684132559">
    <w:abstractNumId w:val="12"/>
  </w:num>
  <w:num w:numId="7" w16cid:durableId="1983388603">
    <w:abstractNumId w:val="5"/>
  </w:num>
  <w:num w:numId="8" w16cid:durableId="1388146174">
    <w:abstractNumId w:val="18"/>
  </w:num>
  <w:num w:numId="9" w16cid:durableId="117140103">
    <w:abstractNumId w:val="16"/>
  </w:num>
  <w:num w:numId="10" w16cid:durableId="2068457216">
    <w:abstractNumId w:val="0"/>
  </w:num>
  <w:num w:numId="11" w16cid:durableId="1755472612">
    <w:abstractNumId w:val="3"/>
  </w:num>
  <w:num w:numId="12" w16cid:durableId="730885061">
    <w:abstractNumId w:val="7"/>
  </w:num>
  <w:num w:numId="13" w16cid:durableId="662123366">
    <w:abstractNumId w:val="11"/>
  </w:num>
  <w:num w:numId="14" w16cid:durableId="1245186948">
    <w:abstractNumId w:val="4"/>
  </w:num>
  <w:num w:numId="15" w16cid:durableId="293606212">
    <w:abstractNumId w:val="2"/>
  </w:num>
  <w:num w:numId="16" w16cid:durableId="1470199384">
    <w:abstractNumId w:val="13"/>
  </w:num>
  <w:num w:numId="17" w16cid:durableId="851261357">
    <w:abstractNumId w:val="10"/>
  </w:num>
  <w:num w:numId="18" w16cid:durableId="220412261">
    <w:abstractNumId w:val="6"/>
  </w:num>
  <w:num w:numId="19" w16cid:durableId="1716005269">
    <w:abstractNumId w:val="19"/>
  </w:num>
  <w:num w:numId="20" w16cid:durableId="2094038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DA"/>
    <w:rsid w:val="001F177A"/>
    <w:rsid w:val="00285D0C"/>
    <w:rsid w:val="0088182B"/>
    <w:rsid w:val="008A21E4"/>
    <w:rsid w:val="008D4ADA"/>
    <w:rsid w:val="00DE5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AFCD"/>
  <w15:chartTrackingRefBased/>
  <w15:docId w15:val="{0FEEF1BE-CF36-4129-AE31-F932517C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4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4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4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4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4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ADA"/>
    <w:rPr>
      <w:rFonts w:eastAsiaTheme="majorEastAsia" w:cstheme="majorBidi"/>
      <w:color w:val="272727" w:themeColor="text1" w:themeTint="D8"/>
    </w:rPr>
  </w:style>
  <w:style w:type="paragraph" w:styleId="Title">
    <w:name w:val="Title"/>
    <w:basedOn w:val="Normal"/>
    <w:next w:val="Normal"/>
    <w:link w:val="TitleChar"/>
    <w:uiPriority w:val="10"/>
    <w:qFormat/>
    <w:rsid w:val="008D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ADA"/>
    <w:pPr>
      <w:spacing w:before="160"/>
      <w:jc w:val="center"/>
    </w:pPr>
    <w:rPr>
      <w:i/>
      <w:iCs/>
      <w:color w:val="404040" w:themeColor="text1" w:themeTint="BF"/>
    </w:rPr>
  </w:style>
  <w:style w:type="character" w:customStyle="1" w:styleId="QuoteChar">
    <w:name w:val="Quote Char"/>
    <w:basedOn w:val="DefaultParagraphFont"/>
    <w:link w:val="Quote"/>
    <w:uiPriority w:val="29"/>
    <w:rsid w:val="008D4ADA"/>
    <w:rPr>
      <w:i/>
      <w:iCs/>
      <w:color w:val="404040" w:themeColor="text1" w:themeTint="BF"/>
    </w:rPr>
  </w:style>
  <w:style w:type="paragraph" w:styleId="ListParagraph">
    <w:name w:val="List Paragraph"/>
    <w:basedOn w:val="Normal"/>
    <w:uiPriority w:val="34"/>
    <w:qFormat/>
    <w:rsid w:val="008D4ADA"/>
    <w:pPr>
      <w:ind w:left="720"/>
      <w:contextualSpacing/>
    </w:pPr>
  </w:style>
  <w:style w:type="character" w:styleId="IntenseEmphasis">
    <w:name w:val="Intense Emphasis"/>
    <w:basedOn w:val="DefaultParagraphFont"/>
    <w:uiPriority w:val="21"/>
    <w:qFormat/>
    <w:rsid w:val="008D4ADA"/>
    <w:rPr>
      <w:i/>
      <w:iCs/>
      <w:color w:val="0F4761" w:themeColor="accent1" w:themeShade="BF"/>
    </w:rPr>
  </w:style>
  <w:style w:type="paragraph" w:styleId="IntenseQuote">
    <w:name w:val="Intense Quote"/>
    <w:basedOn w:val="Normal"/>
    <w:next w:val="Normal"/>
    <w:link w:val="IntenseQuoteChar"/>
    <w:uiPriority w:val="30"/>
    <w:qFormat/>
    <w:rsid w:val="008D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ADA"/>
    <w:rPr>
      <w:i/>
      <w:iCs/>
      <w:color w:val="0F4761" w:themeColor="accent1" w:themeShade="BF"/>
    </w:rPr>
  </w:style>
  <w:style w:type="character" w:styleId="IntenseReference">
    <w:name w:val="Intense Reference"/>
    <w:basedOn w:val="DefaultParagraphFont"/>
    <w:uiPriority w:val="32"/>
    <w:qFormat/>
    <w:rsid w:val="008D4ADA"/>
    <w:rPr>
      <w:b/>
      <w:bCs/>
      <w:smallCaps/>
      <w:color w:val="0F4761" w:themeColor="accent1" w:themeShade="BF"/>
      <w:spacing w:val="5"/>
    </w:rPr>
  </w:style>
  <w:style w:type="paragraph" w:styleId="NormalWeb">
    <w:name w:val="Normal (Web)"/>
    <w:basedOn w:val="Normal"/>
    <w:uiPriority w:val="99"/>
    <w:semiHidden/>
    <w:unhideWhenUsed/>
    <w:rsid w:val="008D4A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4ADA"/>
    <w:rPr>
      <w:b/>
      <w:bCs/>
    </w:rPr>
  </w:style>
  <w:style w:type="table" w:styleId="TableGrid">
    <w:name w:val="Table Grid"/>
    <w:basedOn w:val="TableNormal"/>
    <w:uiPriority w:val="39"/>
    <w:rsid w:val="0028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30365">
      <w:bodyDiv w:val="1"/>
      <w:marLeft w:val="0"/>
      <w:marRight w:val="0"/>
      <w:marTop w:val="0"/>
      <w:marBottom w:val="0"/>
      <w:divBdr>
        <w:top w:val="none" w:sz="0" w:space="0" w:color="auto"/>
        <w:left w:val="none" w:sz="0" w:space="0" w:color="auto"/>
        <w:bottom w:val="none" w:sz="0" w:space="0" w:color="auto"/>
        <w:right w:val="none" w:sz="0" w:space="0" w:color="auto"/>
      </w:divBdr>
    </w:div>
    <w:div w:id="389575211">
      <w:bodyDiv w:val="1"/>
      <w:marLeft w:val="0"/>
      <w:marRight w:val="0"/>
      <w:marTop w:val="0"/>
      <w:marBottom w:val="0"/>
      <w:divBdr>
        <w:top w:val="none" w:sz="0" w:space="0" w:color="auto"/>
        <w:left w:val="none" w:sz="0" w:space="0" w:color="auto"/>
        <w:bottom w:val="none" w:sz="0" w:space="0" w:color="auto"/>
        <w:right w:val="none" w:sz="0" w:space="0" w:color="auto"/>
      </w:divBdr>
    </w:div>
    <w:div w:id="630325912">
      <w:bodyDiv w:val="1"/>
      <w:marLeft w:val="0"/>
      <w:marRight w:val="0"/>
      <w:marTop w:val="0"/>
      <w:marBottom w:val="0"/>
      <w:divBdr>
        <w:top w:val="none" w:sz="0" w:space="0" w:color="auto"/>
        <w:left w:val="none" w:sz="0" w:space="0" w:color="auto"/>
        <w:bottom w:val="none" w:sz="0" w:space="0" w:color="auto"/>
        <w:right w:val="none" w:sz="0" w:space="0" w:color="auto"/>
      </w:divBdr>
    </w:div>
    <w:div w:id="909341300">
      <w:bodyDiv w:val="1"/>
      <w:marLeft w:val="0"/>
      <w:marRight w:val="0"/>
      <w:marTop w:val="0"/>
      <w:marBottom w:val="0"/>
      <w:divBdr>
        <w:top w:val="none" w:sz="0" w:space="0" w:color="auto"/>
        <w:left w:val="none" w:sz="0" w:space="0" w:color="auto"/>
        <w:bottom w:val="none" w:sz="0" w:space="0" w:color="auto"/>
        <w:right w:val="none" w:sz="0" w:space="0" w:color="auto"/>
      </w:divBdr>
    </w:div>
    <w:div w:id="970135247">
      <w:bodyDiv w:val="1"/>
      <w:marLeft w:val="0"/>
      <w:marRight w:val="0"/>
      <w:marTop w:val="0"/>
      <w:marBottom w:val="0"/>
      <w:divBdr>
        <w:top w:val="none" w:sz="0" w:space="0" w:color="auto"/>
        <w:left w:val="none" w:sz="0" w:space="0" w:color="auto"/>
        <w:bottom w:val="none" w:sz="0" w:space="0" w:color="auto"/>
        <w:right w:val="none" w:sz="0" w:space="0" w:color="auto"/>
      </w:divBdr>
    </w:div>
    <w:div w:id="1349797114">
      <w:bodyDiv w:val="1"/>
      <w:marLeft w:val="0"/>
      <w:marRight w:val="0"/>
      <w:marTop w:val="0"/>
      <w:marBottom w:val="0"/>
      <w:divBdr>
        <w:top w:val="none" w:sz="0" w:space="0" w:color="auto"/>
        <w:left w:val="none" w:sz="0" w:space="0" w:color="auto"/>
        <w:bottom w:val="none" w:sz="0" w:space="0" w:color="auto"/>
        <w:right w:val="none" w:sz="0" w:space="0" w:color="auto"/>
      </w:divBdr>
    </w:div>
    <w:div w:id="1357847254">
      <w:bodyDiv w:val="1"/>
      <w:marLeft w:val="0"/>
      <w:marRight w:val="0"/>
      <w:marTop w:val="0"/>
      <w:marBottom w:val="0"/>
      <w:divBdr>
        <w:top w:val="none" w:sz="0" w:space="0" w:color="auto"/>
        <w:left w:val="none" w:sz="0" w:space="0" w:color="auto"/>
        <w:bottom w:val="none" w:sz="0" w:space="0" w:color="auto"/>
        <w:right w:val="none" w:sz="0" w:space="0" w:color="auto"/>
      </w:divBdr>
    </w:div>
    <w:div w:id="1466587312">
      <w:bodyDiv w:val="1"/>
      <w:marLeft w:val="0"/>
      <w:marRight w:val="0"/>
      <w:marTop w:val="0"/>
      <w:marBottom w:val="0"/>
      <w:divBdr>
        <w:top w:val="none" w:sz="0" w:space="0" w:color="auto"/>
        <w:left w:val="none" w:sz="0" w:space="0" w:color="auto"/>
        <w:bottom w:val="none" w:sz="0" w:space="0" w:color="auto"/>
        <w:right w:val="none" w:sz="0" w:space="0" w:color="auto"/>
      </w:divBdr>
    </w:div>
    <w:div w:id="1475492178">
      <w:bodyDiv w:val="1"/>
      <w:marLeft w:val="0"/>
      <w:marRight w:val="0"/>
      <w:marTop w:val="0"/>
      <w:marBottom w:val="0"/>
      <w:divBdr>
        <w:top w:val="none" w:sz="0" w:space="0" w:color="auto"/>
        <w:left w:val="none" w:sz="0" w:space="0" w:color="auto"/>
        <w:bottom w:val="none" w:sz="0" w:space="0" w:color="auto"/>
        <w:right w:val="none" w:sz="0" w:space="0" w:color="auto"/>
      </w:divBdr>
    </w:div>
    <w:div w:id="1615090712">
      <w:bodyDiv w:val="1"/>
      <w:marLeft w:val="0"/>
      <w:marRight w:val="0"/>
      <w:marTop w:val="0"/>
      <w:marBottom w:val="0"/>
      <w:divBdr>
        <w:top w:val="none" w:sz="0" w:space="0" w:color="auto"/>
        <w:left w:val="none" w:sz="0" w:space="0" w:color="auto"/>
        <w:bottom w:val="none" w:sz="0" w:space="0" w:color="auto"/>
        <w:right w:val="none" w:sz="0" w:space="0" w:color="auto"/>
      </w:divBdr>
    </w:div>
    <w:div w:id="1627813006">
      <w:bodyDiv w:val="1"/>
      <w:marLeft w:val="0"/>
      <w:marRight w:val="0"/>
      <w:marTop w:val="0"/>
      <w:marBottom w:val="0"/>
      <w:divBdr>
        <w:top w:val="none" w:sz="0" w:space="0" w:color="auto"/>
        <w:left w:val="none" w:sz="0" w:space="0" w:color="auto"/>
        <w:bottom w:val="none" w:sz="0" w:space="0" w:color="auto"/>
        <w:right w:val="none" w:sz="0" w:space="0" w:color="auto"/>
      </w:divBdr>
    </w:div>
    <w:div w:id="1634750744">
      <w:bodyDiv w:val="1"/>
      <w:marLeft w:val="0"/>
      <w:marRight w:val="0"/>
      <w:marTop w:val="0"/>
      <w:marBottom w:val="0"/>
      <w:divBdr>
        <w:top w:val="none" w:sz="0" w:space="0" w:color="auto"/>
        <w:left w:val="none" w:sz="0" w:space="0" w:color="auto"/>
        <w:bottom w:val="none" w:sz="0" w:space="0" w:color="auto"/>
        <w:right w:val="none" w:sz="0" w:space="0" w:color="auto"/>
      </w:divBdr>
    </w:div>
    <w:div w:id="1644384000">
      <w:bodyDiv w:val="1"/>
      <w:marLeft w:val="0"/>
      <w:marRight w:val="0"/>
      <w:marTop w:val="0"/>
      <w:marBottom w:val="0"/>
      <w:divBdr>
        <w:top w:val="none" w:sz="0" w:space="0" w:color="auto"/>
        <w:left w:val="none" w:sz="0" w:space="0" w:color="auto"/>
        <w:bottom w:val="none" w:sz="0" w:space="0" w:color="auto"/>
        <w:right w:val="none" w:sz="0" w:space="0" w:color="auto"/>
      </w:divBdr>
    </w:div>
    <w:div w:id="1691951203">
      <w:bodyDiv w:val="1"/>
      <w:marLeft w:val="0"/>
      <w:marRight w:val="0"/>
      <w:marTop w:val="0"/>
      <w:marBottom w:val="0"/>
      <w:divBdr>
        <w:top w:val="none" w:sz="0" w:space="0" w:color="auto"/>
        <w:left w:val="none" w:sz="0" w:space="0" w:color="auto"/>
        <w:bottom w:val="none" w:sz="0" w:space="0" w:color="auto"/>
        <w:right w:val="none" w:sz="0" w:space="0" w:color="auto"/>
      </w:divBdr>
    </w:div>
    <w:div w:id="19741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SEC Enforcement Actions (2019-2023)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Total Enforcement Actions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Sheet1!$A$4:$A$8</c:f>
              <c:numCache>
                <c:formatCode>General</c:formatCode>
                <c:ptCount val="5"/>
                <c:pt idx="0">
                  <c:v>2019</c:v>
                </c:pt>
                <c:pt idx="1">
                  <c:v>2020</c:v>
                </c:pt>
                <c:pt idx="2">
                  <c:v>2021</c:v>
                </c:pt>
                <c:pt idx="3">
                  <c:v>2022</c:v>
                </c:pt>
                <c:pt idx="4">
                  <c:v>2023</c:v>
                </c:pt>
              </c:numCache>
            </c:numRef>
          </c:cat>
          <c:val>
            <c:numRef>
              <c:f>Sheet1!$B$4:$B$8</c:f>
              <c:numCache>
                <c:formatCode>General</c:formatCode>
                <c:ptCount val="5"/>
                <c:pt idx="0">
                  <c:v>862</c:v>
                </c:pt>
                <c:pt idx="1">
                  <c:v>715</c:v>
                </c:pt>
                <c:pt idx="2">
                  <c:v>950</c:v>
                </c:pt>
                <c:pt idx="3">
                  <c:v>820</c:v>
                </c:pt>
                <c:pt idx="4">
                  <c:v>900</c:v>
                </c:pt>
              </c:numCache>
            </c:numRef>
          </c:val>
          <c:smooth val="0"/>
          <c:extLst>
            <c:ext xmlns:c16="http://schemas.microsoft.com/office/drawing/2014/chart" uri="{C3380CC4-5D6E-409C-BE32-E72D297353CC}">
              <c16:uniqueId val="{00000000-CD4A-4564-8DFF-68F9243DD2EF}"/>
            </c:ext>
          </c:extLst>
        </c:ser>
        <c:ser>
          <c:idx val="1"/>
          <c:order val="1"/>
          <c:tx>
            <c:strRef>
              <c:f>Sheet1!$D$3</c:f>
              <c:strCache>
                <c:ptCount val="1"/>
                <c:pt idx="0">
                  <c:v>Number of Individuals Charged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Sheet1!$A$4:$A$8</c:f>
              <c:numCache>
                <c:formatCode>General</c:formatCode>
                <c:ptCount val="5"/>
                <c:pt idx="0">
                  <c:v>2019</c:v>
                </c:pt>
                <c:pt idx="1">
                  <c:v>2020</c:v>
                </c:pt>
                <c:pt idx="2">
                  <c:v>2021</c:v>
                </c:pt>
                <c:pt idx="3">
                  <c:v>2022</c:v>
                </c:pt>
                <c:pt idx="4">
                  <c:v>2023</c:v>
                </c:pt>
              </c:numCache>
            </c:numRef>
          </c:cat>
          <c:val>
            <c:numRef>
              <c:f>Sheet1!$D$4:$D$8</c:f>
              <c:numCache>
                <c:formatCode>#,##0</c:formatCode>
                <c:ptCount val="5"/>
                <c:pt idx="0">
                  <c:v>1133</c:v>
                </c:pt>
                <c:pt idx="1">
                  <c:v>1106</c:v>
                </c:pt>
                <c:pt idx="2">
                  <c:v>1285</c:v>
                </c:pt>
                <c:pt idx="3">
                  <c:v>1004</c:v>
                </c:pt>
                <c:pt idx="4">
                  <c:v>1150</c:v>
                </c:pt>
              </c:numCache>
            </c:numRef>
          </c:val>
          <c:smooth val="0"/>
          <c:extLst>
            <c:ext xmlns:c16="http://schemas.microsoft.com/office/drawing/2014/chart" uri="{C3380CC4-5D6E-409C-BE32-E72D297353CC}">
              <c16:uniqueId val="{00000001-CD4A-4564-8DFF-68F9243DD2EF}"/>
            </c:ext>
          </c:extLst>
        </c:ser>
        <c:ser>
          <c:idx val="2"/>
          <c:order val="2"/>
          <c:tx>
            <c:strRef>
              <c:f>Sheet1!$E$3</c:f>
              <c:strCache>
                <c:ptCount val="1"/>
                <c:pt idx="0">
                  <c:v>Number of Companies Charged</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Sheet1!$A$4:$A$8</c:f>
              <c:numCache>
                <c:formatCode>General</c:formatCode>
                <c:ptCount val="5"/>
                <c:pt idx="0">
                  <c:v>2019</c:v>
                </c:pt>
                <c:pt idx="1">
                  <c:v>2020</c:v>
                </c:pt>
                <c:pt idx="2">
                  <c:v>2021</c:v>
                </c:pt>
                <c:pt idx="3">
                  <c:v>2022</c:v>
                </c:pt>
                <c:pt idx="4">
                  <c:v>2023</c:v>
                </c:pt>
              </c:numCache>
            </c:numRef>
          </c:cat>
          <c:val>
            <c:numRef>
              <c:f>Sheet1!$E$4:$E$8</c:f>
              <c:numCache>
                <c:formatCode>General</c:formatCode>
                <c:ptCount val="5"/>
                <c:pt idx="0">
                  <c:v>526</c:v>
                </c:pt>
                <c:pt idx="1">
                  <c:v>405</c:v>
                </c:pt>
                <c:pt idx="2">
                  <c:v>590</c:v>
                </c:pt>
                <c:pt idx="3">
                  <c:v>561</c:v>
                </c:pt>
                <c:pt idx="4">
                  <c:v>610</c:v>
                </c:pt>
              </c:numCache>
            </c:numRef>
          </c:val>
          <c:smooth val="0"/>
          <c:extLst>
            <c:ext xmlns:c16="http://schemas.microsoft.com/office/drawing/2014/chart" uri="{C3380CC4-5D6E-409C-BE32-E72D297353CC}">
              <c16:uniqueId val="{00000002-CD4A-4564-8DFF-68F9243DD2EF}"/>
            </c:ext>
          </c:extLst>
        </c:ser>
        <c:dLbls>
          <c:dLblPos val="t"/>
          <c:showLegendKey val="0"/>
          <c:showVal val="1"/>
          <c:showCatName val="0"/>
          <c:showSerName val="0"/>
          <c:showPercent val="0"/>
          <c:showBubbleSize val="0"/>
        </c:dLbls>
        <c:smooth val="0"/>
        <c:axId val="1634028928"/>
        <c:axId val="1634034688"/>
      </c:lineChart>
      <c:catAx>
        <c:axId val="163402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34688"/>
        <c:crosses val="autoZero"/>
        <c:auto val="1"/>
        <c:lblAlgn val="ctr"/>
        <c:lblOffset val="100"/>
        <c:noMultiLvlLbl val="0"/>
      </c:catAx>
      <c:valAx>
        <c:axId val="163403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2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SEC Filings and Registrations (2020-2023)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Number of New Securities Registrations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Sheet2!$A$4:$A$7</c:f>
              <c:numCache>
                <c:formatCode>General</c:formatCode>
                <c:ptCount val="4"/>
                <c:pt idx="0">
                  <c:v>2020</c:v>
                </c:pt>
                <c:pt idx="1">
                  <c:v>2021</c:v>
                </c:pt>
                <c:pt idx="2">
                  <c:v>2022</c:v>
                </c:pt>
                <c:pt idx="3">
                  <c:v>2023</c:v>
                </c:pt>
              </c:numCache>
            </c:numRef>
          </c:cat>
          <c:val>
            <c:numRef>
              <c:f>Sheet2!$B$4:$B$7</c:f>
              <c:numCache>
                <c:formatCode>#,##0</c:formatCode>
                <c:ptCount val="4"/>
                <c:pt idx="0">
                  <c:v>2150</c:v>
                </c:pt>
                <c:pt idx="1">
                  <c:v>2300</c:v>
                </c:pt>
                <c:pt idx="2">
                  <c:v>2400</c:v>
                </c:pt>
                <c:pt idx="3">
                  <c:v>2500</c:v>
                </c:pt>
              </c:numCache>
            </c:numRef>
          </c:val>
          <c:extLst>
            <c:ext xmlns:c16="http://schemas.microsoft.com/office/drawing/2014/chart" uri="{C3380CC4-5D6E-409C-BE32-E72D297353CC}">
              <c16:uniqueId val="{00000000-2D09-4B9A-A116-E556C60F1C39}"/>
            </c:ext>
          </c:extLst>
        </c:ser>
        <c:ser>
          <c:idx val="1"/>
          <c:order val="1"/>
          <c:tx>
            <c:strRef>
              <c:f>Sheet2!$C$3</c:f>
              <c:strCache>
                <c:ptCount val="1"/>
                <c:pt idx="0">
                  <c:v>Number of Form 10-K Filings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Sheet2!$A$4:$A$7</c:f>
              <c:numCache>
                <c:formatCode>General</c:formatCode>
                <c:ptCount val="4"/>
                <c:pt idx="0">
                  <c:v>2020</c:v>
                </c:pt>
                <c:pt idx="1">
                  <c:v>2021</c:v>
                </c:pt>
                <c:pt idx="2">
                  <c:v>2022</c:v>
                </c:pt>
                <c:pt idx="3">
                  <c:v>2023</c:v>
                </c:pt>
              </c:numCache>
            </c:numRef>
          </c:cat>
          <c:val>
            <c:numRef>
              <c:f>Sheet2!$C$4:$C$7</c:f>
              <c:numCache>
                <c:formatCode>#,##0</c:formatCode>
                <c:ptCount val="4"/>
                <c:pt idx="0">
                  <c:v>15200</c:v>
                </c:pt>
                <c:pt idx="1">
                  <c:v>16000</c:v>
                </c:pt>
                <c:pt idx="2">
                  <c:v>16500</c:v>
                </c:pt>
                <c:pt idx="3">
                  <c:v>17000</c:v>
                </c:pt>
              </c:numCache>
            </c:numRef>
          </c:val>
          <c:extLst>
            <c:ext xmlns:c16="http://schemas.microsoft.com/office/drawing/2014/chart" uri="{C3380CC4-5D6E-409C-BE32-E72D297353CC}">
              <c16:uniqueId val="{00000001-2D09-4B9A-A116-E556C60F1C39}"/>
            </c:ext>
          </c:extLst>
        </c:ser>
        <c:ser>
          <c:idx val="2"/>
          <c:order val="2"/>
          <c:tx>
            <c:strRef>
              <c:f>Sheet2!$D$3</c:f>
              <c:strCache>
                <c:ptCount val="1"/>
                <c:pt idx="0">
                  <c:v>Number of Form 10-Q Filings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Sheet2!$A$4:$A$7</c:f>
              <c:numCache>
                <c:formatCode>General</c:formatCode>
                <c:ptCount val="4"/>
                <c:pt idx="0">
                  <c:v>2020</c:v>
                </c:pt>
                <c:pt idx="1">
                  <c:v>2021</c:v>
                </c:pt>
                <c:pt idx="2">
                  <c:v>2022</c:v>
                </c:pt>
                <c:pt idx="3">
                  <c:v>2023</c:v>
                </c:pt>
              </c:numCache>
            </c:numRef>
          </c:cat>
          <c:val>
            <c:numRef>
              <c:f>Sheet2!$D$4:$D$7</c:f>
              <c:numCache>
                <c:formatCode>#,##0</c:formatCode>
                <c:ptCount val="4"/>
                <c:pt idx="0">
                  <c:v>43500</c:v>
                </c:pt>
                <c:pt idx="1">
                  <c:v>45000</c:v>
                </c:pt>
                <c:pt idx="2">
                  <c:v>47000</c:v>
                </c:pt>
                <c:pt idx="3">
                  <c:v>48000</c:v>
                </c:pt>
              </c:numCache>
            </c:numRef>
          </c:val>
          <c:extLst>
            <c:ext xmlns:c16="http://schemas.microsoft.com/office/drawing/2014/chart" uri="{C3380CC4-5D6E-409C-BE32-E72D297353CC}">
              <c16:uniqueId val="{00000002-2D09-4B9A-A116-E556C60F1C39}"/>
            </c:ext>
          </c:extLst>
        </c:ser>
        <c:ser>
          <c:idx val="3"/>
          <c:order val="3"/>
          <c:tx>
            <c:strRef>
              <c:f>Sheet2!$E$3</c:f>
              <c:strCache>
                <c:ptCount val="1"/>
                <c:pt idx="0">
                  <c:v>Number of Form 8-K Filings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Sheet2!$A$4:$A$7</c:f>
              <c:numCache>
                <c:formatCode>General</c:formatCode>
                <c:ptCount val="4"/>
                <c:pt idx="0">
                  <c:v>2020</c:v>
                </c:pt>
                <c:pt idx="1">
                  <c:v>2021</c:v>
                </c:pt>
                <c:pt idx="2">
                  <c:v>2022</c:v>
                </c:pt>
                <c:pt idx="3">
                  <c:v>2023</c:v>
                </c:pt>
              </c:numCache>
            </c:numRef>
          </c:cat>
          <c:val>
            <c:numRef>
              <c:f>Sheet2!$E$4:$E$7</c:f>
              <c:numCache>
                <c:formatCode>#,##0</c:formatCode>
                <c:ptCount val="4"/>
                <c:pt idx="0">
                  <c:v>28400</c:v>
                </c:pt>
                <c:pt idx="1">
                  <c:v>30000</c:v>
                </c:pt>
                <c:pt idx="2">
                  <c:v>31500</c:v>
                </c:pt>
                <c:pt idx="3">
                  <c:v>33000</c:v>
                </c:pt>
              </c:numCache>
            </c:numRef>
          </c:val>
          <c:extLst>
            <c:ext xmlns:c16="http://schemas.microsoft.com/office/drawing/2014/chart" uri="{C3380CC4-5D6E-409C-BE32-E72D297353CC}">
              <c16:uniqueId val="{00000003-2D09-4B9A-A116-E556C60F1C39}"/>
            </c:ext>
          </c:extLst>
        </c:ser>
        <c:dLbls>
          <c:dLblPos val="outEnd"/>
          <c:showLegendKey val="0"/>
          <c:showVal val="1"/>
          <c:showCatName val="0"/>
          <c:showSerName val="0"/>
          <c:showPercent val="0"/>
          <c:showBubbleSize val="0"/>
        </c:dLbls>
        <c:gapWidth val="182"/>
        <c:axId val="349651152"/>
        <c:axId val="349661232"/>
      </c:barChart>
      <c:catAx>
        <c:axId val="349651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61232"/>
        <c:crosses val="autoZero"/>
        <c:auto val="1"/>
        <c:lblAlgn val="ctr"/>
        <c:lblOffset val="100"/>
        <c:noMultiLvlLbl val="0"/>
      </c:catAx>
      <c:valAx>
        <c:axId val="34966123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5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SEC Investor Education and Assistance (2020-2023)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Sheet4!$C$3</c:f>
              <c:strCache>
                <c:ptCount val="1"/>
                <c:pt idx="0">
                  <c:v>Number of Investor Education Programs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Sheet4!$A$4:$A$7</c:f>
              <c:numCache>
                <c:formatCode>General</c:formatCode>
                <c:ptCount val="4"/>
                <c:pt idx="0">
                  <c:v>2020</c:v>
                </c:pt>
                <c:pt idx="1">
                  <c:v>2021</c:v>
                </c:pt>
                <c:pt idx="2">
                  <c:v>2022</c:v>
                </c:pt>
                <c:pt idx="3">
                  <c:v>2023</c:v>
                </c:pt>
              </c:numCache>
            </c:numRef>
          </c:cat>
          <c:val>
            <c:numRef>
              <c:f>Sheet4!$C$4:$C$7</c:f>
              <c:numCache>
                <c:formatCode>General</c:formatCode>
                <c:ptCount val="4"/>
                <c:pt idx="0">
                  <c:v>500</c:v>
                </c:pt>
                <c:pt idx="1">
                  <c:v>550</c:v>
                </c:pt>
                <c:pt idx="2">
                  <c:v>600</c:v>
                </c:pt>
                <c:pt idx="3">
                  <c:v>650</c:v>
                </c:pt>
              </c:numCache>
            </c:numRef>
          </c:val>
          <c:extLst>
            <c:ext xmlns:c16="http://schemas.microsoft.com/office/drawing/2014/chart" uri="{C3380CC4-5D6E-409C-BE32-E72D297353CC}">
              <c16:uniqueId val="{00000000-FD05-4EF1-A8D6-AA4D3ADEF736}"/>
            </c:ext>
          </c:extLst>
        </c:ser>
        <c:ser>
          <c:idx val="1"/>
          <c:order val="1"/>
          <c:tx>
            <c:strRef>
              <c:f>Sheet4!$D$3</c:f>
              <c:strCache>
                <c:ptCount val="1"/>
                <c:pt idx="0">
                  <c:v>Number of Publications Issued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Sheet4!$A$4:$A$7</c:f>
              <c:numCache>
                <c:formatCode>General</c:formatCode>
                <c:ptCount val="4"/>
                <c:pt idx="0">
                  <c:v>2020</c:v>
                </c:pt>
                <c:pt idx="1">
                  <c:v>2021</c:v>
                </c:pt>
                <c:pt idx="2">
                  <c:v>2022</c:v>
                </c:pt>
                <c:pt idx="3">
                  <c:v>2023</c:v>
                </c:pt>
              </c:numCache>
            </c:numRef>
          </c:cat>
          <c:val>
            <c:numRef>
              <c:f>Sheet4!$D$4:$D$7</c:f>
              <c:numCache>
                <c:formatCode>General</c:formatCode>
                <c:ptCount val="4"/>
                <c:pt idx="0">
                  <c:v>300</c:v>
                </c:pt>
                <c:pt idx="1">
                  <c:v>320</c:v>
                </c:pt>
                <c:pt idx="2">
                  <c:v>340</c:v>
                </c:pt>
                <c:pt idx="3">
                  <c:v>360</c:v>
                </c:pt>
              </c:numCache>
            </c:numRef>
          </c:val>
          <c:extLst>
            <c:ext xmlns:c16="http://schemas.microsoft.com/office/drawing/2014/chart" uri="{C3380CC4-5D6E-409C-BE32-E72D297353CC}">
              <c16:uniqueId val="{00000001-FD05-4EF1-A8D6-AA4D3ADEF736}"/>
            </c:ext>
          </c:extLst>
        </c:ser>
        <c:ser>
          <c:idx val="2"/>
          <c:order val="2"/>
          <c:tx>
            <c:strRef>
              <c:f>Sheet4!$E$3</c:f>
              <c:strCache>
                <c:ptCount val="1"/>
                <c:pt idx="0">
                  <c:v>Number of Outreach Events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Sheet4!$A$4:$A$7</c:f>
              <c:numCache>
                <c:formatCode>General</c:formatCode>
                <c:ptCount val="4"/>
                <c:pt idx="0">
                  <c:v>2020</c:v>
                </c:pt>
                <c:pt idx="1">
                  <c:v>2021</c:v>
                </c:pt>
                <c:pt idx="2">
                  <c:v>2022</c:v>
                </c:pt>
                <c:pt idx="3">
                  <c:v>2023</c:v>
                </c:pt>
              </c:numCache>
            </c:numRef>
          </c:cat>
          <c:val>
            <c:numRef>
              <c:f>Sheet4!$E$4:$E$7</c:f>
              <c:numCache>
                <c:formatCode>#,##0</c:formatCode>
                <c:ptCount val="4"/>
                <c:pt idx="0">
                  <c:v>1200</c:v>
                </c:pt>
                <c:pt idx="1">
                  <c:v>1300</c:v>
                </c:pt>
                <c:pt idx="2">
                  <c:v>1400</c:v>
                </c:pt>
                <c:pt idx="3">
                  <c:v>1500</c:v>
                </c:pt>
              </c:numCache>
            </c:numRef>
          </c:val>
          <c:extLst>
            <c:ext xmlns:c16="http://schemas.microsoft.com/office/drawing/2014/chart" uri="{C3380CC4-5D6E-409C-BE32-E72D297353CC}">
              <c16:uniqueId val="{00000002-FD05-4EF1-A8D6-AA4D3ADEF736}"/>
            </c:ext>
          </c:extLst>
        </c:ser>
        <c:dLbls>
          <c:dLblPos val="outEnd"/>
          <c:showLegendKey val="0"/>
          <c:showVal val="1"/>
          <c:showCatName val="0"/>
          <c:showSerName val="0"/>
          <c:showPercent val="0"/>
          <c:showBubbleSize val="0"/>
        </c:dLbls>
        <c:gapWidth val="219"/>
        <c:overlap val="-27"/>
        <c:axId val="1634045728"/>
        <c:axId val="1634046208"/>
      </c:barChart>
      <c:catAx>
        <c:axId val="163404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46208"/>
        <c:crosses val="autoZero"/>
        <c:auto val="1"/>
        <c:lblAlgn val="ctr"/>
        <c:lblOffset val="100"/>
        <c:noMultiLvlLbl val="0"/>
      </c:catAx>
      <c:valAx>
        <c:axId val="16340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45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2024-06-13T07:14:00Z</dcterms:created>
  <dcterms:modified xsi:type="dcterms:W3CDTF">2024-06-13T07:58:00Z</dcterms:modified>
</cp:coreProperties>
</file>