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DA724" w14:textId="1749D4AF" w:rsidR="00A62FE6" w:rsidRPr="00A62FE6" w:rsidRDefault="003468EF" w:rsidP="00A62FE6">
      <w:pPr>
        <w:pStyle w:val="Heading1"/>
        <w:jc w:val="center"/>
        <w:rPr>
          <w:b/>
          <w:bCs/>
        </w:rPr>
      </w:pPr>
      <w:r>
        <w:rPr>
          <w:b/>
          <w:bCs/>
        </w:rPr>
        <w:t xml:space="preserve">STRUCTURE OF </w:t>
      </w:r>
      <w:r w:rsidR="00A62FE6" w:rsidRPr="00A62FE6">
        <w:rPr>
          <w:b/>
          <w:bCs/>
        </w:rPr>
        <w:t xml:space="preserve">US BANKING SYSTEM </w:t>
      </w:r>
    </w:p>
    <w:p w14:paraId="7816DE24" w14:textId="7E8B8D99" w:rsidR="008D775D" w:rsidRDefault="008D775D" w:rsidP="008A0EF2">
      <w:pPr>
        <w:pStyle w:val="Heading1"/>
        <w:rPr>
          <w:b/>
          <w:bCs/>
        </w:rPr>
      </w:pPr>
      <w:r>
        <w:rPr>
          <w:b/>
          <w:bCs/>
        </w:rPr>
        <w:t>How Structure of US Banking Formed/Evolved?</w:t>
      </w:r>
    </w:p>
    <w:p w14:paraId="16C08F95" w14:textId="7FBE72B6" w:rsidR="008D775D" w:rsidRPr="008D775D" w:rsidRDefault="008D775D" w:rsidP="008D775D">
      <w:pPr>
        <w:rPr>
          <w:sz w:val="28"/>
          <w:szCs w:val="28"/>
        </w:rPr>
      </w:pPr>
      <w:r w:rsidRPr="008D775D">
        <w:rPr>
          <w:sz w:val="28"/>
          <w:szCs w:val="28"/>
        </w:rPr>
        <w:t>The structure of the banking system in the United States has evolved significantly over time, shaped by historical events, legislation, and economic conditions. Here's a brief overview of how it formed:</w:t>
      </w:r>
    </w:p>
    <w:p w14:paraId="6414E22C" w14:textId="4AC42BE1" w:rsidR="008D775D" w:rsidRPr="008D775D" w:rsidRDefault="008D775D" w:rsidP="008D775D">
      <w:pPr>
        <w:pStyle w:val="ListParagraph"/>
        <w:numPr>
          <w:ilvl w:val="0"/>
          <w:numId w:val="10"/>
        </w:numPr>
        <w:rPr>
          <w:sz w:val="28"/>
          <w:szCs w:val="28"/>
        </w:rPr>
      </w:pPr>
      <w:r w:rsidRPr="008D775D">
        <w:rPr>
          <w:b/>
          <w:bCs/>
          <w:sz w:val="28"/>
          <w:szCs w:val="28"/>
        </w:rPr>
        <w:t>Early Development:</w:t>
      </w:r>
      <w:r w:rsidRPr="008D775D">
        <w:rPr>
          <w:sz w:val="28"/>
          <w:szCs w:val="28"/>
        </w:rPr>
        <w:t xml:space="preserve"> In the early days of the United States, banking was largely decentralized, with numerous state-chartered banks issuing their own currency. This led to a chaotic banking system prone to instability and fraud.</w:t>
      </w:r>
    </w:p>
    <w:p w14:paraId="76667417" w14:textId="62D435F8" w:rsidR="008D775D" w:rsidRPr="008D775D" w:rsidRDefault="008D775D" w:rsidP="008D775D">
      <w:pPr>
        <w:pStyle w:val="ListParagraph"/>
        <w:numPr>
          <w:ilvl w:val="0"/>
          <w:numId w:val="10"/>
        </w:numPr>
        <w:rPr>
          <w:sz w:val="28"/>
          <w:szCs w:val="28"/>
        </w:rPr>
      </w:pPr>
      <w:r w:rsidRPr="008D775D">
        <w:rPr>
          <w:b/>
          <w:bCs/>
          <w:sz w:val="28"/>
          <w:szCs w:val="28"/>
        </w:rPr>
        <w:t>National Banking Acts:</w:t>
      </w:r>
      <w:r w:rsidRPr="008D775D">
        <w:rPr>
          <w:sz w:val="28"/>
          <w:szCs w:val="28"/>
        </w:rPr>
        <w:t xml:space="preserve"> In response to the instability of the banking system, the U.S. government passed a series of National Banking Acts in the mid-19th century. These acts established a system of nationally chartered banks, overseen by the Office of the Comptroller of the Currency (OCC). These banks were required to hold federal government bonds as a reserve.</w:t>
      </w:r>
    </w:p>
    <w:p w14:paraId="05E64BAB" w14:textId="02276621" w:rsidR="008D775D" w:rsidRPr="008D775D" w:rsidRDefault="008D775D" w:rsidP="008D775D">
      <w:pPr>
        <w:pStyle w:val="ListParagraph"/>
        <w:numPr>
          <w:ilvl w:val="0"/>
          <w:numId w:val="10"/>
        </w:numPr>
        <w:rPr>
          <w:sz w:val="28"/>
          <w:szCs w:val="28"/>
        </w:rPr>
      </w:pPr>
      <w:r w:rsidRPr="008D775D">
        <w:rPr>
          <w:b/>
          <w:bCs/>
          <w:sz w:val="28"/>
          <w:szCs w:val="28"/>
        </w:rPr>
        <w:t>Federal Reserve System:</w:t>
      </w:r>
      <w:r w:rsidRPr="008D775D">
        <w:rPr>
          <w:sz w:val="28"/>
          <w:szCs w:val="28"/>
        </w:rPr>
        <w:t xml:space="preserve"> The Federal Reserve System was established in 1913 to provide a more stable monetary and banking system. It consists of 12 regional Federal Reserve Banks, overseen by the Federal Reserve Board in Washington, D.C. The Fed serves as the central bank of the United States, responsible for conducting monetary policy, supervising and regulating banks, and providing financial services to banks and the federal government.</w:t>
      </w:r>
    </w:p>
    <w:p w14:paraId="43417863" w14:textId="6E358928" w:rsidR="008D775D" w:rsidRPr="008D775D" w:rsidRDefault="008D775D" w:rsidP="008D775D">
      <w:pPr>
        <w:pStyle w:val="ListParagraph"/>
        <w:numPr>
          <w:ilvl w:val="0"/>
          <w:numId w:val="10"/>
        </w:numPr>
        <w:rPr>
          <w:sz w:val="28"/>
          <w:szCs w:val="28"/>
        </w:rPr>
      </w:pPr>
      <w:r w:rsidRPr="008D775D">
        <w:rPr>
          <w:b/>
          <w:bCs/>
          <w:sz w:val="28"/>
          <w:szCs w:val="28"/>
        </w:rPr>
        <w:t>Glass-Steagall Act:</w:t>
      </w:r>
      <w:r w:rsidRPr="008D775D">
        <w:rPr>
          <w:sz w:val="28"/>
          <w:szCs w:val="28"/>
        </w:rPr>
        <w:t xml:space="preserve"> In response to the Great Depression</w:t>
      </w:r>
      <w:r w:rsidR="000814ED">
        <w:rPr>
          <w:sz w:val="28"/>
          <w:szCs w:val="28"/>
        </w:rPr>
        <w:t xml:space="preserve"> (1929 – 1933)</w:t>
      </w:r>
      <w:r w:rsidRPr="008D775D">
        <w:rPr>
          <w:sz w:val="28"/>
          <w:szCs w:val="28"/>
        </w:rPr>
        <w:t>, the Glass-Steagall Act of 1933 was passed, separating commercial banking activities (such as taking deposits and making loans) from investment banking activities (such as underwriting securities). This legislation aimed to prevent conflicts of interest and reduce the risk of bank failures.</w:t>
      </w:r>
    </w:p>
    <w:p w14:paraId="41B436DF" w14:textId="77777777" w:rsidR="008D775D" w:rsidRPr="008D775D" w:rsidRDefault="008D775D" w:rsidP="008D775D">
      <w:pPr>
        <w:pStyle w:val="ListParagraph"/>
        <w:numPr>
          <w:ilvl w:val="0"/>
          <w:numId w:val="10"/>
        </w:numPr>
        <w:rPr>
          <w:sz w:val="28"/>
          <w:szCs w:val="28"/>
        </w:rPr>
      </w:pPr>
      <w:r w:rsidRPr="008D775D">
        <w:rPr>
          <w:b/>
          <w:bCs/>
          <w:sz w:val="28"/>
          <w:szCs w:val="28"/>
        </w:rPr>
        <w:t>Deregulation:</w:t>
      </w:r>
      <w:r w:rsidRPr="008D775D">
        <w:rPr>
          <w:sz w:val="28"/>
          <w:szCs w:val="28"/>
        </w:rPr>
        <w:t xml:space="preserve"> Starting in the 1970s and accelerating in the 1980s and 1990s, there was a wave of deregulation in the banking industry. This included the repeal of key provisions of the Glass-Steagall Act with the Gramm-Leach-Bliley Act in 1999, allowing for the consolidation of commercial and investment banking activities.</w:t>
      </w:r>
    </w:p>
    <w:p w14:paraId="39A9D8BC" w14:textId="77777777" w:rsidR="008D775D" w:rsidRPr="008D775D" w:rsidRDefault="008D775D" w:rsidP="008D775D">
      <w:pPr>
        <w:rPr>
          <w:sz w:val="28"/>
          <w:szCs w:val="28"/>
        </w:rPr>
      </w:pPr>
    </w:p>
    <w:p w14:paraId="6436C4CC" w14:textId="71B85D17" w:rsidR="008D775D" w:rsidRPr="008D775D" w:rsidRDefault="008D775D" w:rsidP="008D775D">
      <w:pPr>
        <w:pStyle w:val="ListParagraph"/>
        <w:numPr>
          <w:ilvl w:val="0"/>
          <w:numId w:val="10"/>
        </w:numPr>
        <w:rPr>
          <w:sz w:val="28"/>
          <w:szCs w:val="28"/>
        </w:rPr>
      </w:pPr>
      <w:r w:rsidRPr="008D775D">
        <w:rPr>
          <w:b/>
          <w:bCs/>
          <w:sz w:val="28"/>
          <w:szCs w:val="28"/>
        </w:rPr>
        <w:t>Consolidation:</w:t>
      </w:r>
      <w:r w:rsidRPr="008D775D">
        <w:rPr>
          <w:sz w:val="28"/>
          <w:szCs w:val="28"/>
        </w:rPr>
        <w:t xml:space="preserve"> Deregulation led to significant consolidation in the banking industry, with larger banks acquiring smaller banks and expanding their operations across state lines. This trend continued into the 21st century, resulting in a smaller number of large, national banks dominating the industry.</w:t>
      </w:r>
    </w:p>
    <w:p w14:paraId="48F95ED0" w14:textId="2428AE7D" w:rsidR="008D775D" w:rsidRPr="008D775D" w:rsidRDefault="008D775D" w:rsidP="008D775D">
      <w:pPr>
        <w:pStyle w:val="ListParagraph"/>
        <w:numPr>
          <w:ilvl w:val="0"/>
          <w:numId w:val="10"/>
        </w:numPr>
        <w:rPr>
          <w:sz w:val="28"/>
          <w:szCs w:val="28"/>
        </w:rPr>
      </w:pPr>
      <w:r w:rsidRPr="008D775D">
        <w:rPr>
          <w:b/>
          <w:bCs/>
          <w:sz w:val="28"/>
          <w:szCs w:val="28"/>
        </w:rPr>
        <w:t>Financial Crisis and Regulation:</w:t>
      </w:r>
      <w:r w:rsidRPr="008D775D">
        <w:rPr>
          <w:sz w:val="28"/>
          <w:szCs w:val="28"/>
        </w:rPr>
        <w:t xml:space="preserve"> The financial crisis of 2007-2008 highlighted the risks posed by large, interconnected financial institutions. In response, the Dodd-Frank Wall Street Reform and Consumer Protection Act was passed in 2010, implementing a wide range of reforms aimed at increasing transparency, reducing systemic risk, and enhancing consumer protections in the financial system.</w:t>
      </w:r>
    </w:p>
    <w:p w14:paraId="0B8263DC" w14:textId="0A8A5621" w:rsidR="008A0EF2" w:rsidRPr="008A0EF2" w:rsidRDefault="008A0EF2" w:rsidP="008A0EF2">
      <w:pPr>
        <w:pStyle w:val="Heading1"/>
        <w:rPr>
          <w:b/>
          <w:bCs/>
        </w:rPr>
      </w:pPr>
      <w:r w:rsidRPr="008A0EF2">
        <w:rPr>
          <w:b/>
          <w:bCs/>
        </w:rPr>
        <w:t>S</w:t>
      </w:r>
      <w:r w:rsidR="008D775D">
        <w:rPr>
          <w:b/>
          <w:bCs/>
        </w:rPr>
        <w:t>ize and Structure</w:t>
      </w:r>
    </w:p>
    <w:p w14:paraId="7B55D00A" w14:textId="0892E156" w:rsidR="00A62FE6" w:rsidRPr="008A0EF2" w:rsidRDefault="00A62FE6" w:rsidP="008A0EF2">
      <w:pPr>
        <w:rPr>
          <w:b/>
          <w:bCs/>
          <w:sz w:val="32"/>
          <w:szCs w:val="32"/>
        </w:rPr>
      </w:pPr>
      <w:r w:rsidRPr="008A0EF2">
        <w:rPr>
          <w:b/>
          <w:bCs/>
          <w:sz w:val="32"/>
          <w:szCs w:val="32"/>
        </w:rPr>
        <w:t>1. Number of Banks:</w:t>
      </w:r>
    </w:p>
    <w:p w14:paraId="76CE1B66" w14:textId="36285F77" w:rsidR="00A62FE6" w:rsidRPr="00A62FE6" w:rsidRDefault="00A62FE6" w:rsidP="00A62FE6">
      <w:pPr>
        <w:rPr>
          <w:sz w:val="28"/>
          <w:szCs w:val="28"/>
        </w:rPr>
      </w:pPr>
      <w:r w:rsidRPr="00A62FE6">
        <w:rPr>
          <w:sz w:val="28"/>
          <w:szCs w:val="28"/>
        </w:rPr>
        <w:t xml:space="preserve">   As of 2023, there are approximately 4,300 commercial banks in the United States, including large national banks and smaller regional and community banks.</w:t>
      </w:r>
    </w:p>
    <w:p w14:paraId="5BFE21EC" w14:textId="491677CD" w:rsidR="00A62FE6" w:rsidRPr="008A0EF2" w:rsidRDefault="00A62FE6" w:rsidP="008A0EF2">
      <w:pPr>
        <w:rPr>
          <w:b/>
          <w:bCs/>
          <w:sz w:val="32"/>
          <w:szCs w:val="32"/>
        </w:rPr>
      </w:pPr>
      <w:r w:rsidRPr="008A0EF2">
        <w:rPr>
          <w:b/>
          <w:bCs/>
          <w:sz w:val="32"/>
          <w:szCs w:val="32"/>
        </w:rPr>
        <w:t>2. Assets:</w:t>
      </w:r>
    </w:p>
    <w:p w14:paraId="6B6C7CEC" w14:textId="6E64403D" w:rsidR="008A0EF2" w:rsidRDefault="00A62FE6" w:rsidP="00A62FE6">
      <w:pPr>
        <w:rPr>
          <w:sz w:val="28"/>
          <w:szCs w:val="28"/>
        </w:rPr>
      </w:pPr>
      <w:r w:rsidRPr="00A62FE6">
        <w:rPr>
          <w:sz w:val="28"/>
          <w:szCs w:val="28"/>
        </w:rPr>
        <w:t xml:space="preserve">   The total assets of the US banking system stood at around $24 trillion in 2023, with the largest banks (JPMorgan Chase, Bank of America, Wells Fargo</w:t>
      </w:r>
      <w:r w:rsidR="008D775D" w:rsidRPr="00A62FE6">
        <w:rPr>
          <w:sz w:val="28"/>
          <w:szCs w:val="28"/>
        </w:rPr>
        <w:t xml:space="preserve">, </w:t>
      </w:r>
      <w:proofErr w:type="spellStart"/>
      <w:r w:rsidR="008D775D" w:rsidRPr="00A62FE6">
        <w:rPr>
          <w:sz w:val="28"/>
          <w:szCs w:val="28"/>
        </w:rPr>
        <w:t>citibank</w:t>
      </w:r>
      <w:proofErr w:type="spellEnd"/>
      <w:r w:rsidR="008D775D" w:rsidRPr="00A62FE6">
        <w:rPr>
          <w:sz w:val="28"/>
          <w:szCs w:val="28"/>
        </w:rPr>
        <w:t xml:space="preserve">, and </w:t>
      </w:r>
      <w:proofErr w:type="spellStart"/>
      <w:proofErr w:type="gramStart"/>
      <w:r w:rsidR="008D775D" w:rsidRPr="00A62FE6">
        <w:rPr>
          <w:sz w:val="28"/>
          <w:szCs w:val="28"/>
        </w:rPr>
        <w:t>goldman</w:t>
      </w:r>
      <w:proofErr w:type="spellEnd"/>
      <w:r w:rsidR="008D775D" w:rsidRPr="00A62FE6">
        <w:rPr>
          <w:sz w:val="28"/>
          <w:szCs w:val="28"/>
        </w:rPr>
        <w:t xml:space="preserve"> </w:t>
      </w:r>
      <w:proofErr w:type="spellStart"/>
      <w:r w:rsidR="008D775D" w:rsidRPr="00A62FE6">
        <w:rPr>
          <w:sz w:val="28"/>
          <w:szCs w:val="28"/>
        </w:rPr>
        <w:t>sachs</w:t>
      </w:r>
      <w:proofErr w:type="spellEnd"/>
      <w:proofErr w:type="gramEnd"/>
      <w:r w:rsidR="008D775D" w:rsidRPr="00A62FE6">
        <w:rPr>
          <w:sz w:val="28"/>
          <w:szCs w:val="28"/>
        </w:rPr>
        <w:t>) holding a significant share.</w:t>
      </w:r>
    </w:p>
    <w:p w14:paraId="56E08D11" w14:textId="77777777" w:rsidR="0090328B" w:rsidRPr="00A62FE6" w:rsidRDefault="0090328B" w:rsidP="00A62FE6">
      <w:pPr>
        <w:rPr>
          <w:sz w:val="28"/>
          <w:szCs w:val="28"/>
        </w:rPr>
      </w:pPr>
    </w:p>
    <w:p w14:paraId="26D5312F" w14:textId="70867510" w:rsidR="00A62FE6" w:rsidRPr="008A0EF2" w:rsidRDefault="008D775D" w:rsidP="008A0EF2">
      <w:pPr>
        <w:pStyle w:val="Heading2"/>
        <w:rPr>
          <w:b/>
          <w:bCs/>
          <w:sz w:val="36"/>
          <w:szCs w:val="36"/>
        </w:rPr>
      </w:pPr>
      <w:r>
        <w:rPr>
          <w:b/>
          <w:bCs/>
          <w:sz w:val="36"/>
          <w:szCs w:val="36"/>
        </w:rPr>
        <w:t>M</w:t>
      </w:r>
      <w:r w:rsidRPr="008A0EF2">
        <w:rPr>
          <w:b/>
          <w:bCs/>
          <w:sz w:val="36"/>
          <w:szCs w:val="36"/>
        </w:rPr>
        <w:t xml:space="preserve">ajor </w:t>
      </w:r>
      <w:r>
        <w:rPr>
          <w:b/>
          <w:bCs/>
          <w:sz w:val="36"/>
          <w:szCs w:val="36"/>
        </w:rPr>
        <w:t>R</w:t>
      </w:r>
      <w:r w:rsidRPr="008A0EF2">
        <w:rPr>
          <w:b/>
          <w:bCs/>
          <w:sz w:val="36"/>
          <w:szCs w:val="36"/>
        </w:rPr>
        <w:t xml:space="preserve">evenue </w:t>
      </w:r>
      <w:r>
        <w:rPr>
          <w:b/>
          <w:bCs/>
          <w:sz w:val="36"/>
          <w:szCs w:val="36"/>
        </w:rPr>
        <w:t>S</w:t>
      </w:r>
      <w:r w:rsidRPr="008A0EF2">
        <w:rPr>
          <w:b/>
          <w:bCs/>
          <w:sz w:val="36"/>
          <w:szCs w:val="36"/>
        </w:rPr>
        <w:t>ources</w:t>
      </w:r>
      <w:r>
        <w:rPr>
          <w:b/>
          <w:bCs/>
          <w:sz w:val="36"/>
          <w:szCs w:val="36"/>
        </w:rPr>
        <w:t>:</w:t>
      </w:r>
    </w:p>
    <w:p w14:paraId="5BCC9909" w14:textId="3433DAEF" w:rsidR="00A62FE6" w:rsidRPr="00A62FE6" w:rsidRDefault="00A62FE6" w:rsidP="00A62FE6">
      <w:pPr>
        <w:ind w:left="720"/>
        <w:rPr>
          <w:b/>
          <w:bCs/>
          <w:sz w:val="28"/>
          <w:szCs w:val="28"/>
        </w:rPr>
      </w:pPr>
      <w:r w:rsidRPr="00A62FE6">
        <w:rPr>
          <w:b/>
          <w:bCs/>
          <w:sz w:val="28"/>
          <w:szCs w:val="28"/>
        </w:rPr>
        <w:t>1. Interest Income:</w:t>
      </w:r>
    </w:p>
    <w:p w14:paraId="552AABE6" w14:textId="59EE7E53" w:rsidR="00A62FE6" w:rsidRPr="00A62FE6" w:rsidRDefault="00A62FE6" w:rsidP="00A62FE6">
      <w:pPr>
        <w:ind w:left="720"/>
        <w:rPr>
          <w:sz w:val="28"/>
          <w:szCs w:val="28"/>
        </w:rPr>
      </w:pPr>
      <w:r w:rsidRPr="00A62FE6">
        <w:rPr>
          <w:sz w:val="28"/>
          <w:szCs w:val="28"/>
        </w:rPr>
        <w:t xml:space="preserve">   - In 2022, the net interest income for all FDIC-insured institutions was approximately $560 billion. This constitutes a significant portion of the banks' overall revenue.</w:t>
      </w:r>
    </w:p>
    <w:p w14:paraId="611181DA" w14:textId="1C03A21C" w:rsidR="00A62FE6" w:rsidRPr="00A62FE6" w:rsidRDefault="00A62FE6" w:rsidP="00A62FE6">
      <w:pPr>
        <w:ind w:left="720"/>
        <w:rPr>
          <w:b/>
          <w:bCs/>
          <w:sz w:val="28"/>
          <w:szCs w:val="28"/>
        </w:rPr>
      </w:pPr>
      <w:r w:rsidRPr="00A62FE6">
        <w:rPr>
          <w:b/>
          <w:bCs/>
          <w:sz w:val="28"/>
          <w:szCs w:val="28"/>
        </w:rPr>
        <w:t>2. Non-Interest Income:</w:t>
      </w:r>
    </w:p>
    <w:p w14:paraId="1EF1BDB4" w14:textId="2D712439" w:rsidR="00A62FE6" w:rsidRPr="00A62FE6" w:rsidRDefault="00A62FE6" w:rsidP="00A62FE6">
      <w:pPr>
        <w:ind w:left="720"/>
        <w:rPr>
          <w:sz w:val="28"/>
          <w:szCs w:val="28"/>
        </w:rPr>
      </w:pPr>
      <w:r w:rsidRPr="00A62FE6">
        <w:rPr>
          <w:sz w:val="28"/>
          <w:szCs w:val="28"/>
        </w:rPr>
        <w:t xml:space="preserve">   - Non-interest income, which includes fees and commissions, was about $260 billion in 2022. This includes income from services such </w:t>
      </w:r>
      <w:r w:rsidRPr="00A62FE6">
        <w:rPr>
          <w:sz w:val="28"/>
          <w:szCs w:val="28"/>
        </w:rPr>
        <w:lastRenderedPageBreak/>
        <w:t>as account maintenance fees, transaction fees, and advisory services.</w:t>
      </w:r>
    </w:p>
    <w:p w14:paraId="3B0754F8" w14:textId="003EF803" w:rsidR="00A62FE6" w:rsidRPr="00A62FE6" w:rsidRDefault="00A62FE6" w:rsidP="00A62FE6">
      <w:pPr>
        <w:ind w:left="720"/>
        <w:rPr>
          <w:b/>
          <w:bCs/>
          <w:sz w:val="28"/>
          <w:szCs w:val="28"/>
        </w:rPr>
      </w:pPr>
      <w:r w:rsidRPr="00A62FE6">
        <w:rPr>
          <w:b/>
          <w:bCs/>
          <w:sz w:val="28"/>
          <w:szCs w:val="28"/>
        </w:rPr>
        <w:t>3. Trading Revenue:</w:t>
      </w:r>
    </w:p>
    <w:p w14:paraId="5450E77D" w14:textId="68877206" w:rsidR="00A62FE6" w:rsidRPr="00A62FE6" w:rsidRDefault="00A62FE6" w:rsidP="00A62FE6">
      <w:pPr>
        <w:ind w:left="720"/>
        <w:rPr>
          <w:sz w:val="28"/>
          <w:szCs w:val="28"/>
        </w:rPr>
      </w:pPr>
      <w:r w:rsidRPr="00A62FE6">
        <w:rPr>
          <w:sz w:val="28"/>
          <w:szCs w:val="28"/>
        </w:rPr>
        <w:t xml:space="preserve">   - Investment banking and trading revenue for the largest banks (such as Goldman Sachs and JPMorgan Chase) contributed significantly to their overall earnings. For instance, JPMorgan Chase reported trading revenues of around $24 billion in 2022.</w:t>
      </w:r>
    </w:p>
    <w:p w14:paraId="3ECD9681" w14:textId="1F255F76" w:rsidR="00A62FE6" w:rsidRPr="008D775D" w:rsidRDefault="00A62FE6" w:rsidP="008D775D">
      <w:pPr>
        <w:ind w:left="720"/>
        <w:rPr>
          <w:sz w:val="28"/>
          <w:szCs w:val="28"/>
        </w:rPr>
      </w:pPr>
      <w:r w:rsidRPr="00A62FE6">
        <w:rPr>
          <w:b/>
          <w:bCs/>
          <w:sz w:val="28"/>
          <w:szCs w:val="28"/>
        </w:rPr>
        <w:t>4. Wealth Management and Advisory Services:</w:t>
      </w:r>
    </w:p>
    <w:p w14:paraId="4DD71E2E" w14:textId="51CADBC3" w:rsidR="008D775D" w:rsidRDefault="00A62FE6" w:rsidP="008D775D">
      <w:pPr>
        <w:ind w:left="720"/>
        <w:rPr>
          <w:sz w:val="28"/>
          <w:szCs w:val="28"/>
        </w:rPr>
      </w:pPr>
      <w:r w:rsidRPr="00A62FE6">
        <w:rPr>
          <w:sz w:val="28"/>
          <w:szCs w:val="28"/>
        </w:rPr>
        <w:t xml:space="preserve">   - Banks like Bank of America, which operates Merrill Lynch, generated substantial revenue from wealth management services, with total assets under management exceeding $1.4 trillion.</w:t>
      </w:r>
    </w:p>
    <w:p w14:paraId="63755BFB" w14:textId="4C0CBD6D" w:rsidR="0073727F" w:rsidRPr="00A62FE6" w:rsidRDefault="0073727F" w:rsidP="008D775D">
      <w:pPr>
        <w:ind w:left="720"/>
        <w:rPr>
          <w:sz w:val="28"/>
          <w:szCs w:val="28"/>
        </w:rPr>
      </w:pPr>
    </w:p>
    <w:p w14:paraId="6D535F47" w14:textId="4B948B34" w:rsidR="00A62FE6" w:rsidRPr="008A0EF2" w:rsidRDefault="008D775D" w:rsidP="00A62FE6">
      <w:pPr>
        <w:pStyle w:val="Heading2"/>
        <w:rPr>
          <w:b/>
          <w:bCs/>
          <w:sz w:val="36"/>
          <w:szCs w:val="36"/>
        </w:rPr>
      </w:pPr>
      <w:r w:rsidRPr="008A0EF2">
        <w:rPr>
          <w:b/>
          <w:bCs/>
          <w:sz w:val="36"/>
          <w:szCs w:val="36"/>
        </w:rPr>
        <w:t>Loan System</w:t>
      </w:r>
      <w:r>
        <w:rPr>
          <w:b/>
          <w:bCs/>
          <w:sz w:val="36"/>
          <w:szCs w:val="36"/>
        </w:rPr>
        <w:t>:</w:t>
      </w:r>
    </w:p>
    <w:p w14:paraId="327B2340" w14:textId="47175FEC" w:rsidR="00A62FE6" w:rsidRPr="00A62FE6" w:rsidRDefault="00A62FE6" w:rsidP="00A62FE6">
      <w:pPr>
        <w:ind w:left="720"/>
        <w:rPr>
          <w:b/>
          <w:bCs/>
          <w:sz w:val="28"/>
          <w:szCs w:val="28"/>
        </w:rPr>
      </w:pPr>
      <w:r w:rsidRPr="00A62FE6">
        <w:rPr>
          <w:b/>
          <w:bCs/>
          <w:sz w:val="28"/>
          <w:szCs w:val="28"/>
        </w:rPr>
        <w:t>1. Loan Types and Balances:</w:t>
      </w:r>
    </w:p>
    <w:p w14:paraId="39041CDA" w14:textId="5F230A06" w:rsidR="00A62FE6" w:rsidRPr="00A62FE6" w:rsidRDefault="00A62FE6" w:rsidP="00A62FE6">
      <w:pPr>
        <w:pStyle w:val="ListParagraph"/>
        <w:numPr>
          <w:ilvl w:val="0"/>
          <w:numId w:val="9"/>
        </w:numPr>
        <w:rPr>
          <w:sz w:val="28"/>
          <w:szCs w:val="28"/>
        </w:rPr>
      </w:pPr>
      <w:r w:rsidRPr="00A62FE6">
        <w:rPr>
          <w:sz w:val="28"/>
          <w:szCs w:val="28"/>
        </w:rPr>
        <w:t>As of 2023, the total loan balances held by commercial banks in the US were around $11 trillion, distributed across various categories:</w:t>
      </w:r>
    </w:p>
    <w:p w14:paraId="6DD39F6C" w14:textId="22CC2B4F" w:rsidR="00A62FE6" w:rsidRPr="00A62FE6" w:rsidRDefault="00A62FE6" w:rsidP="00A62FE6">
      <w:pPr>
        <w:pStyle w:val="ListParagraph"/>
        <w:numPr>
          <w:ilvl w:val="0"/>
          <w:numId w:val="9"/>
        </w:numPr>
        <w:rPr>
          <w:sz w:val="28"/>
          <w:szCs w:val="28"/>
        </w:rPr>
      </w:pPr>
      <w:r w:rsidRPr="00A62FE6">
        <w:rPr>
          <w:sz w:val="28"/>
          <w:szCs w:val="28"/>
        </w:rPr>
        <w:t>Residential Mortgages: Approximately $4.5 trillion.</w:t>
      </w:r>
    </w:p>
    <w:p w14:paraId="6A97F655" w14:textId="22109AF6" w:rsidR="00A62FE6" w:rsidRPr="00A62FE6" w:rsidRDefault="00A62FE6" w:rsidP="00A62FE6">
      <w:pPr>
        <w:pStyle w:val="ListParagraph"/>
        <w:numPr>
          <w:ilvl w:val="0"/>
          <w:numId w:val="9"/>
        </w:numPr>
        <w:rPr>
          <w:sz w:val="28"/>
          <w:szCs w:val="28"/>
        </w:rPr>
      </w:pPr>
      <w:r w:rsidRPr="00A62FE6">
        <w:rPr>
          <w:sz w:val="28"/>
          <w:szCs w:val="28"/>
        </w:rPr>
        <w:t>Commercial and Industrial Loans: Around $2.5 trillion.</w:t>
      </w:r>
    </w:p>
    <w:p w14:paraId="62D1FDB5" w14:textId="0D340250" w:rsidR="00A62FE6" w:rsidRPr="00A62FE6" w:rsidRDefault="00A62FE6" w:rsidP="00A62FE6">
      <w:pPr>
        <w:pStyle w:val="ListParagraph"/>
        <w:numPr>
          <w:ilvl w:val="0"/>
          <w:numId w:val="9"/>
        </w:numPr>
        <w:rPr>
          <w:sz w:val="28"/>
          <w:szCs w:val="28"/>
        </w:rPr>
      </w:pPr>
      <w:r w:rsidRPr="00A62FE6">
        <w:rPr>
          <w:sz w:val="28"/>
          <w:szCs w:val="28"/>
        </w:rPr>
        <w:t>Consumer Loans (including credit cards): Approximately $1.6 trillion.</w:t>
      </w:r>
    </w:p>
    <w:p w14:paraId="4CA32C39" w14:textId="4F0491B8" w:rsidR="00A62FE6" w:rsidRPr="00A62FE6" w:rsidRDefault="00A62FE6" w:rsidP="00A62FE6">
      <w:pPr>
        <w:pStyle w:val="ListParagraph"/>
        <w:numPr>
          <w:ilvl w:val="0"/>
          <w:numId w:val="9"/>
        </w:numPr>
        <w:rPr>
          <w:sz w:val="28"/>
          <w:szCs w:val="28"/>
        </w:rPr>
      </w:pPr>
      <w:r w:rsidRPr="00A62FE6">
        <w:rPr>
          <w:sz w:val="28"/>
          <w:szCs w:val="28"/>
        </w:rPr>
        <w:t>Commercial Real Estate Loans: About $2 trillion.</w:t>
      </w:r>
    </w:p>
    <w:p w14:paraId="2AE45B87" w14:textId="00A57BDB" w:rsidR="00A62FE6" w:rsidRPr="00A62FE6" w:rsidRDefault="00A62FE6" w:rsidP="00A62FE6">
      <w:pPr>
        <w:ind w:left="1571" w:hanging="851"/>
        <w:rPr>
          <w:b/>
          <w:bCs/>
          <w:sz w:val="28"/>
          <w:szCs w:val="28"/>
        </w:rPr>
      </w:pPr>
      <w:r w:rsidRPr="00A62FE6">
        <w:rPr>
          <w:b/>
          <w:bCs/>
          <w:sz w:val="28"/>
          <w:szCs w:val="28"/>
        </w:rPr>
        <w:t>2. Interest Rates:</w:t>
      </w:r>
    </w:p>
    <w:p w14:paraId="15981533" w14:textId="43AEA536" w:rsidR="00A62FE6" w:rsidRPr="00A62FE6" w:rsidRDefault="00A62FE6" w:rsidP="00A62FE6">
      <w:pPr>
        <w:pStyle w:val="ListParagraph"/>
        <w:numPr>
          <w:ilvl w:val="0"/>
          <w:numId w:val="8"/>
        </w:numPr>
        <w:rPr>
          <w:sz w:val="28"/>
          <w:szCs w:val="28"/>
        </w:rPr>
      </w:pPr>
      <w:r w:rsidRPr="00A62FE6">
        <w:rPr>
          <w:sz w:val="28"/>
          <w:szCs w:val="28"/>
        </w:rPr>
        <w:t>Average interest rates for various types of loans as of 2023:</w:t>
      </w:r>
    </w:p>
    <w:p w14:paraId="06720020" w14:textId="51934E98" w:rsidR="00A62FE6" w:rsidRPr="00A62FE6" w:rsidRDefault="00A62FE6" w:rsidP="00A62FE6">
      <w:pPr>
        <w:pStyle w:val="ListParagraph"/>
        <w:numPr>
          <w:ilvl w:val="0"/>
          <w:numId w:val="8"/>
        </w:numPr>
        <w:rPr>
          <w:sz w:val="28"/>
          <w:szCs w:val="28"/>
        </w:rPr>
      </w:pPr>
      <w:r w:rsidRPr="00A62FE6">
        <w:rPr>
          <w:sz w:val="28"/>
          <w:szCs w:val="28"/>
        </w:rPr>
        <w:t>30-year fixed-rate mortgages: Around 6.5%.</w:t>
      </w:r>
    </w:p>
    <w:p w14:paraId="5E7B80BF" w14:textId="3376577A" w:rsidR="00A62FE6" w:rsidRPr="00A62FE6" w:rsidRDefault="00A62FE6" w:rsidP="00A62FE6">
      <w:pPr>
        <w:pStyle w:val="ListParagraph"/>
        <w:numPr>
          <w:ilvl w:val="0"/>
          <w:numId w:val="8"/>
        </w:numPr>
        <w:rPr>
          <w:sz w:val="28"/>
          <w:szCs w:val="28"/>
        </w:rPr>
      </w:pPr>
      <w:r w:rsidRPr="00A62FE6">
        <w:rPr>
          <w:sz w:val="28"/>
          <w:szCs w:val="28"/>
        </w:rPr>
        <w:t>Credit card interest rates: Approximately 20%.</w:t>
      </w:r>
    </w:p>
    <w:p w14:paraId="43071746" w14:textId="5E1A6C68" w:rsidR="00A62FE6" w:rsidRPr="00A62FE6" w:rsidRDefault="00A62FE6" w:rsidP="00A62FE6">
      <w:pPr>
        <w:pStyle w:val="ListParagraph"/>
        <w:numPr>
          <w:ilvl w:val="0"/>
          <w:numId w:val="8"/>
        </w:numPr>
        <w:rPr>
          <w:sz w:val="28"/>
          <w:szCs w:val="28"/>
        </w:rPr>
      </w:pPr>
      <w:r w:rsidRPr="00A62FE6">
        <w:rPr>
          <w:sz w:val="28"/>
          <w:szCs w:val="28"/>
        </w:rPr>
        <w:t>Personal loans: Ranging from 10% to 15% depending on the borrower's credit score.</w:t>
      </w:r>
    </w:p>
    <w:p w14:paraId="6CDFEB91" w14:textId="351D7550" w:rsidR="00A62FE6" w:rsidRPr="00A62FE6" w:rsidRDefault="00A62FE6" w:rsidP="00A62FE6">
      <w:pPr>
        <w:pStyle w:val="ListParagraph"/>
        <w:numPr>
          <w:ilvl w:val="0"/>
          <w:numId w:val="8"/>
        </w:numPr>
        <w:rPr>
          <w:sz w:val="28"/>
          <w:szCs w:val="28"/>
        </w:rPr>
      </w:pPr>
      <w:r w:rsidRPr="00A62FE6">
        <w:rPr>
          <w:sz w:val="28"/>
          <w:szCs w:val="28"/>
        </w:rPr>
        <w:t xml:space="preserve">Small business loans: </w:t>
      </w:r>
      <w:proofErr w:type="gramStart"/>
      <w:r w:rsidRPr="00A62FE6">
        <w:rPr>
          <w:sz w:val="28"/>
          <w:szCs w:val="28"/>
        </w:rPr>
        <w:t>Typically</w:t>
      </w:r>
      <w:proofErr w:type="gramEnd"/>
      <w:r w:rsidRPr="00A62FE6">
        <w:rPr>
          <w:sz w:val="28"/>
          <w:szCs w:val="28"/>
        </w:rPr>
        <w:t xml:space="preserve"> between 4% and 9%.</w:t>
      </w:r>
    </w:p>
    <w:p w14:paraId="13D639AA" w14:textId="77777777" w:rsidR="0073727F" w:rsidRDefault="0073727F">
      <w:pPr>
        <w:rPr>
          <w:b/>
          <w:bCs/>
          <w:sz w:val="28"/>
          <w:szCs w:val="28"/>
        </w:rPr>
      </w:pPr>
      <w:r>
        <w:rPr>
          <w:b/>
          <w:bCs/>
          <w:sz w:val="28"/>
          <w:szCs w:val="28"/>
        </w:rPr>
        <w:br w:type="page"/>
      </w:r>
    </w:p>
    <w:p w14:paraId="655D0B0B" w14:textId="0994282F" w:rsidR="00A62FE6" w:rsidRPr="00A62FE6" w:rsidRDefault="00A62FE6" w:rsidP="00A62FE6">
      <w:pPr>
        <w:ind w:left="720"/>
        <w:rPr>
          <w:b/>
          <w:bCs/>
          <w:sz w:val="28"/>
          <w:szCs w:val="28"/>
        </w:rPr>
      </w:pPr>
      <w:r w:rsidRPr="00A62FE6">
        <w:rPr>
          <w:b/>
          <w:bCs/>
          <w:sz w:val="28"/>
          <w:szCs w:val="28"/>
        </w:rPr>
        <w:lastRenderedPageBreak/>
        <w:t>3. Credit Assessment:</w:t>
      </w:r>
    </w:p>
    <w:p w14:paraId="34E77FCB" w14:textId="45F2C21F" w:rsidR="008A0EF2" w:rsidRDefault="00A62FE6" w:rsidP="008A0EF2">
      <w:pPr>
        <w:ind w:left="720"/>
        <w:rPr>
          <w:sz w:val="28"/>
          <w:szCs w:val="28"/>
        </w:rPr>
      </w:pPr>
      <w:r w:rsidRPr="00A62FE6">
        <w:rPr>
          <w:sz w:val="28"/>
          <w:szCs w:val="28"/>
        </w:rPr>
        <w:t xml:space="preserve">   Credit scores (FICO scores) play a crucial role in loan approvals and interest rate determination. The average FICO score in the US was about 716 in 2023.</w:t>
      </w:r>
    </w:p>
    <w:p w14:paraId="3DF8C985" w14:textId="77777777" w:rsidR="001034BF" w:rsidRDefault="001034BF" w:rsidP="008A0EF2">
      <w:pPr>
        <w:ind w:left="720"/>
        <w:rPr>
          <w:sz w:val="28"/>
          <w:szCs w:val="28"/>
        </w:rPr>
      </w:pPr>
    </w:p>
    <w:p w14:paraId="456087E4" w14:textId="25AB28BD" w:rsidR="001034BF" w:rsidRDefault="001034BF" w:rsidP="001034BF">
      <w:pPr>
        <w:rPr>
          <w:b/>
          <w:bCs/>
          <w:sz w:val="28"/>
          <w:szCs w:val="28"/>
        </w:rPr>
      </w:pPr>
      <w:r w:rsidRPr="001034BF">
        <w:rPr>
          <w:b/>
          <w:bCs/>
          <w:sz w:val="28"/>
          <w:szCs w:val="28"/>
        </w:rPr>
        <w:t>I</w:t>
      </w:r>
      <w:r w:rsidRPr="001034BF">
        <w:rPr>
          <w:b/>
          <w:bCs/>
          <w:sz w:val="28"/>
          <w:szCs w:val="28"/>
        </w:rPr>
        <w:t>nformation for the years 2018 to 2023, covering various metrics such as net interest income, non-interest income, trading revenue, and total loan balances.</w:t>
      </w:r>
    </w:p>
    <w:p w14:paraId="3E11B102" w14:textId="77777777" w:rsidR="001034BF" w:rsidRPr="001034BF" w:rsidRDefault="001034BF" w:rsidP="001034BF">
      <w:pPr>
        <w:rPr>
          <w:b/>
          <w:bCs/>
          <w:sz w:val="28"/>
          <w:szCs w:val="28"/>
        </w:rPr>
      </w:pPr>
    </w:p>
    <w:tbl>
      <w:tblPr>
        <w:tblStyle w:val="GridTable6Colorful"/>
        <w:tblW w:w="9389" w:type="dxa"/>
        <w:tblLook w:val="04A0" w:firstRow="1" w:lastRow="0" w:firstColumn="1" w:lastColumn="0" w:noHBand="0" w:noVBand="1"/>
      </w:tblPr>
      <w:tblGrid>
        <w:gridCol w:w="944"/>
        <w:gridCol w:w="2134"/>
        <w:gridCol w:w="2211"/>
        <w:gridCol w:w="1921"/>
        <w:gridCol w:w="2179"/>
      </w:tblGrid>
      <w:tr w:rsidR="0073727F" w:rsidRPr="0073727F" w14:paraId="3AD76BBA" w14:textId="77777777" w:rsidTr="0073727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30625F07" w14:textId="77777777" w:rsidR="0073727F" w:rsidRPr="0073727F" w:rsidRDefault="0073727F" w:rsidP="0073727F">
            <w:pPr>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Year</w:t>
            </w:r>
          </w:p>
        </w:tc>
        <w:tc>
          <w:tcPr>
            <w:tcW w:w="2134" w:type="dxa"/>
            <w:noWrap/>
            <w:hideMark/>
          </w:tcPr>
          <w:p w14:paraId="48E45E38" w14:textId="77777777" w:rsidR="0073727F" w:rsidRPr="0073727F" w:rsidRDefault="0073727F" w:rsidP="0073727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Net Interest Income (in billions)</w:t>
            </w:r>
          </w:p>
        </w:tc>
        <w:tc>
          <w:tcPr>
            <w:tcW w:w="2211" w:type="dxa"/>
            <w:noWrap/>
            <w:hideMark/>
          </w:tcPr>
          <w:p w14:paraId="7BFF598A" w14:textId="77777777" w:rsidR="0073727F" w:rsidRPr="0073727F" w:rsidRDefault="0073727F" w:rsidP="0073727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Non-Interest Income (in billions)</w:t>
            </w:r>
          </w:p>
        </w:tc>
        <w:tc>
          <w:tcPr>
            <w:tcW w:w="1921" w:type="dxa"/>
            <w:noWrap/>
            <w:hideMark/>
          </w:tcPr>
          <w:p w14:paraId="0E1B031D" w14:textId="77777777" w:rsidR="0073727F" w:rsidRPr="0073727F" w:rsidRDefault="0073727F" w:rsidP="0073727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Trading Revenue (in billions)</w:t>
            </w:r>
          </w:p>
        </w:tc>
        <w:tc>
          <w:tcPr>
            <w:tcW w:w="2179" w:type="dxa"/>
            <w:noWrap/>
            <w:hideMark/>
          </w:tcPr>
          <w:p w14:paraId="3D532C4D" w14:textId="77777777" w:rsidR="0073727F" w:rsidRPr="0073727F" w:rsidRDefault="0073727F" w:rsidP="0073727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Total Loan Balances (in trillions)</w:t>
            </w:r>
          </w:p>
        </w:tc>
      </w:tr>
      <w:tr w:rsidR="0073727F" w:rsidRPr="0073727F" w14:paraId="61A7BC1D" w14:textId="77777777" w:rsidTr="0073727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754C8BAB"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2018</w:t>
            </w:r>
          </w:p>
        </w:tc>
        <w:tc>
          <w:tcPr>
            <w:tcW w:w="2134" w:type="dxa"/>
            <w:noWrap/>
            <w:hideMark/>
          </w:tcPr>
          <w:p w14:paraId="14971BCE"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490</w:t>
            </w:r>
          </w:p>
        </w:tc>
        <w:tc>
          <w:tcPr>
            <w:tcW w:w="2211" w:type="dxa"/>
            <w:noWrap/>
            <w:hideMark/>
          </w:tcPr>
          <w:p w14:paraId="04126AE8"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240</w:t>
            </w:r>
          </w:p>
        </w:tc>
        <w:tc>
          <w:tcPr>
            <w:tcW w:w="1921" w:type="dxa"/>
            <w:noWrap/>
            <w:hideMark/>
          </w:tcPr>
          <w:p w14:paraId="519BFB2E"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w:t>
            </w:r>
          </w:p>
        </w:tc>
        <w:tc>
          <w:tcPr>
            <w:tcW w:w="2179" w:type="dxa"/>
            <w:noWrap/>
            <w:hideMark/>
          </w:tcPr>
          <w:p w14:paraId="67FFF6B0"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10</w:t>
            </w:r>
          </w:p>
        </w:tc>
      </w:tr>
      <w:tr w:rsidR="0073727F" w:rsidRPr="0073727F" w14:paraId="03CE3600" w14:textId="77777777" w:rsidTr="0073727F">
        <w:trPr>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7AE8A03D"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2019</w:t>
            </w:r>
          </w:p>
        </w:tc>
        <w:tc>
          <w:tcPr>
            <w:tcW w:w="2134" w:type="dxa"/>
            <w:noWrap/>
            <w:hideMark/>
          </w:tcPr>
          <w:p w14:paraId="49584017"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510</w:t>
            </w:r>
          </w:p>
        </w:tc>
        <w:tc>
          <w:tcPr>
            <w:tcW w:w="2211" w:type="dxa"/>
            <w:noWrap/>
            <w:hideMark/>
          </w:tcPr>
          <w:p w14:paraId="599F9CFA"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250</w:t>
            </w:r>
          </w:p>
        </w:tc>
        <w:tc>
          <w:tcPr>
            <w:tcW w:w="1921" w:type="dxa"/>
            <w:noWrap/>
            <w:hideMark/>
          </w:tcPr>
          <w:p w14:paraId="5B560EDE"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22</w:t>
            </w:r>
          </w:p>
        </w:tc>
        <w:tc>
          <w:tcPr>
            <w:tcW w:w="2179" w:type="dxa"/>
            <w:noWrap/>
            <w:hideMark/>
          </w:tcPr>
          <w:p w14:paraId="0F8531A5"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10.5</w:t>
            </w:r>
          </w:p>
        </w:tc>
      </w:tr>
      <w:tr w:rsidR="0073727F" w:rsidRPr="0073727F" w14:paraId="5A3C6395" w14:textId="77777777" w:rsidTr="0073727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18FA542D"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2020</w:t>
            </w:r>
          </w:p>
        </w:tc>
        <w:tc>
          <w:tcPr>
            <w:tcW w:w="2134" w:type="dxa"/>
            <w:noWrap/>
            <w:hideMark/>
          </w:tcPr>
          <w:p w14:paraId="567C0256"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480</w:t>
            </w:r>
          </w:p>
        </w:tc>
        <w:tc>
          <w:tcPr>
            <w:tcW w:w="2211" w:type="dxa"/>
            <w:noWrap/>
            <w:hideMark/>
          </w:tcPr>
          <w:p w14:paraId="6E727BB9"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230</w:t>
            </w:r>
          </w:p>
        </w:tc>
        <w:tc>
          <w:tcPr>
            <w:tcW w:w="1921" w:type="dxa"/>
            <w:noWrap/>
            <w:hideMark/>
          </w:tcPr>
          <w:p w14:paraId="39016A49"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18</w:t>
            </w:r>
          </w:p>
        </w:tc>
        <w:tc>
          <w:tcPr>
            <w:tcW w:w="2179" w:type="dxa"/>
            <w:noWrap/>
            <w:hideMark/>
          </w:tcPr>
          <w:p w14:paraId="06573296"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11</w:t>
            </w:r>
          </w:p>
        </w:tc>
      </w:tr>
      <w:tr w:rsidR="0073727F" w:rsidRPr="0073727F" w14:paraId="4ADFE14C" w14:textId="77777777" w:rsidTr="0073727F">
        <w:trPr>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59C522B8"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2021</w:t>
            </w:r>
          </w:p>
        </w:tc>
        <w:tc>
          <w:tcPr>
            <w:tcW w:w="2134" w:type="dxa"/>
            <w:noWrap/>
            <w:hideMark/>
          </w:tcPr>
          <w:p w14:paraId="7AD1D3A4"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550</w:t>
            </w:r>
          </w:p>
        </w:tc>
        <w:tc>
          <w:tcPr>
            <w:tcW w:w="2211" w:type="dxa"/>
            <w:noWrap/>
            <w:hideMark/>
          </w:tcPr>
          <w:p w14:paraId="5EB142DF"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260</w:t>
            </w:r>
          </w:p>
        </w:tc>
        <w:tc>
          <w:tcPr>
            <w:tcW w:w="1921" w:type="dxa"/>
            <w:noWrap/>
            <w:hideMark/>
          </w:tcPr>
          <w:p w14:paraId="515F4E6F"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25</w:t>
            </w:r>
          </w:p>
        </w:tc>
        <w:tc>
          <w:tcPr>
            <w:tcW w:w="2179" w:type="dxa"/>
            <w:noWrap/>
            <w:hideMark/>
          </w:tcPr>
          <w:p w14:paraId="5050E7F7"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11.5</w:t>
            </w:r>
          </w:p>
        </w:tc>
      </w:tr>
      <w:tr w:rsidR="0073727F" w:rsidRPr="0073727F" w14:paraId="5FCAC541" w14:textId="77777777" w:rsidTr="0073727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09D2F009"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2022</w:t>
            </w:r>
          </w:p>
        </w:tc>
        <w:tc>
          <w:tcPr>
            <w:tcW w:w="2134" w:type="dxa"/>
            <w:noWrap/>
            <w:hideMark/>
          </w:tcPr>
          <w:p w14:paraId="7C4F516C"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560</w:t>
            </w:r>
          </w:p>
        </w:tc>
        <w:tc>
          <w:tcPr>
            <w:tcW w:w="2211" w:type="dxa"/>
            <w:noWrap/>
            <w:hideMark/>
          </w:tcPr>
          <w:p w14:paraId="09F3995E"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270</w:t>
            </w:r>
          </w:p>
        </w:tc>
        <w:tc>
          <w:tcPr>
            <w:tcW w:w="1921" w:type="dxa"/>
            <w:noWrap/>
            <w:hideMark/>
          </w:tcPr>
          <w:p w14:paraId="614F6BCF"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24</w:t>
            </w:r>
          </w:p>
        </w:tc>
        <w:tc>
          <w:tcPr>
            <w:tcW w:w="2179" w:type="dxa"/>
            <w:noWrap/>
            <w:hideMark/>
          </w:tcPr>
          <w:p w14:paraId="3EE7DB09" w14:textId="77777777" w:rsidR="0073727F" w:rsidRPr="0073727F" w:rsidRDefault="0073727F" w:rsidP="0073727F">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11.5</w:t>
            </w:r>
          </w:p>
        </w:tc>
      </w:tr>
      <w:tr w:rsidR="0073727F" w:rsidRPr="0073727F" w14:paraId="3D871191" w14:textId="77777777" w:rsidTr="0073727F">
        <w:trPr>
          <w:trHeight w:val="467"/>
        </w:trPr>
        <w:tc>
          <w:tcPr>
            <w:cnfStyle w:val="001000000000" w:firstRow="0" w:lastRow="0" w:firstColumn="1" w:lastColumn="0" w:oddVBand="0" w:evenVBand="0" w:oddHBand="0" w:evenHBand="0" w:firstRowFirstColumn="0" w:firstRowLastColumn="0" w:lastRowFirstColumn="0" w:lastRowLastColumn="0"/>
            <w:tcW w:w="944" w:type="dxa"/>
            <w:noWrap/>
            <w:hideMark/>
          </w:tcPr>
          <w:p w14:paraId="00FE386B" w14:textId="77777777" w:rsidR="0073727F" w:rsidRPr="0073727F" w:rsidRDefault="0073727F" w:rsidP="0073727F">
            <w:pPr>
              <w:jc w:val="right"/>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2023</w:t>
            </w:r>
          </w:p>
        </w:tc>
        <w:tc>
          <w:tcPr>
            <w:tcW w:w="2134" w:type="dxa"/>
            <w:noWrap/>
            <w:hideMark/>
          </w:tcPr>
          <w:p w14:paraId="33C70044"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580</w:t>
            </w:r>
          </w:p>
        </w:tc>
        <w:tc>
          <w:tcPr>
            <w:tcW w:w="2211" w:type="dxa"/>
            <w:noWrap/>
            <w:hideMark/>
          </w:tcPr>
          <w:p w14:paraId="74620EA9"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280</w:t>
            </w:r>
          </w:p>
        </w:tc>
        <w:tc>
          <w:tcPr>
            <w:tcW w:w="1921" w:type="dxa"/>
            <w:noWrap/>
            <w:hideMark/>
          </w:tcPr>
          <w:p w14:paraId="70D96C8E"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26</w:t>
            </w:r>
          </w:p>
        </w:tc>
        <w:tc>
          <w:tcPr>
            <w:tcW w:w="2179" w:type="dxa"/>
            <w:noWrap/>
            <w:hideMark/>
          </w:tcPr>
          <w:p w14:paraId="60266F42" w14:textId="77777777" w:rsidR="0073727F" w:rsidRPr="0073727F" w:rsidRDefault="0073727F" w:rsidP="0073727F">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73727F">
              <w:rPr>
                <w:rFonts w:ascii="Aptos Narrow" w:eastAsia="Times New Roman" w:hAnsi="Aptos Narrow" w:cs="Times New Roman"/>
                <w:color w:val="000000"/>
                <w:kern w:val="0"/>
                <w:lang w:eastAsia="en-IN"/>
                <w14:ligatures w14:val="none"/>
              </w:rPr>
              <w:t>12</w:t>
            </w:r>
          </w:p>
        </w:tc>
      </w:tr>
    </w:tbl>
    <w:p w14:paraId="52B00969" w14:textId="7183AB3E" w:rsidR="001034BF" w:rsidRDefault="001034BF">
      <w:pPr>
        <w:rPr>
          <w:rFonts w:asciiTheme="majorHAnsi" w:eastAsiaTheme="majorEastAsia" w:hAnsiTheme="majorHAnsi" w:cstheme="majorBidi"/>
          <w:b/>
          <w:bCs/>
          <w:color w:val="0F4761" w:themeColor="accent1" w:themeShade="BF"/>
          <w:sz w:val="36"/>
          <w:szCs w:val="36"/>
        </w:rPr>
      </w:pPr>
      <w:r>
        <w:rPr>
          <w:noProof/>
        </w:rPr>
        <w:drawing>
          <wp:anchor distT="0" distB="0" distL="114300" distR="114300" simplePos="0" relativeHeight="251658240" behindDoc="0" locked="0" layoutInCell="1" allowOverlap="1" wp14:anchorId="11A3EEE5" wp14:editId="22A5F7E9">
            <wp:simplePos x="0" y="0"/>
            <wp:positionH relativeFrom="column">
              <wp:posOffset>76200</wp:posOffset>
            </wp:positionH>
            <wp:positionV relativeFrom="paragraph">
              <wp:posOffset>686435</wp:posOffset>
            </wp:positionV>
            <wp:extent cx="5731510" cy="2874645"/>
            <wp:effectExtent l="0" t="0" r="2540" b="1905"/>
            <wp:wrapThrough wrapText="bothSides">
              <wp:wrapPolygon edited="0">
                <wp:start x="0" y="0"/>
                <wp:lineTo x="0" y="21471"/>
                <wp:lineTo x="21538" y="21471"/>
                <wp:lineTo x="21538" y="0"/>
                <wp:lineTo x="0" y="0"/>
              </wp:wrapPolygon>
            </wp:wrapThrough>
            <wp:docPr id="372869097" name="Chart 1">
              <a:extLst xmlns:a="http://schemas.openxmlformats.org/drawingml/2006/main">
                <a:ext uri="{FF2B5EF4-FFF2-40B4-BE49-F238E27FC236}">
                  <a16:creationId xmlns:a16="http://schemas.microsoft.com/office/drawing/2014/main" id="{4CC2A869-93B6-72D7-D9E2-E91C68EC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Pr>
          <w:b/>
          <w:bCs/>
          <w:sz w:val="36"/>
          <w:szCs w:val="36"/>
        </w:rPr>
        <w:br w:type="page"/>
      </w:r>
    </w:p>
    <w:p w14:paraId="6F7D9193" w14:textId="5941F710" w:rsidR="00A62FE6" w:rsidRPr="008A0EF2" w:rsidRDefault="008D775D" w:rsidP="00A62FE6">
      <w:pPr>
        <w:pStyle w:val="Heading2"/>
        <w:rPr>
          <w:b/>
          <w:bCs/>
          <w:sz w:val="36"/>
          <w:szCs w:val="36"/>
        </w:rPr>
      </w:pPr>
      <w:r w:rsidRPr="008A0EF2">
        <w:rPr>
          <w:b/>
          <w:bCs/>
          <w:sz w:val="36"/>
          <w:szCs w:val="36"/>
        </w:rPr>
        <w:lastRenderedPageBreak/>
        <w:t>Technological Integration</w:t>
      </w:r>
      <w:r>
        <w:rPr>
          <w:b/>
          <w:bCs/>
          <w:sz w:val="36"/>
          <w:szCs w:val="36"/>
        </w:rPr>
        <w:t>:</w:t>
      </w:r>
    </w:p>
    <w:p w14:paraId="3F46AD1D" w14:textId="418FFD89" w:rsidR="00A62FE6" w:rsidRPr="00A62FE6" w:rsidRDefault="00A62FE6" w:rsidP="00A62FE6">
      <w:pPr>
        <w:ind w:left="720"/>
        <w:rPr>
          <w:b/>
          <w:bCs/>
          <w:sz w:val="28"/>
          <w:szCs w:val="28"/>
        </w:rPr>
      </w:pPr>
      <w:r w:rsidRPr="00A62FE6">
        <w:rPr>
          <w:b/>
          <w:bCs/>
          <w:sz w:val="28"/>
          <w:szCs w:val="28"/>
        </w:rPr>
        <w:t>1. Digital Banking Usage:</w:t>
      </w:r>
    </w:p>
    <w:p w14:paraId="6AD54C60" w14:textId="1D363B74" w:rsidR="00A62FE6" w:rsidRPr="00A62FE6" w:rsidRDefault="00A62FE6" w:rsidP="00A62FE6">
      <w:pPr>
        <w:ind w:left="720"/>
        <w:rPr>
          <w:sz w:val="28"/>
          <w:szCs w:val="28"/>
        </w:rPr>
      </w:pPr>
      <w:r w:rsidRPr="00A62FE6">
        <w:rPr>
          <w:sz w:val="28"/>
          <w:szCs w:val="28"/>
        </w:rPr>
        <w:t xml:space="preserve">   Over 70% of Americans used online banking services regularly in 2023, with mobile banking apps seeing widespread adoption.</w:t>
      </w:r>
    </w:p>
    <w:p w14:paraId="13DFF03F" w14:textId="77CC06E8" w:rsidR="00A62FE6" w:rsidRPr="008A0EF2" w:rsidRDefault="00A62FE6" w:rsidP="008D775D">
      <w:pPr>
        <w:ind w:left="720"/>
        <w:rPr>
          <w:sz w:val="28"/>
          <w:szCs w:val="28"/>
        </w:rPr>
      </w:pPr>
      <w:r w:rsidRPr="00A62FE6">
        <w:rPr>
          <w:b/>
          <w:bCs/>
          <w:sz w:val="28"/>
          <w:szCs w:val="28"/>
        </w:rPr>
        <w:t>2. Fintech and Innovations:</w:t>
      </w:r>
    </w:p>
    <w:p w14:paraId="284293B2" w14:textId="0D0DFE59" w:rsidR="008A0EF2" w:rsidRDefault="00A62FE6" w:rsidP="008A0EF2">
      <w:pPr>
        <w:ind w:left="720"/>
        <w:rPr>
          <w:sz w:val="28"/>
          <w:szCs w:val="28"/>
        </w:rPr>
      </w:pPr>
      <w:r w:rsidRPr="00A62FE6">
        <w:rPr>
          <w:sz w:val="28"/>
          <w:szCs w:val="28"/>
        </w:rPr>
        <w:t xml:space="preserve">   Significant investments in fintech, with US fintech firms raising over $25 billion in 2022 for innovations in payment processing, blockchain, artificial intelligence, and cybersecurity.</w:t>
      </w:r>
    </w:p>
    <w:p w14:paraId="1498081D" w14:textId="77777777" w:rsidR="001034BF" w:rsidRPr="00A62FE6" w:rsidRDefault="001034BF" w:rsidP="008A0EF2">
      <w:pPr>
        <w:ind w:left="720"/>
        <w:rPr>
          <w:sz w:val="28"/>
          <w:szCs w:val="28"/>
        </w:rPr>
      </w:pPr>
    </w:p>
    <w:p w14:paraId="293A572B" w14:textId="26C5BA57" w:rsidR="00A62FE6" w:rsidRPr="008A0EF2" w:rsidRDefault="008D775D" w:rsidP="008A0EF2">
      <w:pPr>
        <w:pStyle w:val="Heading2"/>
        <w:rPr>
          <w:b/>
          <w:bCs/>
          <w:sz w:val="36"/>
          <w:szCs w:val="36"/>
        </w:rPr>
      </w:pPr>
      <w:r w:rsidRPr="008A0EF2">
        <w:rPr>
          <w:b/>
          <w:bCs/>
          <w:sz w:val="36"/>
          <w:szCs w:val="36"/>
        </w:rPr>
        <w:t>Key Challenges</w:t>
      </w:r>
      <w:r>
        <w:rPr>
          <w:b/>
          <w:bCs/>
          <w:sz w:val="36"/>
          <w:szCs w:val="36"/>
        </w:rPr>
        <w:t>:</w:t>
      </w:r>
    </w:p>
    <w:p w14:paraId="3E2EE26A" w14:textId="5512BA11" w:rsidR="00A62FE6" w:rsidRPr="00A62FE6" w:rsidRDefault="00A62FE6" w:rsidP="00A62FE6">
      <w:pPr>
        <w:ind w:left="720"/>
        <w:rPr>
          <w:b/>
          <w:bCs/>
          <w:sz w:val="28"/>
          <w:szCs w:val="28"/>
        </w:rPr>
      </w:pPr>
      <w:r w:rsidRPr="00A62FE6">
        <w:rPr>
          <w:b/>
          <w:bCs/>
          <w:sz w:val="28"/>
          <w:szCs w:val="28"/>
        </w:rPr>
        <w:t>1. Regulatory Compliance Costs:</w:t>
      </w:r>
    </w:p>
    <w:p w14:paraId="45FC476D" w14:textId="2B93E9F2" w:rsidR="00A62FE6" w:rsidRPr="00A62FE6" w:rsidRDefault="00A62FE6" w:rsidP="00A62FE6">
      <w:pPr>
        <w:ind w:left="720"/>
        <w:rPr>
          <w:sz w:val="28"/>
          <w:szCs w:val="28"/>
        </w:rPr>
      </w:pPr>
      <w:r w:rsidRPr="00A62FE6">
        <w:rPr>
          <w:sz w:val="28"/>
          <w:szCs w:val="28"/>
        </w:rPr>
        <w:t xml:space="preserve">   Compliance costs for US banks have increased significantly, with large banks spending billions annually to meet regulatory requirements.</w:t>
      </w:r>
    </w:p>
    <w:p w14:paraId="7A4D00F4" w14:textId="20DA8014" w:rsidR="00A62FE6" w:rsidRPr="00A62FE6" w:rsidRDefault="00A62FE6" w:rsidP="00A62FE6">
      <w:pPr>
        <w:ind w:left="720"/>
        <w:rPr>
          <w:b/>
          <w:bCs/>
          <w:sz w:val="28"/>
          <w:szCs w:val="28"/>
        </w:rPr>
      </w:pPr>
      <w:r w:rsidRPr="00A62FE6">
        <w:rPr>
          <w:b/>
          <w:bCs/>
          <w:sz w:val="28"/>
          <w:szCs w:val="28"/>
        </w:rPr>
        <w:t>2. Cybersecurity Threats:</w:t>
      </w:r>
    </w:p>
    <w:p w14:paraId="34A7DB60" w14:textId="56A1E6BA" w:rsidR="00A62FE6" w:rsidRPr="00A62FE6" w:rsidRDefault="00A62FE6" w:rsidP="00A62FE6">
      <w:pPr>
        <w:ind w:left="720"/>
        <w:rPr>
          <w:sz w:val="28"/>
          <w:szCs w:val="28"/>
        </w:rPr>
      </w:pPr>
      <w:r w:rsidRPr="00A62FE6">
        <w:rPr>
          <w:sz w:val="28"/>
          <w:szCs w:val="28"/>
        </w:rPr>
        <w:t xml:space="preserve">   The average cost of a data breach in the financial sector was about $5.85 million in 2022, highlighting the need for robust cybersecurity measures.</w:t>
      </w:r>
    </w:p>
    <w:p w14:paraId="2697C160" w14:textId="65621AA0" w:rsidR="00A62FE6" w:rsidRPr="00A62FE6" w:rsidRDefault="00A62FE6" w:rsidP="00A62FE6">
      <w:pPr>
        <w:ind w:left="720"/>
        <w:rPr>
          <w:b/>
          <w:bCs/>
          <w:sz w:val="28"/>
          <w:szCs w:val="28"/>
        </w:rPr>
      </w:pPr>
      <w:r w:rsidRPr="00A62FE6">
        <w:rPr>
          <w:b/>
          <w:bCs/>
          <w:sz w:val="28"/>
          <w:szCs w:val="28"/>
        </w:rPr>
        <w:t>3. Economic Impact:</w:t>
      </w:r>
    </w:p>
    <w:p w14:paraId="52FD85A5" w14:textId="7F07A2BD" w:rsidR="00A62FE6" w:rsidRDefault="00A62FE6" w:rsidP="00A62FE6">
      <w:pPr>
        <w:ind w:left="720"/>
        <w:rPr>
          <w:sz w:val="28"/>
          <w:szCs w:val="28"/>
        </w:rPr>
      </w:pPr>
      <w:r w:rsidRPr="00A62FE6">
        <w:rPr>
          <w:sz w:val="28"/>
          <w:szCs w:val="28"/>
        </w:rPr>
        <w:t xml:space="preserve">   Economic fluctuations, including the impacts of the COVID-19 pandemic and subsequent recovery, have influenced loan defaults, interest rate changes, and overall financial stability.</w:t>
      </w:r>
    </w:p>
    <w:p w14:paraId="02651AB8" w14:textId="77777777" w:rsidR="008A0EF2" w:rsidRDefault="008A0EF2">
      <w:pPr>
        <w:rPr>
          <w:b/>
          <w:bCs/>
          <w:sz w:val="32"/>
          <w:szCs w:val="32"/>
        </w:rPr>
      </w:pPr>
      <w:r>
        <w:rPr>
          <w:b/>
          <w:bCs/>
          <w:sz w:val="32"/>
          <w:szCs w:val="32"/>
        </w:rPr>
        <w:br w:type="page"/>
      </w:r>
    </w:p>
    <w:p w14:paraId="0FE3F331" w14:textId="703A29DE" w:rsidR="008A0EF2" w:rsidRPr="008A0EF2" w:rsidRDefault="008A0EF2" w:rsidP="008A0EF2">
      <w:pPr>
        <w:rPr>
          <w:b/>
          <w:bCs/>
          <w:sz w:val="32"/>
          <w:szCs w:val="32"/>
        </w:rPr>
      </w:pPr>
      <w:r>
        <w:rPr>
          <w:b/>
          <w:bCs/>
          <w:sz w:val="32"/>
          <w:szCs w:val="32"/>
        </w:rPr>
        <w:lastRenderedPageBreak/>
        <w:t>K</w:t>
      </w:r>
      <w:r w:rsidRPr="008A0EF2">
        <w:rPr>
          <w:b/>
          <w:bCs/>
          <w:sz w:val="32"/>
          <w:szCs w:val="32"/>
        </w:rPr>
        <w:t>ey metrics and values related to the structure, revenue sources, loan systems, and technological integration of the US banking system</w:t>
      </w:r>
    </w:p>
    <w:tbl>
      <w:tblPr>
        <w:tblStyle w:val="GridTable4"/>
        <w:tblpPr w:leftFromText="180" w:rightFromText="180" w:vertAnchor="text" w:horzAnchor="page" w:tblpX="937" w:tblpY="377"/>
        <w:tblW w:w="10149" w:type="dxa"/>
        <w:tblLook w:val="04A0" w:firstRow="1" w:lastRow="0" w:firstColumn="1" w:lastColumn="0" w:noHBand="0" w:noVBand="1"/>
      </w:tblPr>
      <w:tblGrid>
        <w:gridCol w:w="2848"/>
        <w:gridCol w:w="3570"/>
        <w:gridCol w:w="3731"/>
      </w:tblGrid>
      <w:tr w:rsidR="000814ED" w:rsidRPr="008A0EF2" w14:paraId="7FCE08A7" w14:textId="77777777" w:rsidTr="000814E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7342114B"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kern w:val="0"/>
                <w:lang w:eastAsia="en-IN"/>
                <w14:ligatures w14:val="none"/>
              </w:rPr>
              <w:t>Aspect</w:t>
            </w:r>
          </w:p>
        </w:tc>
        <w:tc>
          <w:tcPr>
            <w:tcW w:w="3570" w:type="dxa"/>
            <w:noWrap/>
            <w:hideMark/>
          </w:tcPr>
          <w:p w14:paraId="489E5F0F" w14:textId="77777777" w:rsidR="008A0EF2" w:rsidRPr="008A0EF2" w:rsidRDefault="008A0EF2" w:rsidP="008A0EF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lang w:eastAsia="en-IN"/>
                <w14:ligatures w14:val="none"/>
              </w:rPr>
            </w:pPr>
            <w:r w:rsidRPr="008A0EF2">
              <w:rPr>
                <w:rFonts w:ascii="Aptos Narrow" w:eastAsia="Times New Roman" w:hAnsi="Aptos Narrow" w:cs="Times New Roman"/>
                <w:kern w:val="0"/>
                <w:lang w:eastAsia="en-IN"/>
                <w14:ligatures w14:val="none"/>
              </w:rPr>
              <w:t>Metric/Value</w:t>
            </w:r>
          </w:p>
        </w:tc>
        <w:tc>
          <w:tcPr>
            <w:tcW w:w="3731" w:type="dxa"/>
            <w:noWrap/>
            <w:hideMark/>
          </w:tcPr>
          <w:p w14:paraId="7EB1A32E" w14:textId="77777777" w:rsidR="008A0EF2" w:rsidRPr="008A0EF2" w:rsidRDefault="008A0EF2" w:rsidP="008A0EF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kern w:val="0"/>
                <w:lang w:eastAsia="en-IN"/>
                <w14:ligatures w14:val="none"/>
              </w:rPr>
              <w:t>Source</w:t>
            </w:r>
          </w:p>
        </w:tc>
      </w:tr>
      <w:tr w:rsidR="000814ED" w:rsidRPr="008A0EF2" w14:paraId="147B1334"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1E2EF312"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Number of Banks</w:t>
            </w:r>
          </w:p>
        </w:tc>
        <w:tc>
          <w:tcPr>
            <w:tcW w:w="3570" w:type="dxa"/>
            <w:noWrap/>
            <w:hideMark/>
          </w:tcPr>
          <w:p w14:paraId="0A2FAB85"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4300 commercial banks</w:t>
            </w:r>
          </w:p>
        </w:tc>
        <w:tc>
          <w:tcPr>
            <w:tcW w:w="3731" w:type="dxa"/>
            <w:noWrap/>
            <w:hideMark/>
          </w:tcPr>
          <w:p w14:paraId="61D3C6B6"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Deposit Insurance Corporation (FDIC)</w:t>
            </w:r>
          </w:p>
        </w:tc>
      </w:tr>
      <w:tr w:rsidR="008A0EF2" w:rsidRPr="008A0EF2" w14:paraId="5C832A8C"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509C789F"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Total Assets</w:t>
            </w:r>
          </w:p>
        </w:tc>
        <w:tc>
          <w:tcPr>
            <w:tcW w:w="3570" w:type="dxa"/>
            <w:noWrap/>
            <w:hideMark/>
          </w:tcPr>
          <w:p w14:paraId="1DCC5796"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$24 trillion</w:t>
            </w:r>
          </w:p>
        </w:tc>
        <w:tc>
          <w:tcPr>
            <w:tcW w:w="3731" w:type="dxa"/>
            <w:noWrap/>
            <w:hideMark/>
          </w:tcPr>
          <w:p w14:paraId="4348D794"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0814ED" w:rsidRPr="008A0EF2" w14:paraId="51C9195B"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2F041846"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Net Interest Income (2022)</w:t>
            </w:r>
          </w:p>
        </w:tc>
        <w:tc>
          <w:tcPr>
            <w:tcW w:w="3570" w:type="dxa"/>
            <w:noWrap/>
            <w:hideMark/>
          </w:tcPr>
          <w:p w14:paraId="4B23FFFC"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$560 billion</w:t>
            </w:r>
          </w:p>
        </w:tc>
        <w:tc>
          <w:tcPr>
            <w:tcW w:w="3731" w:type="dxa"/>
            <w:noWrap/>
            <w:hideMark/>
          </w:tcPr>
          <w:p w14:paraId="3F20361F"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FDIC</w:t>
            </w:r>
          </w:p>
        </w:tc>
      </w:tr>
      <w:tr w:rsidR="008A0EF2" w:rsidRPr="008A0EF2" w14:paraId="2510767A"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2ADE8696"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Non-Interest Income (2022)</w:t>
            </w:r>
          </w:p>
        </w:tc>
        <w:tc>
          <w:tcPr>
            <w:tcW w:w="3570" w:type="dxa"/>
            <w:noWrap/>
            <w:hideMark/>
          </w:tcPr>
          <w:p w14:paraId="35DDE9C1"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$260 billion</w:t>
            </w:r>
          </w:p>
        </w:tc>
        <w:tc>
          <w:tcPr>
            <w:tcW w:w="3731" w:type="dxa"/>
            <w:noWrap/>
            <w:hideMark/>
          </w:tcPr>
          <w:p w14:paraId="1D5D72F9"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FDIC</w:t>
            </w:r>
          </w:p>
        </w:tc>
      </w:tr>
      <w:tr w:rsidR="000814ED" w:rsidRPr="008A0EF2" w14:paraId="0FF91FE3"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039DECC2"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Trading Revenue (2022)</w:t>
            </w:r>
          </w:p>
        </w:tc>
        <w:tc>
          <w:tcPr>
            <w:tcW w:w="3570" w:type="dxa"/>
            <w:noWrap/>
            <w:hideMark/>
          </w:tcPr>
          <w:p w14:paraId="5C90780F"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$24 billion (JPMorgan Chase)</w:t>
            </w:r>
          </w:p>
        </w:tc>
        <w:tc>
          <w:tcPr>
            <w:tcW w:w="3731" w:type="dxa"/>
            <w:noWrap/>
            <w:hideMark/>
          </w:tcPr>
          <w:p w14:paraId="2D5AD063"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SEC</w:t>
            </w:r>
          </w:p>
        </w:tc>
      </w:tr>
      <w:tr w:rsidR="008A0EF2" w:rsidRPr="008A0EF2" w14:paraId="1C96E4B0"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63490A99"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Wealth Management AUM</w:t>
            </w:r>
          </w:p>
        </w:tc>
        <w:tc>
          <w:tcPr>
            <w:tcW w:w="3570" w:type="dxa"/>
            <w:noWrap/>
            <w:hideMark/>
          </w:tcPr>
          <w:p w14:paraId="04288633"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$1.4 trillion (Bank of America/Merrill Lynch)</w:t>
            </w:r>
          </w:p>
        </w:tc>
        <w:tc>
          <w:tcPr>
            <w:tcW w:w="3731" w:type="dxa"/>
            <w:noWrap/>
            <w:hideMark/>
          </w:tcPr>
          <w:p w14:paraId="21B0F43F"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Bank Annual Reports</w:t>
            </w:r>
          </w:p>
        </w:tc>
      </w:tr>
      <w:tr w:rsidR="000814ED" w:rsidRPr="008A0EF2" w14:paraId="5DA94F1A"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63CFF892"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Total Loan Balances</w:t>
            </w:r>
          </w:p>
        </w:tc>
        <w:tc>
          <w:tcPr>
            <w:tcW w:w="3570" w:type="dxa"/>
            <w:noWrap/>
            <w:hideMark/>
          </w:tcPr>
          <w:p w14:paraId="3C7FE191"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$11 trillion</w:t>
            </w:r>
          </w:p>
        </w:tc>
        <w:tc>
          <w:tcPr>
            <w:tcW w:w="3731" w:type="dxa"/>
            <w:noWrap/>
            <w:hideMark/>
          </w:tcPr>
          <w:p w14:paraId="10FD3A11"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8A0EF2" w:rsidRPr="008A0EF2" w14:paraId="066D8E7F"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434C89BD"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Residential Mortgages</w:t>
            </w:r>
          </w:p>
        </w:tc>
        <w:tc>
          <w:tcPr>
            <w:tcW w:w="3570" w:type="dxa"/>
            <w:noWrap/>
            <w:hideMark/>
          </w:tcPr>
          <w:p w14:paraId="6A4CE3B6"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$4.5 trillion</w:t>
            </w:r>
          </w:p>
        </w:tc>
        <w:tc>
          <w:tcPr>
            <w:tcW w:w="3731" w:type="dxa"/>
            <w:noWrap/>
            <w:hideMark/>
          </w:tcPr>
          <w:p w14:paraId="22C8A4F8"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0814ED" w:rsidRPr="008A0EF2" w14:paraId="12248154"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34004DCB"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Commercial and Industrial Loans</w:t>
            </w:r>
          </w:p>
        </w:tc>
        <w:tc>
          <w:tcPr>
            <w:tcW w:w="3570" w:type="dxa"/>
            <w:noWrap/>
            <w:hideMark/>
          </w:tcPr>
          <w:p w14:paraId="0AB52C4E"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$2.5 trillion</w:t>
            </w:r>
          </w:p>
        </w:tc>
        <w:tc>
          <w:tcPr>
            <w:tcW w:w="3731" w:type="dxa"/>
            <w:noWrap/>
            <w:hideMark/>
          </w:tcPr>
          <w:p w14:paraId="637171B8"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8A0EF2" w:rsidRPr="008A0EF2" w14:paraId="3686DF35"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1D82330F"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Consumer Loans (Credit Cards)</w:t>
            </w:r>
          </w:p>
        </w:tc>
        <w:tc>
          <w:tcPr>
            <w:tcW w:w="3570" w:type="dxa"/>
            <w:noWrap/>
            <w:hideMark/>
          </w:tcPr>
          <w:p w14:paraId="26ED7B20"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$1.6 trillion</w:t>
            </w:r>
          </w:p>
        </w:tc>
        <w:tc>
          <w:tcPr>
            <w:tcW w:w="3731" w:type="dxa"/>
            <w:noWrap/>
            <w:hideMark/>
          </w:tcPr>
          <w:p w14:paraId="7F9948B2"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0814ED" w:rsidRPr="008A0EF2" w14:paraId="54CDD310"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6F2DC88C"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Commercial Real Estate Loans</w:t>
            </w:r>
          </w:p>
        </w:tc>
        <w:tc>
          <w:tcPr>
            <w:tcW w:w="3570" w:type="dxa"/>
            <w:noWrap/>
            <w:hideMark/>
          </w:tcPr>
          <w:p w14:paraId="4A7389F6"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 trillion</w:t>
            </w:r>
          </w:p>
        </w:tc>
        <w:tc>
          <w:tcPr>
            <w:tcW w:w="3731" w:type="dxa"/>
            <w:noWrap/>
            <w:hideMark/>
          </w:tcPr>
          <w:p w14:paraId="4D8079CF"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8A0EF2" w:rsidRPr="008A0EF2" w14:paraId="4CC38111"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7726F6FC"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Average Mortgage Rate (30-year)</w:t>
            </w:r>
          </w:p>
        </w:tc>
        <w:tc>
          <w:tcPr>
            <w:tcW w:w="3570" w:type="dxa"/>
            <w:noWrap/>
            <w:hideMark/>
          </w:tcPr>
          <w:p w14:paraId="2CDE0A26"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6.50%</w:t>
            </w:r>
          </w:p>
        </w:tc>
        <w:tc>
          <w:tcPr>
            <w:tcW w:w="3731" w:type="dxa"/>
            <w:noWrap/>
            <w:hideMark/>
          </w:tcPr>
          <w:p w14:paraId="5D381D28"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0814ED" w:rsidRPr="008A0EF2" w14:paraId="1F27FA59"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033B347C"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Average Credit Card Rate</w:t>
            </w:r>
          </w:p>
        </w:tc>
        <w:tc>
          <w:tcPr>
            <w:tcW w:w="3570" w:type="dxa"/>
            <w:noWrap/>
            <w:hideMark/>
          </w:tcPr>
          <w:p w14:paraId="11591B38"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20%</w:t>
            </w:r>
          </w:p>
        </w:tc>
        <w:tc>
          <w:tcPr>
            <w:tcW w:w="3731" w:type="dxa"/>
            <w:noWrap/>
            <w:hideMark/>
          </w:tcPr>
          <w:p w14:paraId="2275E03B"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Federal Reserve</w:t>
            </w:r>
          </w:p>
        </w:tc>
      </w:tr>
      <w:tr w:rsidR="008A0EF2" w:rsidRPr="008A0EF2" w14:paraId="1E7C23F0"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5BBBE3AD"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Average Personal Loan Rate</w:t>
            </w:r>
          </w:p>
        </w:tc>
        <w:tc>
          <w:tcPr>
            <w:tcW w:w="3570" w:type="dxa"/>
            <w:noWrap/>
            <w:hideMark/>
          </w:tcPr>
          <w:p w14:paraId="521A384B"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10%-15%</w:t>
            </w:r>
          </w:p>
        </w:tc>
        <w:tc>
          <w:tcPr>
            <w:tcW w:w="3731" w:type="dxa"/>
            <w:noWrap/>
            <w:hideMark/>
          </w:tcPr>
          <w:p w14:paraId="52EE63EC"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Credit Reporting Agencies</w:t>
            </w:r>
          </w:p>
        </w:tc>
      </w:tr>
      <w:tr w:rsidR="000814ED" w:rsidRPr="008A0EF2" w14:paraId="311C0350"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1B7B6171"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Average Small Business Loan Rate</w:t>
            </w:r>
          </w:p>
        </w:tc>
        <w:tc>
          <w:tcPr>
            <w:tcW w:w="3570" w:type="dxa"/>
            <w:noWrap/>
            <w:hideMark/>
          </w:tcPr>
          <w:p w14:paraId="6755E8D1"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4%-9%</w:t>
            </w:r>
          </w:p>
        </w:tc>
        <w:tc>
          <w:tcPr>
            <w:tcW w:w="3731" w:type="dxa"/>
            <w:noWrap/>
            <w:hideMark/>
          </w:tcPr>
          <w:p w14:paraId="65D17FAD"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Small Business Administration (SBA)</w:t>
            </w:r>
          </w:p>
        </w:tc>
      </w:tr>
      <w:tr w:rsidR="008A0EF2" w:rsidRPr="008A0EF2" w14:paraId="5C039F95"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1AB7EA62"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Average FICO Score (2023)</w:t>
            </w:r>
          </w:p>
        </w:tc>
        <w:tc>
          <w:tcPr>
            <w:tcW w:w="3570" w:type="dxa"/>
            <w:noWrap/>
            <w:hideMark/>
          </w:tcPr>
          <w:p w14:paraId="1CA76EAC"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716</w:t>
            </w:r>
          </w:p>
        </w:tc>
        <w:tc>
          <w:tcPr>
            <w:tcW w:w="3731" w:type="dxa"/>
            <w:noWrap/>
            <w:hideMark/>
          </w:tcPr>
          <w:p w14:paraId="5E4D7162"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 xml:space="preserve">Experian, </w:t>
            </w:r>
            <w:proofErr w:type="gramStart"/>
            <w:r w:rsidRPr="008A0EF2">
              <w:rPr>
                <w:rFonts w:ascii="Aptos Narrow" w:eastAsia="Times New Roman" w:hAnsi="Aptos Narrow" w:cs="Times New Roman"/>
                <w:color w:val="000000"/>
                <w:kern w:val="0"/>
                <w:lang w:eastAsia="en-IN"/>
                <w14:ligatures w14:val="none"/>
              </w:rPr>
              <w:t>Equifax,  TransUnion</w:t>
            </w:r>
            <w:proofErr w:type="gramEnd"/>
          </w:p>
        </w:tc>
      </w:tr>
      <w:tr w:rsidR="000814ED" w:rsidRPr="008A0EF2" w14:paraId="78103AF7"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120DEEF3"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Digital Banking Usage</w:t>
            </w:r>
          </w:p>
        </w:tc>
        <w:tc>
          <w:tcPr>
            <w:tcW w:w="3570" w:type="dxa"/>
            <w:noWrap/>
            <w:hideMark/>
          </w:tcPr>
          <w:p w14:paraId="3B948F42"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70% of Americans</w:t>
            </w:r>
          </w:p>
        </w:tc>
        <w:tc>
          <w:tcPr>
            <w:tcW w:w="3731" w:type="dxa"/>
            <w:noWrap/>
            <w:hideMark/>
          </w:tcPr>
          <w:p w14:paraId="4D48AC8B"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Industry Reports</w:t>
            </w:r>
          </w:p>
        </w:tc>
      </w:tr>
      <w:tr w:rsidR="008A0EF2" w:rsidRPr="008A0EF2" w14:paraId="6BCA3CF9"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21B31A35"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Fintech Investments (2022)</w:t>
            </w:r>
          </w:p>
        </w:tc>
        <w:tc>
          <w:tcPr>
            <w:tcW w:w="3570" w:type="dxa"/>
            <w:noWrap/>
            <w:hideMark/>
          </w:tcPr>
          <w:p w14:paraId="6F011C1F"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$25 billion</w:t>
            </w:r>
          </w:p>
        </w:tc>
        <w:tc>
          <w:tcPr>
            <w:tcW w:w="3731" w:type="dxa"/>
            <w:noWrap/>
            <w:hideMark/>
          </w:tcPr>
          <w:p w14:paraId="18A0CC4C"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Industry Reports</w:t>
            </w:r>
          </w:p>
        </w:tc>
      </w:tr>
      <w:tr w:rsidR="000814ED" w:rsidRPr="008A0EF2" w14:paraId="4031BE26" w14:textId="77777777" w:rsidTr="000814ED">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48921398"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Cost of Data Breach (2022)</w:t>
            </w:r>
          </w:p>
        </w:tc>
        <w:tc>
          <w:tcPr>
            <w:tcW w:w="3570" w:type="dxa"/>
            <w:noWrap/>
            <w:hideMark/>
          </w:tcPr>
          <w:p w14:paraId="270680DE"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$5.85 million</w:t>
            </w:r>
          </w:p>
        </w:tc>
        <w:tc>
          <w:tcPr>
            <w:tcW w:w="3731" w:type="dxa"/>
            <w:noWrap/>
            <w:hideMark/>
          </w:tcPr>
          <w:p w14:paraId="3F8A8589" w14:textId="77777777" w:rsidR="008A0EF2" w:rsidRPr="008A0EF2" w:rsidRDefault="008A0EF2" w:rsidP="008A0EF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Industry Reports</w:t>
            </w:r>
          </w:p>
        </w:tc>
      </w:tr>
      <w:tr w:rsidR="008A0EF2" w:rsidRPr="008A0EF2" w14:paraId="460572E2" w14:textId="77777777" w:rsidTr="000814ED">
        <w:trPr>
          <w:trHeight w:val="540"/>
        </w:trPr>
        <w:tc>
          <w:tcPr>
            <w:cnfStyle w:val="001000000000" w:firstRow="0" w:lastRow="0" w:firstColumn="1" w:lastColumn="0" w:oddVBand="0" w:evenVBand="0" w:oddHBand="0" w:evenHBand="0" w:firstRowFirstColumn="0" w:firstRowLastColumn="0" w:lastRowFirstColumn="0" w:lastRowLastColumn="0"/>
            <w:tcW w:w="2848" w:type="dxa"/>
            <w:noWrap/>
            <w:hideMark/>
          </w:tcPr>
          <w:p w14:paraId="4F58886D" w14:textId="77777777" w:rsidR="008A0EF2" w:rsidRPr="008A0EF2" w:rsidRDefault="008A0EF2" w:rsidP="008A0EF2">
            <w:pPr>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Regulatory Compliance Costs</w:t>
            </w:r>
          </w:p>
        </w:tc>
        <w:tc>
          <w:tcPr>
            <w:tcW w:w="3570" w:type="dxa"/>
            <w:noWrap/>
            <w:hideMark/>
          </w:tcPr>
          <w:p w14:paraId="1276A886"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Billions annually for large banks</w:t>
            </w:r>
          </w:p>
        </w:tc>
        <w:tc>
          <w:tcPr>
            <w:tcW w:w="3731" w:type="dxa"/>
            <w:noWrap/>
            <w:hideMark/>
          </w:tcPr>
          <w:p w14:paraId="6D2BD7DF" w14:textId="77777777" w:rsidR="008A0EF2" w:rsidRPr="008A0EF2" w:rsidRDefault="008A0EF2" w:rsidP="008A0EF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8A0EF2">
              <w:rPr>
                <w:rFonts w:ascii="Aptos Narrow" w:eastAsia="Times New Roman" w:hAnsi="Aptos Narrow" w:cs="Times New Roman"/>
                <w:color w:val="000000"/>
                <w:kern w:val="0"/>
                <w:lang w:eastAsia="en-IN"/>
                <w14:ligatures w14:val="none"/>
              </w:rPr>
              <w:t>Bank Annual Reports</w:t>
            </w:r>
          </w:p>
        </w:tc>
      </w:tr>
    </w:tbl>
    <w:p w14:paraId="525E5C95" w14:textId="5C56ACC8" w:rsidR="008A21E4" w:rsidRDefault="008A21E4" w:rsidP="00A62FE6"/>
    <w:sectPr w:rsidR="008A21E4" w:rsidSect="008D775D">
      <w:footerReference w:type="default" r:id="rId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42BE0" w14:textId="77777777" w:rsidR="00CF129F" w:rsidRDefault="00CF129F" w:rsidP="000814ED">
      <w:pPr>
        <w:spacing w:after="0" w:line="240" w:lineRule="auto"/>
      </w:pPr>
      <w:r>
        <w:separator/>
      </w:r>
    </w:p>
  </w:endnote>
  <w:endnote w:type="continuationSeparator" w:id="0">
    <w:p w14:paraId="3C1C0DE7" w14:textId="77777777" w:rsidR="00CF129F" w:rsidRDefault="00CF129F" w:rsidP="0008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239797"/>
      <w:docPartObj>
        <w:docPartGallery w:val="Page Numbers (Bottom of Page)"/>
        <w:docPartUnique/>
      </w:docPartObj>
    </w:sdtPr>
    <w:sdtEndPr>
      <w:rPr>
        <w:noProof/>
      </w:rPr>
    </w:sdtEndPr>
    <w:sdtContent>
      <w:p w14:paraId="01A48FD5" w14:textId="028F425A" w:rsidR="000814ED" w:rsidRDefault="00081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35417D" w14:textId="77777777" w:rsidR="000814ED" w:rsidRDefault="00081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7F58D" w14:textId="77777777" w:rsidR="00CF129F" w:rsidRDefault="00CF129F" w:rsidP="000814ED">
      <w:pPr>
        <w:spacing w:after="0" w:line="240" w:lineRule="auto"/>
      </w:pPr>
      <w:r>
        <w:separator/>
      </w:r>
    </w:p>
  </w:footnote>
  <w:footnote w:type="continuationSeparator" w:id="0">
    <w:p w14:paraId="5293D3FB" w14:textId="77777777" w:rsidR="00CF129F" w:rsidRDefault="00CF129F" w:rsidP="00081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82DD0"/>
    <w:multiLevelType w:val="hybridMultilevel"/>
    <w:tmpl w:val="8110C836"/>
    <w:lvl w:ilvl="0" w:tplc="9AF40270">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2851E4"/>
    <w:multiLevelType w:val="hybridMultilevel"/>
    <w:tmpl w:val="D5CA5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050225E"/>
    <w:multiLevelType w:val="hybridMultilevel"/>
    <w:tmpl w:val="65249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D77F2"/>
    <w:multiLevelType w:val="hybridMultilevel"/>
    <w:tmpl w:val="A778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BE7D56"/>
    <w:multiLevelType w:val="hybridMultilevel"/>
    <w:tmpl w:val="2AF2E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2D10C4"/>
    <w:multiLevelType w:val="hybridMultilevel"/>
    <w:tmpl w:val="DE6EE7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CAD32A3"/>
    <w:multiLevelType w:val="hybridMultilevel"/>
    <w:tmpl w:val="B8CAC710"/>
    <w:lvl w:ilvl="0" w:tplc="9AF40270">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EE3D20"/>
    <w:multiLevelType w:val="hybridMultilevel"/>
    <w:tmpl w:val="82187894"/>
    <w:lvl w:ilvl="0" w:tplc="9AF40270">
      <w:numFmt w:val="bullet"/>
      <w:lvlText w:val="-"/>
      <w:lvlJc w:val="left"/>
      <w:pPr>
        <w:ind w:left="1440" w:hanging="360"/>
      </w:pPr>
      <w:rPr>
        <w:rFonts w:ascii="Aptos" w:eastAsiaTheme="minorHAnsi" w:hAnsi="Apto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39624F"/>
    <w:multiLevelType w:val="hybridMultilevel"/>
    <w:tmpl w:val="77C2BE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03E4413"/>
    <w:multiLevelType w:val="hybridMultilevel"/>
    <w:tmpl w:val="E592B4D0"/>
    <w:lvl w:ilvl="0" w:tplc="9AF4027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498976">
    <w:abstractNumId w:val="2"/>
  </w:num>
  <w:num w:numId="2" w16cid:durableId="1399210053">
    <w:abstractNumId w:val="9"/>
  </w:num>
  <w:num w:numId="3" w16cid:durableId="1351956632">
    <w:abstractNumId w:val="6"/>
  </w:num>
  <w:num w:numId="4" w16cid:durableId="429084577">
    <w:abstractNumId w:val="0"/>
  </w:num>
  <w:num w:numId="5" w16cid:durableId="421220072">
    <w:abstractNumId w:val="7"/>
  </w:num>
  <w:num w:numId="6" w16cid:durableId="1516111690">
    <w:abstractNumId w:val="5"/>
  </w:num>
  <w:num w:numId="7" w16cid:durableId="38557173">
    <w:abstractNumId w:val="8"/>
  </w:num>
  <w:num w:numId="8" w16cid:durableId="1559901881">
    <w:abstractNumId w:val="1"/>
  </w:num>
  <w:num w:numId="9" w16cid:durableId="1945266935">
    <w:abstractNumId w:val="4"/>
  </w:num>
  <w:num w:numId="10" w16cid:durableId="919560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E6"/>
    <w:rsid w:val="000814ED"/>
    <w:rsid w:val="001034BF"/>
    <w:rsid w:val="003468EF"/>
    <w:rsid w:val="0073727F"/>
    <w:rsid w:val="0088182B"/>
    <w:rsid w:val="008A0EF2"/>
    <w:rsid w:val="008A21E4"/>
    <w:rsid w:val="008D775D"/>
    <w:rsid w:val="0090328B"/>
    <w:rsid w:val="00A62FE6"/>
    <w:rsid w:val="00CF129F"/>
    <w:rsid w:val="00D83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9696"/>
  <w15:chartTrackingRefBased/>
  <w15:docId w15:val="{FD29B05D-9F21-429A-A21F-46D3AFEE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2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2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FE6"/>
    <w:rPr>
      <w:rFonts w:eastAsiaTheme="majorEastAsia" w:cstheme="majorBidi"/>
      <w:color w:val="272727" w:themeColor="text1" w:themeTint="D8"/>
    </w:rPr>
  </w:style>
  <w:style w:type="paragraph" w:styleId="Title">
    <w:name w:val="Title"/>
    <w:basedOn w:val="Normal"/>
    <w:next w:val="Normal"/>
    <w:link w:val="TitleChar"/>
    <w:uiPriority w:val="10"/>
    <w:qFormat/>
    <w:rsid w:val="00A62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FE6"/>
    <w:pPr>
      <w:spacing w:before="160"/>
      <w:jc w:val="center"/>
    </w:pPr>
    <w:rPr>
      <w:i/>
      <w:iCs/>
      <w:color w:val="404040" w:themeColor="text1" w:themeTint="BF"/>
    </w:rPr>
  </w:style>
  <w:style w:type="character" w:customStyle="1" w:styleId="QuoteChar">
    <w:name w:val="Quote Char"/>
    <w:basedOn w:val="DefaultParagraphFont"/>
    <w:link w:val="Quote"/>
    <w:uiPriority w:val="29"/>
    <w:rsid w:val="00A62FE6"/>
    <w:rPr>
      <w:i/>
      <w:iCs/>
      <w:color w:val="404040" w:themeColor="text1" w:themeTint="BF"/>
    </w:rPr>
  </w:style>
  <w:style w:type="paragraph" w:styleId="ListParagraph">
    <w:name w:val="List Paragraph"/>
    <w:basedOn w:val="Normal"/>
    <w:uiPriority w:val="34"/>
    <w:qFormat/>
    <w:rsid w:val="00A62FE6"/>
    <w:pPr>
      <w:ind w:left="720"/>
      <w:contextualSpacing/>
    </w:pPr>
  </w:style>
  <w:style w:type="character" w:styleId="IntenseEmphasis">
    <w:name w:val="Intense Emphasis"/>
    <w:basedOn w:val="DefaultParagraphFont"/>
    <w:uiPriority w:val="21"/>
    <w:qFormat/>
    <w:rsid w:val="00A62FE6"/>
    <w:rPr>
      <w:i/>
      <w:iCs/>
      <w:color w:val="0F4761" w:themeColor="accent1" w:themeShade="BF"/>
    </w:rPr>
  </w:style>
  <w:style w:type="paragraph" w:styleId="IntenseQuote">
    <w:name w:val="Intense Quote"/>
    <w:basedOn w:val="Normal"/>
    <w:next w:val="Normal"/>
    <w:link w:val="IntenseQuoteChar"/>
    <w:uiPriority w:val="30"/>
    <w:qFormat/>
    <w:rsid w:val="00A62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FE6"/>
    <w:rPr>
      <w:i/>
      <w:iCs/>
      <w:color w:val="0F4761" w:themeColor="accent1" w:themeShade="BF"/>
    </w:rPr>
  </w:style>
  <w:style w:type="character" w:styleId="IntenseReference">
    <w:name w:val="Intense Reference"/>
    <w:basedOn w:val="DefaultParagraphFont"/>
    <w:uiPriority w:val="32"/>
    <w:qFormat/>
    <w:rsid w:val="00A62FE6"/>
    <w:rPr>
      <w:b/>
      <w:bCs/>
      <w:smallCaps/>
      <w:color w:val="0F4761" w:themeColor="accent1" w:themeShade="BF"/>
      <w:spacing w:val="5"/>
    </w:rPr>
  </w:style>
  <w:style w:type="table" w:styleId="TableGrid">
    <w:name w:val="Table Grid"/>
    <w:basedOn w:val="TableNormal"/>
    <w:uiPriority w:val="39"/>
    <w:rsid w:val="008A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0E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A0E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8A0EF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
    <w:name w:val="Grid Table 5 Dark"/>
    <w:basedOn w:val="TableNormal"/>
    <w:uiPriority w:val="50"/>
    <w:rsid w:val="008A0E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8A0E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8A0EF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A0E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81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4ED"/>
  </w:style>
  <w:style w:type="paragraph" w:styleId="Footer">
    <w:name w:val="footer"/>
    <w:basedOn w:val="Normal"/>
    <w:link w:val="FooterChar"/>
    <w:uiPriority w:val="99"/>
    <w:unhideWhenUsed/>
    <w:rsid w:val="00081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4ED"/>
  </w:style>
  <w:style w:type="table" w:styleId="GridTable6Colorful">
    <w:name w:val="Grid Table 6 Colorful"/>
    <w:basedOn w:val="TableNormal"/>
    <w:uiPriority w:val="51"/>
    <w:rsid w:val="007372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25450">
      <w:bodyDiv w:val="1"/>
      <w:marLeft w:val="0"/>
      <w:marRight w:val="0"/>
      <w:marTop w:val="0"/>
      <w:marBottom w:val="0"/>
      <w:divBdr>
        <w:top w:val="none" w:sz="0" w:space="0" w:color="auto"/>
        <w:left w:val="none" w:sz="0" w:space="0" w:color="auto"/>
        <w:bottom w:val="none" w:sz="0" w:space="0" w:color="auto"/>
        <w:right w:val="none" w:sz="0" w:space="0" w:color="auto"/>
      </w:divBdr>
    </w:div>
    <w:div w:id="1856072135">
      <w:bodyDiv w:val="1"/>
      <w:marLeft w:val="0"/>
      <w:marRight w:val="0"/>
      <w:marTop w:val="0"/>
      <w:marBottom w:val="0"/>
      <w:divBdr>
        <w:top w:val="none" w:sz="0" w:space="0" w:color="auto"/>
        <w:left w:val="none" w:sz="0" w:space="0" w:color="auto"/>
        <w:bottom w:val="none" w:sz="0" w:space="0" w:color="auto"/>
        <w:right w:val="none" w:sz="0" w:space="0" w:color="auto"/>
      </w:divBdr>
    </w:div>
    <w:div w:id="20935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dish\Downloads\Structure%20of%20us%20bank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 Sources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Net Interest Income (in billions)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2018</c:v>
                </c:pt>
                <c:pt idx="1">
                  <c:v>2019</c:v>
                </c:pt>
                <c:pt idx="2">
                  <c:v>2020</c:v>
                </c:pt>
                <c:pt idx="3">
                  <c:v>2021</c:v>
                </c:pt>
                <c:pt idx="4">
                  <c:v>2022</c:v>
                </c:pt>
                <c:pt idx="5">
                  <c:v>2023</c:v>
                </c:pt>
              </c:numCache>
            </c:numRef>
          </c:cat>
          <c:val>
            <c:numRef>
              <c:f>Sheet2!$B$2:$B$7</c:f>
              <c:numCache>
                <c:formatCode>General</c:formatCode>
                <c:ptCount val="6"/>
                <c:pt idx="0">
                  <c:v>490</c:v>
                </c:pt>
                <c:pt idx="1">
                  <c:v>510</c:v>
                </c:pt>
                <c:pt idx="2">
                  <c:v>480</c:v>
                </c:pt>
                <c:pt idx="3">
                  <c:v>550</c:v>
                </c:pt>
                <c:pt idx="4">
                  <c:v>560</c:v>
                </c:pt>
                <c:pt idx="5">
                  <c:v>580</c:v>
                </c:pt>
              </c:numCache>
            </c:numRef>
          </c:val>
          <c:extLst>
            <c:ext xmlns:c16="http://schemas.microsoft.com/office/drawing/2014/chart" uri="{C3380CC4-5D6E-409C-BE32-E72D297353CC}">
              <c16:uniqueId val="{00000000-8EF1-491B-8F5F-55005575B86E}"/>
            </c:ext>
          </c:extLst>
        </c:ser>
        <c:ser>
          <c:idx val="1"/>
          <c:order val="1"/>
          <c:tx>
            <c:strRef>
              <c:f>Sheet2!$C$1</c:f>
              <c:strCache>
                <c:ptCount val="1"/>
                <c:pt idx="0">
                  <c:v>Non-Interest Income (in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2018</c:v>
                </c:pt>
                <c:pt idx="1">
                  <c:v>2019</c:v>
                </c:pt>
                <c:pt idx="2">
                  <c:v>2020</c:v>
                </c:pt>
                <c:pt idx="3">
                  <c:v>2021</c:v>
                </c:pt>
                <c:pt idx="4">
                  <c:v>2022</c:v>
                </c:pt>
                <c:pt idx="5">
                  <c:v>2023</c:v>
                </c:pt>
              </c:numCache>
            </c:numRef>
          </c:cat>
          <c:val>
            <c:numRef>
              <c:f>Sheet2!$C$2:$C$7</c:f>
              <c:numCache>
                <c:formatCode>General</c:formatCode>
                <c:ptCount val="6"/>
                <c:pt idx="0">
                  <c:v>240</c:v>
                </c:pt>
                <c:pt idx="1">
                  <c:v>250</c:v>
                </c:pt>
                <c:pt idx="2">
                  <c:v>230</c:v>
                </c:pt>
                <c:pt idx="3">
                  <c:v>260</c:v>
                </c:pt>
                <c:pt idx="4">
                  <c:v>270</c:v>
                </c:pt>
                <c:pt idx="5">
                  <c:v>280</c:v>
                </c:pt>
              </c:numCache>
            </c:numRef>
          </c:val>
          <c:extLst>
            <c:ext xmlns:c16="http://schemas.microsoft.com/office/drawing/2014/chart" uri="{C3380CC4-5D6E-409C-BE32-E72D297353CC}">
              <c16:uniqueId val="{00000001-8EF1-491B-8F5F-55005575B86E}"/>
            </c:ext>
          </c:extLst>
        </c:ser>
        <c:ser>
          <c:idx val="2"/>
          <c:order val="2"/>
          <c:tx>
            <c:strRef>
              <c:f>Sheet2!$D$1</c:f>
              <c:strCache>
                <c:ptCount val="1"/>
                <c:pt idx="0">
                  <c:v>Trading Revenue (in billions)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2018</c:v>
                </c:pt>
                <c:pt idx="1">
                  <c:v>2019</c:v>
                </c:pt>
                <c:pt idx="2">
                  <c:v>2020</c:v>
                </c:pt>
                <c:pt idx="3">
                  <c:v>2021</c:v>
                </c:pt>
                <c:pt idx="4">
                  <c:v>2022</c:v>
                </c:pt>
                <c:pt idx="5">
                  <c:v>2023</c:v>
                </c:pt>
              </c:numCache>
            </c:numRef>
          </c:cat>
          <c:val>
            <c:numRef>
              <c:f>Sheet2!$D$2:$D$7</c:f>
              <c:numCache>
                <c:formatCode>General</c:formatCode>
                <c:ptCount val="6"/>
                <c:pt idx="0">
                  <c:v>20</c:v>
                </c:pt>
                <c:pt idx="1">
                  <c:v>22</c:v>
                </c:pt>
                <c:pt idx="2">
                  <c:v>18</c:v>
                </c:pt>
                <c:pt idx="3">
                  <c:v>25</c:v>
                </c:pt>
                <c:pt idx="4">
                  <c:v>24</c:v>
                </c:pt>
                <c:pt idx="5">
                  <c:v>26</c:v>
                </c:pt>
              </c:numCache>
            </c:numRef>
          </c:val>
          <c:extLst>
            <c:ext xmlns:c16="http://schemas.microsoft.com/office/drawing/2014/chart" uri="{C3380CC4-5D6E-409C-BE32-E72D297353CC}">
              <c16:uniqueId val="{00000002-8EF1-491B-8F5F-55005575B86E}"/>
            </c:ext>
          </c:extLst>
        </c:ser>
        <c:ser>
          <c:idx val="3"/>
          <c:order val="3"/>
          <c:tx>
            <c:strRef>
              <c:f>Sheet2!$E$1</c:f>
              <c:strCache>
                <c:ptCount val="1"/>
                <c:pt idx="0">
                  <c:v>Total Loan Balances (in trillions)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Sheet2!$A$2:$A$7</c:f>
              <c:numCache>
                <c:formatCode>General</c:formatCode>
                <c:ptCount val="6"/>
                <c:pt idx="0">
                  <c:v>2018</c:v>
                </c:pt>
                <c:pt idx="1">
                  <c:v>2019</c:v>
                </c:pt>
                <c:pt idx="2">
                  <c:v>2020</c:v>
                </c:pt>
                <c:pt idx="3">
                  <c:v>2021</c:v>
                </c:pt>
                <c:pt idx="4">
                  <c:v>2022</c:v>
                </c:pt>
                <c:pt idx="5">
                  <c:v>2023</c:v>
                </c:pt>
              </c:numCache>
            </c:numRef>
          </c:cat>
          <c:val>
            <c:numRef>
              <c:f>Sheet2!$E$2:$E$7</c:f>
              <c:numCache>
                <c:formatCode>General</c:formatCode>
                <c:ptCount val="6"/>
                <c:pt idx="0">
                  <c:v>10</c:v>
                </c:pt>
                <c:pt idx="1">
                  <c:v>10.5</c:v>
                </c:pt>
                <c:pt idx="2">
                  <c:v>11</c:v>
                </c:pt>
                <c:pt idx="3">
                  <c:v>11.5</c:v>
                </c:pt>
                <c:pt idx="4">
                  <c:v>11.5</c:v>
                </c:pt>
                <c:pt idx="5">
                  <c:v>12</c:v>
                </c:pt>
              </c:numCache>
            </c:numRef>
          </c:val>
          <c:extLst>
            <c:ext xmlns:c16="http://schemas.microsoft.com/office/drawing/2014/chart" uri="{C3380CC4-5D6E-409C-BE32-E72D297353CC}">
              <c16:uniqueId val="{00000003-8EF1-491B-8F5F-55005575B86E}"/>
            </c:ext>
          </c:extLst>
        </c:ser>
        <c:dLbls>
          <c:dLblPos val="outEnd"/>
          <c:showLegendKey val="0"/>
          <c:showVal val="1"/>
          <c:showCatName val="0"/>
          <c:showSerName val="0"/>
          <c:showPercent val="0"/>
          <c:showBubbleSize val="0"/>
        </c:dLbls>
        <c:gapWidth val="219"/>
        <c:overlap val="-27"/>
        <c:axId val="435430399"/>
        <c:axId val="435421279"/>
      </c:barChart>
      <c:catAx>
        <c:axId val="435430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21279"/>
        <c:crosses val="autoZero"/>
        <c:auto val="1"/>
        <c:lblAlgn val="ctr"/>
        <c:lblOffset val="100"/>
        <c:noMultiLvlLbl val="0"/>
      </c:catAx>
      <c:valAx>
        <c:axId val="435421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30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44904-1E4E-415A-A7B8-31DCA53AA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cp:lastPrinted>2024-06-05T11:24:00Z</cp:lastPrinted>
  <dcterms:created xsi:type="dcterms:W3CDTF">2024-06-05T11:25:00Z</dcterms:created>
  <dcterms:modified xsi:type="dcterms:W3CDTF">2024-06-05T11:25:00Z</dcterms:modified>
</cp:coreProperties>
</file>