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25E05" w14:textId="7D37CF12" w:rsidR="0039474F" w:rsidRPr="00153510" w:rsidRDefault="00153510" w:rsidP="00153510">
      <w:pPr>
        <w:pStyle w:val="Heading1"/>
        <w:jc w:val="center"/>
        <w:rPr>
          <w:rFonts w:eastAsia="Times New Roman"/>
          <w:b/>
          <w:bCs/>
          <w:lang w:eastAsia="en-IN"/>
        </w:rPr>
      </w:pPr>
      <w:r w:rsidRPr="00153510">
        <w:rPr>
          <w:rFonts w:eastAsia="Times New Roman"/>
          <w:b/>
          <w:bCs/>
          <w:lang w:eastAsia="en-IN"/>
        </w:rPr>
        <w:t>WEALTH MANAGEMENT OPERATIONS</w:t>
      </w:r>
    </w:p>
    <w:p w14:paraId="523DB7F0" w14:textId="77777777" w:rsidR="0039474F" w:rsidRPr="0039474F" w:rsidRDefault="0039474F" w:rsidP="00153510">
      <w:pPr>
        <w:pStyle w:val="Heading2"/>
        <w:rPr>
          <w:rFonts w:eastAsia="Times New Roman"/>
          <w:lang w:eastAsia="en-IN"/>
        </w:rPr>
      </w:pPr>
      <w:r w:rsidRPr="0039474F">
        <w:rPr>
          <w:rFonts w:eastAsia="Times New Roman"/>
          <w:lang w:eastAsia="en-IN"/>
        </w:rPr>
        <w:t>Introduction</w:t>
      </w:r>
    </w:p>
    <w:p w14:paraId="24C64F07"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Wealth management is a comprehensive service that combines financial planning, investment management, and other financial services to meet the needs of affluent clients. This service is crucial for high-net-worth individuals (HNWIs) and institutions seeking to preserve and grow their wealth over time. Wealth management operations involve a series of structured processes designed to ensure that clients receive tailored advice and solutions while complying with regulatory standards and managing risk effectively.</w:t>
      </w:r>
    </w:p>
    <w:p w14:paraId="66D2750A" w14:textId="77777777" w:rsidR="0039474F" w:rsidRPr="0039474F" w:rsidRDefault="0039474F" w:rsidP="00153510">
      <w:pPr>
        <w:pStyle w:val="Heading2"/>
        <w:rPr>
          <w:rFonts w:eastAsia="Times New Roman"/>
          <w:lang w:eastAsia="en-IN"/>
        </w:rPr>
      </w:pPr>
      <w:r w:rsidRPr="0039474F">
        <w:rPr>
          <w:rFonts w:eastAsia="Times New Roman"/>
          <w:lang w:eastAsia="en-IN"/>
        </w:rPr>
        <w:t>Client Onboarding</w:t>
      </w:r>
    </w:p>
    <w:p w14:paraId="32E0F4FF"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 xml:space="preserve">The client onboarding process in wealth management starts with Know Your Customer (KYC) procedures, which are essential for verifying the identity of new clients. This process involves collecting and </w:t>
      </w:r>
      <w:proofErr w:type="spellStart"/>
      <w:r w:rsidRPr="0039474F">
        <w:rPr>
          <w:rFonts w:eastAsia="Times New Roman" w:cs="Times New Roman"/>
          <w:kern w:val="0"/>
          <w:sz w:val="24"/>
          <w:szCs w:val="24"/>
          <w:lang w:eastAsia="en-IN"/>
          <w14:ligatures w14:val="none"/>
        </w:rPr>
        <w:t>analyzing</w:t>
      </w:r>
      <w:proofErr w:type="spellEnd"/>
      <w:r w:rsidRPr="0039474F">
        <w:rPr>
          <w:rFonts w:eastAsia="Times New Roman" w:cs="Times New Roman"/>
          <w:kern w:val="0"/>
          <w:sz w:val="24"/>
          <w:szCs w:val="24"/>
          <w:lang w:eastAsia="en-IN"/>
          <w14:ligatures w14:val="none"/>
        </w:rPr>
        <w:t xml:space="preserve"> personal data such as identification documents, financial information, and background checks to assess potential risks. KYC is critical in preventing fraud, identity theft, and ensuring compliance with regulatory requirements.</w:t>
      </w:r>
    </w:p>
    <w:p w14:paraId="7B23B7D8"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 xml:space="preserve">Anti-Money Laundering (AML) checks are another key component of client onboarding. These checks aim to prevent the laundering of illicit funds through the financial system. AML processes involve monitoring transactions for suspicious activity, conducting due diligence on clients, and reporting any unusual </w:t>
      </w:r>
      <w:proofErr w:type="spellStart"/>
      <w:r w:rsidRPr="0039474F">
        <w:rPr>
          <w:rFonts w:eastAsia="Times New Roman" w:cs="Times New Roman"/>
          <w:kern w:val="0"/>
          <w:sz w:val="24"/>
          <w:szCs w:val="24"/>
          <w:lang w:eastAsia="en-IN"/>
          <w14:ligatures w14:val="none"/>
        </w:rPr>
        <w:t>behavior</w:t>
      </w:r>
      <w:proofErr w:type="spellEnd"/>
      <w:r w:rsidRPr="0039474F">
        <w:rPr>
          <w:rFonts w:eastAsia="Times New Roman" w:cs="Times New Roman"/>
          <w:kern w:val="0"/>
          <w:sz w:val="24"/>
          <w:szCs w:val="24"/>
          <w:lang w:eastAsia="en-IN"/>
          <w14:ligatures w14:val="none"/>
        </w:rPr>
        <w:t xml:space="preserve"> to regulatory authorities.</w:t>
      </w:r>
    </w:p>
    <w:p w14:paraId="2450D82D"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Setting up a client account involves several steps, including gathering necessary documentation, configuring account features, and establishing communication channels. This process ensures that all client information is accurately recorded and that the account is set up to meet the client's specific needs and preferences. It includes:</w:t>
      </w:r>
    </w:p>
    <w:p w14:paraId="4C81EFD1" w14:textId="77777777" w:rsidR="0039474F" w:rsidRPr="0039474F" w:rsidRDefault="0039474F" w:rsidP="0039474F">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b/>
          <w:bCs/>
          <w:kern w:val="0"/>
          <w:sz w:val="24"/>
          <w:szCs w:val="24"/>
          <w:lang w:eastAsia="en-IN"/>
          <w14:ligatures w14:val="none"/>
        </w:rPr>
        <w:t>Documentation Collection:</w:t>
      </w:r>
      <w:r w:rsidRPr="0039474F">
        <w:rPr>
          <w:rFonts w:eastAsia="Times New Roman" w:cs="Times New Roman"/>
          <w:kern w:val="0"/>
          <w:sz w:val="24"/>
          <w:szCs w:val="24"/>
          <w:lang w:eastAsia="en-IN"/>
          <w14:ligatures w14:val="none"/>
        </w:rPr>
        <w:t xml:space="preserve"> Gathering documents such as proof of identity, proof of address, financial statements, and any other required legal documents.</w:t>
      </w:r>
    </w:p>
    <w:p w14:paraId="2FDA0AFB" w14:textId="77777777" w:rsidR="0039474F" w:rsidRPr="0039474F" w:rsidRDefault="0039474F" w:rsidP="0039474F">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b/>
          <w:bCs/>
          <w:kern w:val="0"/>
          <w:sz w:val="24"/>
          <w:szCs w:val="24"/>
          <w:lang w:eastAsia="en-IN"/>
          <w14:ligatures w14:val="none"/>
        </w:rPr>
        <w:t>Risk Profiling:</w:t>
      </w:r>
      <w:r w:rsidRPr="0039474F">
        <w:rPr>
          <w:rFonts w:eastAsia="Times New Roman" w:cs="Times New Roman"/>
          <w:kern w:val="0"/>
          <w:sz w:val="24"/>
          <w:szCs w:val="24"/>
          <w:lang w:eastAsia="en-IN"/>
          <w14:ligatures w14:val="none"/>
        </w:rPr>
        <w:t xml:space="preserve"> Assessing the client’s risk appetite through questionnaires and interviews to tailor investment strategies accordingly.</w:t>
      </w:r>
    </w:p>
    <w:p w14:paraId="5AE401CB" w14:textId="77777777" w:rsidR="0039474F" w:rsidRPr="0039474F" w:rsidRDefault="0039474F" w:rsidP="0039474F">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b/>
          <w:bCs/>
          <w:kern w:val="0"/>
          <w:sz w:val="24"/>
          <w:szCs w:val="24"/>
          <w:lang w:eastAsia="en-IN"/>
          <w14:ligatures w14:val="none"/>
        </w:rPr>
        <w:t>Account Configuration:</w:t>
      </w:r>
      <w:r w:rsidRPr="0039474F">
        <w:rPr>
          <w:rFonts w:eastAsia="Times New Roman" w:cs="Times New Roman"/>
          <w:kern w:val="0"/>
          <w:sz w:val="24"/>
          <w:szCs w:val="24"/>
          <w:lang w:eastAsia="en-IN"/>
          <w14:ligatures w14:val="none"/>
        </w:rPr>
        <w:t xml:space="preserve"> Setting up the account with the necessary permissions, access levels, and customization to fit the client’s requirements.</w:t>
      </w:r>
    </w:p>
    <w:p w14:paraId="7825B4F0" w14:textId="77777777" w:rsidR="0039474F" w:rsidRPr="0039474F" w:rsidRDefault="0039474F" w:rsidP="00153510">
      <w:pPr>
        <w:pStyle w:val="Heading2"/>
        <w:rPr>
          <w:rFonts w:eastAsia="Times New Roman"/>
          <w:lang w:eastAsia="en-IN"/>
        </w:rPr>
      </w:pPr>
      <w:r w:rsidRPr="0039474F">
        <w:rPr>
          <w:rFonts w:eastAsia="Times New Roman"/>
          <w:lang w:eastAsia="en-IN"/>
        </w:rPr>
        <w:t>Portfolio Management</w:t>
      </w:r>
    </w:p>
    <w:p w14:paraId="599B667A"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Asset allocation is the process of distributing investments across various asset classes such as stocks, bonds, and real estate to balance risk and reward according to the client's goals and risk tolerance. This strategic allocation is fundamental to achieving optimal portfolio performance over the long term.</w:t>
      </w:r>
    </w:p>
    <w:p w14:paraId="39B749EF"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lastRenderedPageBreak/>
        <w:t>Investment selection involves choosing specific securities or investment vehicles that align with the client's asset allocation strategy. This process requires thorough research and analysis to identify opportunities that offer the best potential returns for the given level of risk. The selection process includes:</w:t>
      </w:r>
    </w:p>
    <w:p w14:paraId="479C3A14" w14:textId="77777777" w:rsidR="0039474F" w:rsidRPr="0039474F" w:rsidRDefault="0039474F" w:rsidP="0039474F">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b/>
          <w:bCs/>
          <w:kern w:val="0"/>
          <w:sz w:val="24"/>
          <w:szCs w:val="24"/>
          <w:lang w:eastAsia="en-IN"/>
          <w14:ligatures w14:val="none"/>
        </w:rPr>
        <w:t>Security Analysis:</w:t>
      </w:r>
      <w:r w:rsidRPr="0039474F">
        <w:rPr>
          <w:rFonts w:eastAsia="Times New Roman" w:cs="Times New Roman"/>
          <w:kern w:val="0"/>
          <w:sz w:val="24"/>
          <w:szCs w:val="24"/>
          <w:lang w:eastAsia="en-IN"/>
          <w14:ligatures w14:val="none"/>
        </w:rPr>
        <w:t xml:space="preserve"> Evaluating potential investments through fundamental and technical analysis to determine their suitability.</w:t>
      </w:r>
    </w:p>
    <w:p w14:paraId="4F6CEC74" w14:textId="77777777" w:rsidR="0039474F" w:rsidRPr="0039474F" w:rsidRDefault="0039474F" w:rsidP="0039474F">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b/>
          <w:bCs/>
          <w:kern w:val="0"/>
          <w:sz w:val="24"/>
          <w:szCs w:val="24"/>
          <w:lang w:eastAsia="en-IN"/>
          <w14:ligatures w14:val="none"/>
        </w:rPr>
        <w:t>Diversification:</w:t>
      </w:r>
      <w:r w:rsidRPr="0039474F">
        <w:rPr>
          <w:rFonts w:eastAsia="Times New Roman" w:cs="Times New Roman"/>
          <w:kern w:val="0"/>
          <w:sz w:val="24"/>
          <w:szCs w:val="24"/>
          <w:lang w:eastAsia="en-IN"/>
          <w14:ligatures w14:val="none"/>
        </w:rPr>
        <w:t xml:space="preserve"> Spreading investments across different sectors and geographies to mitigate risks.</w:t>
      </w:r>
    </w:p>
    <w:p w14:paraId="20B7FA28" w14:textId="77777777" w:rsidR="0039474F" w:rsidRPr="0039474F" w:rsidRDefault="0039474F" w:rsidP="0039474F">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b/>
          <w:bCs/>
          <w:kern w:val="0"/>
          <w:sz w:val="24"/>
          <w:szCs w:val="24"/>
          <w:lang w:eastAsia="en-IN"/>
          <w14:ligatures w14:val="none"/>
        </w:rPr>
        <w:t>Due Diligence:</w:t>
      </w:r>
      <w:r w:rsidRPr="0039474F">
        <w:rPr>
          <w:rFonts w:eastAsia="Times New Roman" w:cs="Times New Roman"/>
          <w:kern w:val="0"/>
          <w:sz w:val="24"/>
          <w:szCs w:val="24"/>
          <w:lang w:eastAsia="en-IN"/>
          <w14:ligatures w14:val="none"/>
        </w:rPr>
        <w:t xml:space="preserve"> Conducting in-depth research to ensure the chosen investments align with the client's objectives and risk profile.</w:t>
      </w:r>
    </w:p>
    <w:p w14:paraId="4D04861B"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Performance monitoring is the ongoing process of evaluating the performance of the client's portfolio against benchmarks and goals. Regular reviews and adjustments are necessary to respond to changing market conditions and to ensure that the portfolio remains aligned with the client's objectives. This involves:</w:t>
      </w:r>
    </w:p>
    <w:p w14:paraId="41998EC7" w14:textId="77777777" w:rsidR="0039474F" w:rsidRPr="0039474F" w:rsidRDefault="0039474F" w:rsidP="0039474F">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b/>
          <w:bCs/>
          <w:kern w:val="0"/>
          <w:sz w:val="24"/>
          <w:szCs w:val="24"/>
          <w:lang w:eastAsia="en-IN"/>
          <w14:ligatures w14:val="none"/>
        </w:rPr>
        <w:t>Benchmarking:</w:t>
      </w:r>
      <w:r w:rsidRPr="0039474F">
        <w:rPr>
          <w:rFonts w:eastAsia="Times New Roman" w:cs="Times New Roman"/>
          <w:kern w:val="0"/>
          <w:sz w:val="24"/>
          <w:szCs w:val="24"/>
          <w:lang w:eastAsia="en-IN"/>
          <w14:ligatures w14:val="none"/>
        </w:rPr>
        <w:t xml:space="preserve"> Comparing portfolio performance against standard indices to measure relative success.</w:t>
      </w:r>
    </w:p>
    <w:p w14:paraId="3B074162" w14:textId="77777777" w:rsidR="0039474F" w:rsidRPr="0039474F" w:rsidRDefault="0039474F" w:rsidP="0039474F">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b/>
          <w:bCs/>
          <w:kern w:val="0"/>
          <w:sz w:val="24"/>
          <w:szCs w:val="24"/>
          <w:lang w:eastAsia="en-IN"/>
          <w14:ligatures w14:val="none"/>
        </w:rPr>
        <w:t>Rebalancing:</w:t>
      </w:r>
      <w:r w:rsidRPr="0039474F">
        <w:rPr>
          <w:rFonts w:eastAsia="Times New Roman" w:cs="Times New Roman"/>
          <w:kern w:val="0"/>
          <w:sz w:val="24"/>
          <w:szCs w:val="24"/>
          <w:lang w:eastAsia="en-IN"/>
          <w14:ligatures w14:val="none"/>
        </w:rPr>
        <w:t xml:space="preserve"> Adjusting the portfolio periodically to maintain the desired asset allocation.</w:t>
      </w:r>
    </w:p>
    <w:p w14:paraId="20642552" w14:textId="77777777" w:rsidR="0039474F" w:rsidRPr="0039474F" w:rsidRDefault="0039474F" w:rsidP="0039474F">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b/>
          <w:bCs/>
          <w:kern w:val="0"/>
          <w:sz w:val="24"/>
          <w:szCs w:val="24"/>
          <w:lang w:eastAsia="en-IN"/>
          <w14:ligatures w14:val="none"/>
        </w:rPr>
        <w:t>Reporting:</w:t>
      </w:r>
      <w:r w:rsidRPr="0039474F">
        <w:rPr>
          <w:rFonts w:eastAsia="Times New Roman" w:cs="Times New Roman"/>
          <w:kern w:val="0"/>
          <w:sz w:val="24"/>
          <w:szCs w:val="24"/>
          <w:lang w:eastAsia="en-IN"/>
          <w14:ligatures w14:val="none"/>
        </w:rPr>
        <w:t xml:space="preserve"> Providing clients with detailed performance reports and insights to keep them informed.</w:t>
      </w:r>
    </w:p>
    <w:p w14:paraId="3CF870AA" w14:textId="77777777" w:rsidR="0039474F" w:rsidRPr="0039474F" w:rsidRDefault="0039474F" w:rsidP="00153510">
      <w:pPr>
        <w:pStyle w:val="Heading2"/>
        <w:rPr>
          <w:rFonts w:eastAsia="Times New Roman"/>
          <w:lang w:eastAsia="en-IN"/>
        </w:rPr>
      </w:pPr>
      <w:r w:rsidRPr="0039474F">
        <w:rPr>
          <w:rFonts w:eastAsia="Times New Roman"/>
          <w:lang w:eastAsia="en-IN"/>
        </w:rPr>
        <w:t>Trading and Execution</w:t>
      </w:r>
    </w:p>
    <w:p w14:paraId="2206F43D"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 xml:space="preserve">Trade execution is the process of buying and selling securities on behalf of clients. Achieving best execution means ensuring that trades are executed at the most </w:t>
      </w:r>
      <w:proofErr w:type="spellStart"/>
      <w:r w:rsidRPr="0039474F">
        <w:rPr>
          <w:rFonts w:eastAsia="Times New Roman" w:cs="Times New Roman"/>
          <w:kern w:val="0"/>
          <w:sz w:val="24"/>
          <w:szCs w:val="24"/>
          <w:lang w:eastAsia="en-IN"/>
          <w14:ligatures w14:val="none"/>
        </w:rPr>
        <w:t>favorable</w:t>
      </w:r>
      <w:proofErr w:type="spellEnd"/>
      <w:r w:rsidRPr="0039474F">
        <w:rPr>
          <w:rFonts w:eastAsia="Times New Roman" w:cs="Times New Roman"/>
          <w:kern w:val="0"/>
          <w:sz w:val="24"/>
          <w:szCs w:val="24"/>
          <w:lang w:eastAsia="en-IN"/>
          <w14:ligatures w14:val="none"/>
        </w:rPr>
        <w:t xml:space="preserve"> terms available, considering price, speed, and market conditions.</w:t>
      </w:r>
    </w:p>
    <w:p w14:paraId="7FD490C3"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The settlement process involves the final transfer of securities and funds between the buyer and seller, completing the trade. This step is crucial for maintaining the integrity and reliability of the trading system.</w:t>
      </w:r>
    </w:p>
    <w:p w14:paraId="18C2896B"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Reconciliation is the process of ensuring that all records of transactions are accurate and consistent across different systems. This involves comparing internal records with those of custodians, brokers, and other entities to identify and resolve discrepancies.</w:t>
      </w:r>
    </w:p>
    <w:p w14:paraId="7A1E9C05" w14:textId="77777777" w:rsidR="0039474F" w:rsidRPr="0039474F" w:rsidRDefault="0039474F" w:rsidP="00153510">
      <w:pPr>
        <w:pStyle w:val="Heading2"/>
        <w:rPr>
          <w:rFonts w:eastAsia="Times New Roman"/>
          <w:lang w:eastAsia="en-IN"/>
        </w:rPr>
      </w:pPr>
      <w:r w:rsidRPr="0039474F">
        <w:rPr>
          <w:rFonts w:eastAsia="Times New Roman"/>
          <w:lang w:eastAsia="en-IN"/>
        </w:rPr>
        <w:t>Risk Management</w:t>
      </w:r>
    </w:p>
    <w:p w14:paraId="035456F8"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Risk assessment in wealth management involves identifying and evaluating potential risks that could impact the client's portfolio. This includes market risk, credit risk, liquidity risk, and more. Understanding these risks allows for better decision-making and risk mitigation strategies.</w:t>
      </w:r>
    </w:p>
    <w:p w14:paraId="559911FA"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lastRenderedPageBreak/>
        <w:t>Hedging strategies are techniques used to reduce potential losses in a portfolio. This can involve using derivatives, such as options and futures, to offset risk exposures. Effective hedging helps protect the portfolio from adverse market movements.</w:t>
      </w:r>
    </w:p>
    <w:p w14:paraId="6C539244"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Compliance monitoring ensures that all activities within the wealth management firm adhere to regulatory requirements and internal policies. Regular audits and reviews are conducted to identify any areas of non-compliance and to implement corrective actions.</w:t>
      </w:r>
    </w:p>
    <w:p w14:paraId="5D1F2181" w14:textId="77777777" w:rsidR="0039474F" w:rsidRPr="0039474F" w:rsidRDefault="0039474F" w:rsidP="00153510">
      <w:pPr>
        <w:pStyle w:val="Heading2"/>
        <w:rPr>
          <w:rFonts w:eastAsia="Times New Roman"/>
          <w:lang w:eastAsia="en-IN"/>
        </w:rPr>
      </w:pPr>
      <w:r w:rsidRPr="0039474F">
        <w:rPr>
          <w:rFonts w:eastAsia="Times New Roman"/>
          <w:lang w:eastAsia="en-IN"/>
        </w:rPr>
        <w:t>Client Reporting and Communication</w:t>
      </w:r>
    </w:p>
    <w:p w14:paraId="0E5533CC"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Regular client reporting provides detailed insights into portfolio performance, holdings, and transactions. These reports help clients understand how their investments are performing and make informed decisions.</w:t>
      </w:r>
    </w:p>
    <w:p w14:paraId="75B0DC18"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Advisory meetings are scheduled consultations where advisors review portfolio performance with clients, discuss any changes in their financial situation, and adjust strategies accordingly. These meetings are crucial for maintaining a strong client-advisor relationship.</w:t>
      </w:r>
    </w:p>
    <w:p w14:paraId="1CF86D65"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Market updates are essential for keeping clients informed about economic trends, market conditions, and other factors that could impact their investments. These updates help clients stay engaged and confident in their investment strategy.</w:t>
      </w:r>
    </w:p>
    <w:p w14:paraId="01898C18" w14:textId="77777777" w:rsidR="0039474F" w:rsidRPr="0039474F" w:rsidRDefault="0039474F" w:rsidP="00153510">
      <w:pPr>
        <w:pStyle w:val="Heading2"/>
        <w:rPr>
          <w:rFonts w:eastAsia="Times New Roman"/>
          <w:lang w:eastAsia="en-IN"/>
        </w:rPr>
      </w:pPr>
      <w:r w:rsidRPr="0039474F">
        <w:rPr>
          <w:rFonts w:eastAsia="Times New Roman"/>
          <w:lang w:eastAsia="en-IN"/>
        </w:rPr>
        <w:t>Administrative Functions</w:t>
      </w:r>
    </w:p>
    <w:p w14:paraId="14D02460"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Fee management involves calculating and processing various fees associated with wealth management services, including management fees, performance fees, and other charges. Accurate fee management ensures transparency and client trust.</w:t>
      </w:r>
    </w:p>
    <w:p w14:paraId="10103E70"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Record keeping is the maintenance of detailed records of all client interactions, transactions, and communications. This is essential for compliance, auditing, and providing a high level of client service.</w:t>
      </w:r>
    </w:p>
    <w:p w14:paraId="5A37F935"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Tax reporting involves preparing necessary documentation for tax purposes, such as capital gains reports and tax efficiency strategies. Accurate tax reporting helps clients minimize tax liabilities and stay compliant with tax regulations.</w:t>
      </w:r>
    </w:p>
    <w:p w14:paraId="30605663" w14:textId="77777777" w:rsidR="0039474F" w:rsidRPr="0039474F" w:rsidRDefault="0039474F" w:rsidP="00153510">
      <w:pPr>
        <w:pStyle w:val="Heading2"/>
        <w:rPr>
          <w:rFonts w:eastAsia="Times New Roman"/>
          <w:lang w:eastAsia="en-IN"/>
        </w:rPr>
      </w:pPr>
      <w:r w:rsidRPr="0039474F">
        <w:rPr>
          <w:rFonts w:eastAsia="Times New Roman"/>
          <w:lang w:eastAsia="en-IN"/>
        </w:rPr>
        <w:t>Technology and Systems</w:t>
      </w:r>
    </w:p>
    <w:p w14:paraId="7ADED3F3"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Portfolio management systems (PMS) are software tools used to manage client portfolios, track performance, and execute trades. These systems enhance efficiency and accuracy in wealth management operations.</w:t>
      </w:r>
    </w:p>
    <w:p w14:paraId="51761620"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lastRenderedPageBreak/>
        <w:t>Customer Relationship Management (CRM) tools are used to manage client information, interactions, and service requests. CRM systems help advisors provide personalized service and maintain strong client relationships.</w:t>
      </w:r>
    </w:p>
    <w:p w14:paraId="3A3BA56A"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Data security is crucial in wealth management to protect sensitive client information. Robust cybersecurity measures ensure the confidentiality, integrity, and availability of data, safeguarding against potential breaches.</w:t>
      </w:r>
    </w:p>
    <w:p w14:paraId="1D459A8B" w14:textId="77777777" w:rsidR="0039474F" w:rsidRPr="0039474F" w:rsidRDefault="0039474F" w:rsidP="00153510">
      <w:pPr>
        <w:pStyle w:val="Heading2"/>
        <w:rPr>
          <w:rFonts w:eastAsia="Times New Roman"/>
          <w:lang w:eastAsia="en-IN"/>
        </w:rPr>
      </w:pPr>
      <w:r w:rsidRPr="0039474F">
        <w:rPr>
          <w:rFonts w:eastAsia="Times New Roman"/>
          <w:lang w:eastAsia="en-IN"/>
        </w:rPr>
        <w:t>Regulatory Compliance</w:t>
      </w:r>
    </w:p>
    <w:p w14:paraId="12468178"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Adhering to local and international regulations is essential in wealth management to maintain trust and avoid legal penalties. This includes compliance with laws such as the SEC regulations in the U.S. and MiFID II in Europe.</w:t>
      </w:r>
    </w:p>
    <w:p w14:paraId="35E18A32"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Regular audits and reviews help ensure that the firm remains compliant with regulatory standards. These audits identify any areas of non-compliance and provide recommendations for improvement.</w:t>
      </w:r>
    </w:p>
    <w:p w14:paraId="287F8372"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Non-compliance in wealth management can lead to severe consequences, including legal penalties, reputational damage, and loss of client trust. Therefore, maintaining strict compliance is crucial for the firm's success and credibility.</w:t>
      </w:r>
    </w:p>
    <w:p w14:paraId="3EE279BE" w14:textId="77777777" w:rsidR="0039474F" w:rsidRPr="0039474F" w:rsidRDefault="0039474F" w:rsidP="00153510">
      <w:pPr>
        <w:pStyle w:val="Heading2"/>
        <w:rPr>
          <w:rFonts w:eastAsia="Times New Roman"/>
          <w:lang w:eastAsia="en-IN"/>
        </w:rPr>
      </w:pPr>
      <w:r w:rsidRPr="0039474F">
        <w:rPr>
          <w:rFonts w:eastAsia="Times New Roman"/>
          <w:lang w:eastAsia="en-IN"/>
        </w:rPr>
        <w:t>Product Development and Innovation</w:t>
      </w:r>
    </w:p>
    <w:p w14:paraId="116532E3"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In the competitive landscape of wealth management, product development and innovation play a crucial role in meeting the evolving needs of clients. This involves:</w:t>
      </w:r>
    </w:p>
    <w:p w14:paraId="725DDF2A" w14:textId="77777777" w:rsidR="0039474F" w:rsidRPr="0039474F" w:rsidRDefault="0039474F" w:rsidP="0039474F">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b/>
          <w:bCs/>
          <w:kern w:val="0"/>
          <w:sz w:val="24"/>
          <w:szCs w:val="24"/>
          <w:lang w:eastAsia="en-IN"/>
          <w14:ligatures w14:val="none"/>
        </w:rPr>
        <w:t>New Financial Products:</w:t>
      </w:r>
      <w:r w:rsidRPr="0039474F">
        <w:rPr>
          <w:rFonts w:eastAsia="Times New Roman" w:cs="Times New Roman"/>
          <w:kern w:val="0"/>
          <w:sz w:val="24"/>
          <w:szCs w:val="24"/>
          <w:lang w:eastAsia="en-IN"/>
          <w14:ligatures w14:val="none"/>
        </w:rPr>
        <w:t xml:space="preserve"> Creating new investment vehicles, structured products, and customized financial solutions.</w:t>
      </w:r>
    </w:p>
    <w:p w14:paraId="16475103" w14:textId="77777777" w:rsidR="0039474F" w:rsidRPr="0039474F" w:rsidRDefault="0039474F" w:rsidP="0039474F">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b/>
          <w:bCs/>
          <w:kern w:val="0"/>
          <w:sz w:val="24"/>
          <w:szCs w:val="24"/>
          <w:lang w:eastAsia="en-IN"/>
          <w14:ligatures w14:val="none"/>
        </w:rPr>
        <w:t>Technological Advancements:</w:t>
      </w:r>
      <w:r w:rsidRPr="0039474F">
        <w:rPr>
          <w:rFonts w:eastAsia="Times New Roman" w:cs="Times New Roman"/>
          <w:kern w:val="0"/>
          <w:sz w:val="24"/>
          <w:szCs w:val="24"/>
          <w:lang w:eastAsia="en-IN"/>
          <w14:ligatures w14:val="none"/>
        </w:rPr>
        <w:t xml:space="preserve"> Leveraging technology such as </w:t>
      </w:r>
      <w:proofErr w:type="spellStart"/>
      <w:r w:rsidRPr="0039474F">
        <w:rPr>
          <w:rFonts w:eastAsia="Times New Roman" w:cs="Times New Roman"/>
          <w:kern w:val="0"/>
          <w:sz w:val="24"/>
          <w:szCs w:val="24"/>
          <w:lang w:eastAsia="en-IN"/>
          <w14:ligatures w14:val="none"/>
        </w:rPr>
        <w:t>robo</w:t>
      </w:r>
      <w:proofErr w:type="spellEnd"/>
      <w:r w:rsidRPr="0039474F">
        <w:rPr>
          <w:rFonts w:eastAsia="Times New Roman" w:cs="Times New Roman"/>
          <w:kern w:val="0"/>
          <w:sz w:val="24"/>
          <w:szCs w:val="24"/>
          <w:lang w:eastAsia="en-IN"/>
          <w14:ligatures w14:val="none"/>
        </w:rPr>
        <w:t>-advisors, AI, and machine learning to enhance client services.</w:t>
      </w:r>
    </w:p>
    <w:p w14:paraId="48FB9237" w14:textId="77777777" w:rsidR="0039474F" w:rsidRPr="0039474F" w:rsidRDefault="0039474F" w:rsidP="0039474F">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b/>
          <w:bCs/>
          <w:kern w:val="0"/>
          <w:sz w:val="24"/>
          <w:szCs w:val="24"/>
          <w:lang w:eastAsia="en-IN"/>
          <w14:ligatures w14:val="none"/>
        </w:rPr>
        <w:t>Sustainable Investing:</w:t>
      </w:r>
      <w:r w:rsidRPr="0039474F">
        <w:rPr>
          <w:rFonts w:eastAsia="Times New Roman" w:cs="Times New Roman"/>
          <w:kern w:val="0"/>
          <w:sz w:val="24"/>
          <w:szCs w:val="24"/>
          <w:lang w:eastAsia="en-IN"/>
          <w14:ligatures w14:val="none"/>
        </w:rPr>
        <w:t xml:space="preserve"> Developing products focused on environmental, social, and governance (ESG) criteria to cater to the growing demand for responsible investing.</w:t>
      </w:r>
    </w:p>
    <w:p w14:paraId="762535AC" w14:textId="77777777" w:rsidR="0039474F" w:rsidRPr="0039474F" w:rsidRDefault="0039474F" w:rsidP="00153510">
      <w:pPr>
        <w:pStyle w:val="Heading2"/>
        <w:rPr>
          <w:rFonts w:eastAsia="Times New Roman"/>
          <w:lang w:eastAsia="en-IN"/>
        </w:rPr>
      </w:pPr>
      <w:r w:rsidRPr="0039474F">
        <w:rPr>
          <w:rFonts w:eastAsia="Times New Roman"/>
          <w:lang w:eastAsia="en-IN"/>
        </w:rPr>
        <w:t>Client Education and Support</w:t>
      </w:r>
    </w:p>
    <w:p w14:paraId="0C8904B1"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Educating clients about financial concepts, market trends, and investment strategies is vital for empowering them to make informed decisions. This includes:</w:t>
      </w:r>
    </w:p>
    <w:p w14:paraId="7F85C1DB" w14:textId="77777777" w:rsidR="0039474F" w:rsidRPr="0039474F" w:rsidRDefault="0039474F" w:rsidP="0039474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b/>
          <w:bCs/>
          <w:kern w:val="0"/>
          <w:sz w:val="24"/>
          <w:szCs w:val="24"/>
          <w:lang w:eastAsia="en-IN"/>
          <w14:ligatures w14:val="none"/>
        </w:rPr>
        <w:t>Financial Planning Workshops:</w:t>
      </w:r>
      <w:r w:rsidRPr="0039474F">
        <w:rPr>
          <w:rFonts w:eastAsia="Times New Roman" w:cs="Times New Roman"/>
          <w:kern w:val="0"/>
          <w:sz w:val="24"/>
          <w:szCs w:val="24"/>
          <w:lang w:eastAsia="en-IN"/>
          <w14:ligatures w14:val="none"/>
        </w:rPr>
        <w:t xml:space="preserve"> Offering workshops on retirement planning, estate planning, tax strategies, and more.</w:t>
      </w:r>
    </w:p>
    <w:p w14:paraId="496ADA4E" w14:textId="77777777" w:rsidR="0039474F" w:rsidRPr="0039474F" w:rsidRDefault="0039474F" w:rsidP="0039474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b/>
          <w:bCs/>
          <w:kern w:val="0"/>
          <w:sz w:val="24"/>
          <w:szCs w:val="24"/>
          <w:lang w:eastAsia="en-IN"/>
          <w14:ligatures w14:val="none"/>
        </w:rPr>
        <w:t>Educational Resources:</w:t>
      </w:r>
      <w:r w:rsidRPr="0039474F">
        <w:rPr>
          <w:rFonts w:eastAsia="Times New Roman" w:cs="Times New Roman"/>
          <w:kern w:val="0"/>
          <w:sz w:val="24"/>
          <w:szCs w:val="24"/>
          <w:lang w:eastAsia="en-IN"/>
          <w14:ligatures w14:val="none"/>
        </w:rPr>
        <w:t xml:space="preserve"> Providing access to articles, webinars, and tools that enhance financial literacy.</w:t>
      </w:r>
    </w:p>
    <w:p w14:paraId="2345C3F8" w14:textId="77777777" w:rsidR="0039474F" w:rsidRPr="0039474F" w:rsidRDefault="0039474F" w:rsidP="0039474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b/>
          <w:bCs/>
          <w:kern w:val="0"/>
          <w:sz w:val="24"/>
          <w:szCs w:val="24"/>
          <w:lang w:eastAsia="en-IN"/>
          <w14:ligatures w14:val="none"/>
        </w:rPr>
        <w:t>Dedicated Support:</w:t>
      </w:r>
      <w:r w:rsidRPr="0039474F">
        <w:rPr>
          <w:rFonts w:eastAsia="Times New Roman" w:cs="Times New Roman"/>
          <w:kern w:val="0"/>
          <w:sz w:val="24"/>
          <w:szCs w:val="24"/>
          <w:lang w:eastAsia="en-IN"/>
          <w14:ligatures w14:val="none"/>
        </w:rPr>
        <w:t xml:space="preserve"> Ensuring clients have access to knowledgeable advisors and support staff for their queries and needs.</w:t>
      </w:r>
    </w:p>
    <w:p w14:paraId="76CD3EE9" w14:textId="69DBCBAB" w:rsidR="00B81106" w:rsidRPr="00153510" w:rsidRDefault="0039474F" w:rsidP="00153510">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r w:rsidR="00B81106" w:rsidRPr="00B81106">
        <w:rPr>
          <w:b/>
          <w:bCs/>
          <w:sz w:val="24"/>
          <w:szCs w:val="24"/>
        </w:rPr>
        <w:lastRenderedPageBreak/>
        <w:t>D</w:t>
      </w:r>
      <w:r w:rsidR="00B81106" w:rsidRPr="00B81106">
        <w:rPr>
          <w:b/>
          <w:bCs/>
          <w:sz w:val="24"/>
          <w:szCs w:val="24"/>
        </w:rPr>
        <w:t>ata tables that can complement the wealth management operations. These tables will include hypothetical data on various aspects of wealth management, such as client demographics, portfolio performance, risk assessment, and compliance.</w:t>
      </w:r>
    </w:p>
    <w:p w14:paraId="050D83C5" w14:textId="77777777" w:rsidR="00B81106" w:rsidRPr="00B81106" w:rsidRDefault="00B81106" w:rsidP="00B81106">
      <w:pPr>
        <w:pStyle w:val="Heading2"/>
        <w:rPr>
          <w:rFonts w:eastAsia="Times New Roman"/>
          <w:lang w:eastAsia="en-IN"/>
        </w:rPr>
      </w:pPr>
      <w:r w:rsidRPr="00B81106">
        <w:rPr>
          <w:rFonts w:eastAsia="Times New Roman"/>
          <w:lang w:eastAsia="en-IN"/>
        </w:rPr>
        <w:t>Client Demographics</w:t>
      </w:r>
    </w:p>
    <w:tbl>
      <w:tblPr>
        <w:tblStyle w:val="TableGrid"/>
        <w:tblW w:w="8125" w:type="dxa"/>
        <w:tblLook w:val="04A0" w:firstRow="1" w:lastRow="0" w:firstColumn="1" w:lastColumn="0" w:noHBand="0" w:noVBand="1"/>
      </w:tblPr>
      <w:tblGrid>
        <w:gridCol w:w="1051"/>
        <w:gridCol w:w="1051"/>
        <w:gridCol w:w="1796"/>
        <w:gridCol w:w="2037"/>
        <w:gridCol w:w="2190"/>
      </w:tblGrid>
      <w:tr w:rsidR="00B81106" w:rsidRPr="00B81106" w14:paraId="6978500F" w14:textId="77777777" w:rsidTr="00B81106">
        <w:trPr>
          <w:trHeight w:val="676"/>
        </w:trPr>
        <w:tc>
          <w:tcPr>
            <w:tcW w:w="1051" w:type="dxa"/>
            <w:hideMark/>
          </w:tcPr>
          <w:p w14:paraId="0B56285F" w14:textId="77777777" w:rsidR="00B81106" w:rsidRPr="00B81106" w:rsidRDefault="00B81106" w:rsidP="00B81106">
            <w:pPr>
              <w:jc w:val="center"/>
              <w:rPr>
                <w:rFonts w:ascii="Aptos Narrow" w:eastAsia="Times New Roman" w:hAnsi="Aptos Narrow" w:cs="Times New Roman"/>
                <w:b/>
                <w:bCs/>
                <w:color w:val="000000"/>
                <w:kern w:val="0"/>
                <w:lang w:eastAsia="en-IN"/>
                <w14:ligatures w14:val="none"/>
              </w:rPr>
            </w:pPr>
            <w:r w:rsidRPr="00B81106">
              <w:rPr>
                <w:rFonts w:ascii="Aptos Narrow" w:eastAsia="Times New Roman" w:hAnsi="Aptos Narrow" w:cs="Times New Roman"/>
                <w:b/>
                <w:bCs/>
                <w:color w:val="000000"/>
                <w:kern w:val="0"/>
                <w:lang w:eastAsia="en-IN"/>
                <w14:ligatures w14:val="none"/>
              </w:rPr>
              <w:t>Client ID</w:t>
            </w:r>
          </w:p>
        </w:tc>
        <w:tc>
          <w:tcPr>
            <w:tcW w:w="1051" w:type="dxa"/>
            <w:hideMark/>
          </w:tcPr>
          <w:p w14:paraId="03577418" w14:textId="77777777" w:rsidR="00B81106" w:rsidRPr="00B81106" w:rsidRDefault="00B81106" w:rsidP="00B81106">
            <w:pPr>
              <w:jc w:val="center"/>
              <w:rPr>
                <w:rFonts w:ascii="Aptos Narrow" w:eastAsia="Times New Roman" w:hAnsi="Aptos Narrow" w:cs="Times New Roman"/>
                <w:b/>
                <w:bCs/>
                <w:color w:val="000000"/>
                <w:kern w:val="0"/>
                <w:lang w:eastAsia="en-IN"/>
                <w14:ligatures w14:val="none"/>
              </w:rPr>
            </w:pPr>
            <w:r w:rsidRPr="00B81106">
              <w:rPr>
                <w:rFonts w:ascii="Aptos Narrow" w:eastAsia="Times New Roman" w:hAnsi="Aptos Narrow" w:cs="Times New Roman"/>
                <w:b/>
                <w:bCs/>
                <w:color w:val="000000"/>
                <w:kern w:val="0"/>
                <w:lang w:eastAsia="en-IN"/>
                <w14:ligatures w14:val="none"/>
              </w:rPr>
              <w:t>Age</w:t>
            </w:r>
          </w:p>
        </w:tc>
        <w:tc>
          <w:tcPr>
            <w:tcW w:w="1796" w:type="dxa"/>
            <w:hideMark/>
          </w:tcPr>
          <w:p w14:paraId="4D0D7D4E" w14:textId="77777777" w:rsidR="00B81106" w:rsidRPr="00B81106" w:rsidRDefault="00B81106" w:rsidP="00B81106">
            <w:pPr>
              <w:jc w:val="center"/>
              <w:rPr>
                <w:rFonts w:ascii="Aptos Narrow" w:eastAsia="Times New Roman" w:hAnsi="Aptos Narrow" w:cs="Times New Roman"/>
                <w:b/>
                <w:bCs/>
                <w:color w:val="000000"/>
                <w:kern w:val="0"/>
                <w:lang w:eastAsia="en-IN"/>
                <w14:ligatures w14:val="none"/>
              </w:rPr>
            </w:pPr>
            <w:r w:rsidRPr="00B81106">
              <w:rPr>
                <w:rFonts w:ascii="Aptos Narrow" w:eastAsia="Times New Roman" w:hAnsi="Aptos Narrow" w:cs="Times New Roman"/>
                <w:b/>
                <w:bCs/>
                <w:color w:val="000000"/>
                <w:kern w:val="0"/>
                <w:lang w:eastAsia="en-IN"/>
                <w14:ligatures w14:val="none"/>
              </w:rPr>
              <w:t>Net Worth (in millions)</w:t>
            </w:r>
          </w:p>
        </w:tc>
        <w:tc>
          <w:tcPr>
            <w:tcW w:w="2037" w:type="dxa"/>
            <w:hideMark/>
          </w:tcPr>
          <w:p w14:paraId="198D0935" w14:textId="77777777" w:rsidR="00B81106" w:rsidRPr="00B81106" w:rsidRDefault="00B81106" w:rsidP="00B81106">
            <w:pPr>
              <w:jc w:val="center"/>
              <w:rPr>
                <w:rFonts w:ascii="Aptos Narrow" w:eastAsia="Times New Roman" w:hAnsi="Aptos Narrow" w:cs="Times New Roman"/>
                <w:b/>
                <w:bCs/>
                <w:color w:val="000000"/>
                <w:kern w:val="0"/>
                <w:lang w:eastAsia="en-IN"/>
                <w14:ligatures w14:val="none"/>
              </w:rPr>
            </w:pPr>
            <w:r w:rsidRPr="00B81106">
              <w:rPr>
                <w:rFonts w:ascii="Aptos Narrow" w:eastAsia="Times New Roman" w:hAnsi="Aptos Narrow" w:cs="Times New Roman"/>
                <w:b/>
                <w:bCs/>
                <w:color w:val="000000"/>
                <w:kern w:val="0"/>
                <w:lang w:eastAsia="en-IN"/>
                <w14:ligatures w14:val="none"/>
              </w:rPr>
              <w:t>Risk Tolerance</w:t>
            </w:r>
          </w:p>
        </w:tc>
        <w:tc>
          <w:tcPr>
            <w:tcW w:w="2190" w:type="dxa"/>
            <w:hideMark/>
          </w:tcPr>
          <w:p w14:paraId="52A6F0FF" w14:textId="77777777" w:rsidR="00B81106" w:rsidRPr="00B81106" w:rsidRDefault="00B81106" w:rsidP="00B81106">
            <w:pPr>
              <w:jc w:val="center"/>
              <w:rPr>
                <w:rFonts w:ascii="Aptos Narrow" w:eastAsia="Times New Roman" w:hAnsi="Aptos Narrow" w:cs="Times New Roman"/>
                <w:b/>
                <w:bCs/>
                <w:color w:val="000000"/>
                <w:kern w:val="0"/>
                <w:lang w:eastAsia="en-IN"/>
                <w14:ligatures w14:val="none"/>
              </w:rPr>
            </w:pPr>
            <w:r w:rsidRPr="00B81106">
              <w:rPr>
                <w:rFonts w:ascii="Aptos Narrow" w:eastAsia="Times New Roman" w:hAnsi="Aptos Narrow" w:cs="Times New Roman"/>
                <w:b/>
                <w:bCs/>
                <w:color w:val="000000"/>
                <w:kern w:val="0"/>
                <w:lang w:eastAsia="en-IN"/>
                <w14:ligatures w14:val="none"/>
              </w:rPr>
              <w:t>Investment Goal</w:t>
            </w:r>
          </w:p>
        </w:tc>
      </w:tr>
      <w:tr w:rsidR="00B81106" w:rsidRPr="00B81106" w14:paraId="68A50C95" w14:textId="77777777" w:rsidTr="00B81106">
        <w:trPr>
          <w:trHeight w:val="451"/>
        </w:trPr>
        <w:tc>
          <w:tcPr>
            <w:tcW w:w="1051" w:type="dxa"/>
            <w:hideMark/>
          </w:tcPr>
          <w:p w14:paraId="47A43F18"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1001</w:t>
            </w:r>
          </w:p>
        </w:tc>
        <w:tc>
          <w:tcPr>
            <w:tcW w:w="1051" w:type="dxa"/>
            <w:hideMark/>
          </w:tcPr>
          <w:p w14:paraId="031547ED"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45</w:t>
            </w:r>
          </w:p>
        </w:tc>
        <w:tc>
          <w:tcPr>
            <w:tcW w:w="1796" w:type="dxa"/>
            <w:hideMark/>
          </w:tcPr>
          <w:p w14:paraId="6274F828"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5</w:t>
            </w:r>
          </w:p>
        </w:tc>
        <w:tc>
          <w:tcPr>
            <w:tcW w:w="2037" w:type="dxa"/>
            <w:hideMark/>
          </w:tcPr>
          <w:p w14:paraId="3C61050E" w14:textId="77777777" w:rsidR="00B81106" w:rsidRPr="00B81106" w:rsidRDefault="00B81106" w:rsidP="00B81106">
            <w:pPr>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Moderate</w:t>
            </w:r>
          </w:p>
        </w:tc>
        <w:tc>
          <w:tcPr>
            <w:tcW w:w="2190" w:type="dxa"/>
            <w:hideMark/>
          </w:tcPr>
          <w:p w14:paraId="710BB17D" w14:textId="77777777" w:rsidR="00B81106" w:rsidRPr="00B81106" w:rsidRDefault="00B81106" w:rsidP="00B81106">
            <w:pPr>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Retirement</w:t>
            </w:r>
          </w:p>
        </w:tc>
      </w:tr>
      <w:tr w:rsidR="00B81106" w:rsidRPr="00B81106" w14:paraId="0BCD37D8" w14:textId="77777777" w:rsidTr="00B81106">
        <w:trPr>
          <w:trHeight w:val="676"/>
        </w:trPr>
        <w:tc>
          <w:tcPr>
            <w:tcW w:w="1051" w:type="dxa"/>
            <w:hideMark/>
          </w:tcPr>
          <w:p w14:paraId="1EE099DB"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1002</w:t>
            </w:r>
          </w:p>
        </w:tc>
        <w:tc>
          <w:tcPr>
            <w:tcW w:w="1051" w:type="dxa"/>
            <w:hideMark/>
          </w:tcPr>
          <w:p w14:paraId="297B255A"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60</w:t>
            </w:r>
          </w:p>
        </w:tc>
        <w:tc>
          <w:tcPr>
            <w:tcW w:w="1796" w:type="dxa"/>
            <w:hideMark/>
          </w:tcPr>
          <w:p w14:paraId="7454A969"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w:t>
            </w:r>
          </w:p>
        </w:tc>
        <w:tc>
          <w:tcPr>
            <w:tcW w:w="2037" w:type="dxa"/>
            <w:hideMark/>
          </w:tcPr>
          <w:p w14:paraId="6EF4186E" w14:textId="77777777" w:rsidR="00B81106" w:rsidRPr="00B81106" w:rsidRDefault="00B81106" w:rsidP="00B81106">
            <w:pPr>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Conservative</w:t>
            </w:r>
          </w:p>
        </w:tc>
        <w:tc>
          <w:tcPr>
            <w:tcW w:w="2190" w:type="dxa"/>
            <w:hideMark/>
          </w:tcPr>
          <w:p w14:paraId="255A1465" w14:textId="77777777" w:rsidR="00B81106" w:rsidRPr="00B81106" w:rsidRDefault="00B81106" w:rsidP="00B81106">
            <w:pPr>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Wealth Preservation</w:t>
            </w:r>
          </w:p>
        </w:tc>
      </w:tr>
      <w:tr w:rsidR="00B81106" w:rsidRPr="00B81106" w14:paraId="3890A38E" w14:textId="77777777" w:rsidTr="00B81106">
        <w:trPr>
          <w:trHeight w:val="451"/>
        </w:trPr>
        <w:tc>
          <w:tcPr>
            <w:tcW w:w="1051" w:type="dxa"/>
            <w:hideMark/>
          </w:tcPr>
          <w:p w14:paraId="5AE40214"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1003</w:t>
            </w:r>
          </w:p>
        </w:tc>
        <w:tc>
          <w:tcPr>
            <w:tcW w:w="1051" w:type="dxa"/>
            <w:hideMark/>
          </w:tcPr>
          <w:p w14:paraId="7830A456"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35</w:t>
            </w:r>
          </w:p>
        </w:tc>
        <w:tc>
          <w:tcPr>
            <w:tcW w:w="1796" w:type="dxa"/>
            <w:hideMark/>
          </w:tcPr>
          <w:p w14:paraId="7D1D66BB"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2.5</w:t>
            </w:r>
          </w:p>
        </w:tc>
        <w:tc>
          <w:tcPr>
            <w:tcW w:w="2037" w:type="dxa"/>
            <w:hideMark/>
          </w:tcPr>
          <w:p w14:paraId="6BFB1EEC" w14:textId="77777777" w:rsidR="00B81106" w:rsidRPr="00B81106" w:rsidRDefault="00B81106" w:rsidP="00B81106">
            <w:pPr>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Aggressive</w:t>
            </w:r>
          </w:p>
        </w:tc>
        <w:tc>
          <w:tcPr>
            <w:tcW w:w="2190" w:type="dxa"/>
            <w:hideMark/>
          </w:tcPr>
          <w:p w14:paraId="1BDE41D7" w14:textId="77777777" w:rsidR="00B81106" w:rsidRPr="00B81106" w:rsidRDefault="00B81106" w:rsidP="00B81106">
            <w:pPr>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Growth</w:t>
            </w:r>
          </w:p>
        </w:tc>
      </w:tr>
      <w:tr w:rsidR="00B81106" w:rsidRPr="00B81106" w14:paraId="6780A666" w14:textId="77777777" w:rsidTr="00B81106">
        <w:trPr>
          <w:trHeight w:val="451"/>
        </w:trPr>
        <w:tc>
          <w:tcPr>
            <w:tcW w:w="1051" w:type="dxa"/>
            <w:hideMark/>
          </w:tcPr>
          <w:p w14:paraId="1FDF5F3F"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1004</w:t>
            </w:r>
          </w:p>
        </w:tc>
        <w:tc>
          <w:tcPr>
            <w:tcW w:w="1051" w:type="dxa"/>
            <w:hideMark/>
          </w:tcPr>
          <w:p w14:paraId="5755B380"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50</w:t>
            </w:r>
          </w:p>
        </w:tc>
        <w:tc>
          <w:tcPr>
            <w:tcW w:w="1796" w:type="dxa"/>
            <w:hideMark/>
          </w:tcPr>
          <w:p w14:paraId="0DD41782"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7</w:t>
            </w:r>
          </w:p>
        </w:tc>
        <w:tc>
          <w:tcPr>
            <w:tcW w:w="2037" w:type="dxa"/>
            <w:hideMark/>
          </w:tcPr>
          <w:p w14:paraId="1C96A02F" w14:textId="77777777" w:rsidR="00B81106" w:rsidRPr="00B81106" w:rsidRDefault="00B81106" w:rsidP="00B81106">
            <w:pPr>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Moderate</w:t>
            </w:r>
          </w:p>
        </w:tc>
        <w:tc>
          <w:tcPr>
            <w:tcW w:w="2190" w:type="dxa"/>
            <w:hideMark/>
          </w:tcPr>
          <w:p w14:paraId="598BE943" w14:textId="77777777" w:rsidR="00B81106" w:rsidRPr="00B81106" w:rsidRDefault="00B81106" w:rsidP="00B81106">
            <w:pPr>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Education Funding</w:t>
            </w:r>
          </w:p>
        </w:tc>
      </w:tr>
      <w:tr w:rsidR="00B81106" w:rsidRPr="00B81106" w14:paraId="255889FA" w14:textId="77777777" w:rsidTr="00B81106">
        <w:trPr>
          <w:trHeight w:val="451"/>
        </w:trPr>
        <w:tc>
          <w:tcPr>
            <w:tcW w:w="1051" w:type="dxa"/>
            <w:hideMark/>
          </w:tcPr>
          <w:p w14:paraId="4D7C88F2"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1005</w:t>
            </w:r>
          </w:p>
        </w:tc>
        <w:tc>
          <w:tcPr>
            <w:tcW w:w="1051" w:type="dxa"/>
            <w:hideMark/>
          </w:tcPr>
          <w:p w14:paraId="3D9E895A"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40</w:t>
            </w:r>
          </w:p>
        </w:tc>
        <w:tc>
          <w:tcPr>
            <w:tcW w:w="1796" w:type="dxa"/>
            <w:hideMark/>
          </w:tcPr>
          <w:p w14:paraId="06080895"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3</w:t>
            </w:r>
          </w:p>
        </w:tc>
        <w:tc>
          <w:tcPr>
            <w:tcW w:w="2037" w:type="dxa"/>
            <w:hideMark/>
          </w:tcPr>
          <w:p w14:paraId="7D3DE928" w14:textId="77777777" w:rsidR="00B81106" w:rsidRPr="00B81106" w:rsidRDefault="00B81106" w:rsidP="00B81106">
            <w:pPr>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Moderate</w:t>
            </w:r>
          </w:p>
        </w:tc>
        <w:tc>
          <w:tcPr>
            <w:tcW w:w="2190" w:type="dxa"/>
            <w:hideMark/>
          </w:tcPr>
          <w:p w14:paraId="4B26AA1A" w14:textId="77777777" w:rsidR="00B81106" w:rsidRPr="00B81106" w:rsidRDefault="00B81106" w:rsidP="00B81106">
            <w:pPr>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Diversification</w:t>
            </w:r>
          </w:p>
        </w:tc>
      </w:tr>
    </w:tbl>
    <w:p w14:paraId="3FD55CA7" w14:textId="77777777" w:rsidR="00B81106" w:rsidRPr="00B81106" w:rsidRDefault="00B81106" w:rsidP="00B81106">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81106">
        <w:rPr>
          <w:rFonts w:eastAsia="Times New Roman" w:cs="Times New Roman"/>
          <w:b/>
          <w:bCs/>
          <w:kern w:val="0"/>
          <w:sz w:val="24"/>
          <w:szCs w:val="24"/>
          <w:lang w:eastAsia="en-IN"/>
          <w14:ligatures w14:val="none"/>
        </w:rPr>
        <w:t>Interpretation of Client Demographics Table</w:t>
      </w:r>
    </w:p>
    <w:p w14:paraId="7750580B" w14:textId="77777777" w:rsidR="00B81106" w:rsidRPr="00B81106" w:rsidRDefault="00B81106" w:rsidP="00B81106">
      <w:pPr>
        <w:spacing w:before="100" w:beforeAutospacing="1" w:after="100" w:afterAutospacing="1" w:line="240" w:lineRule="auto"/>
        <w:outlineLvl w:val="3"/>
        <w:rPr>
          <w:rFonts w:eastAsia="Times New Roman" w:cs="Times New Roman"/>
          <w:kern w:val="0"/>
          <w:sz w:val="24"/>
          <w:szCs w:val="24"/>
          <w:lang w:eastAsia="en-IN"/>
          <w14:ligatures w14:val="none"/>
        </w:rPr>
      </w:pPr>
      <w:r w:rsidRPr="00B81106">
        <w:rPr>
          <w:rFonts w:eastAsia="Times New Roman" w:cs="Times New Roman"/>
          <w:kern w:val="0"/>
          <w:sz w:val="24"/>
          <w:szCs w:val="24"/>
          <w:lang w:eastAsia="en-IN"/>
          <w14:ligatures w14:val="none"/>
        </w:rPr>
        <w:t>The Client Demographics table provides key information about five hypothetical clients, including their age, net worth, risk tolerance, and primary investment goal. Here’s a brief interpretation:</w:t>
      </w:r>
    </w:p>
    <w:p w14:paraId="604E94FB" w14:textId="77777777" w:rsidR="00B81106" w:rsidRPr="00B81106" w:rsidRDefault="00B81106" w:rsidP="00B81106">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81106">
        <w:rPr>
          <w:rFonts w:eastAsia="Times New Roman" w:cs="Times New Roman"/>
          <w:b/>
          <w:bCs/>
          <w:kern w:val="0"/>
          <w:sz w:val="24"/>
          <w:szCs w:val="24"/>
          <w:lang w:eastAsia="en-IN"/>
          <w14:ligatures w14:val="none"/>
        </w:rPr>
        <w:t>Age and Net Worth</w:t>
      </w:r>
    </w:p>
    <w:p w14:paraId="41B64C1B" w14:textId="77777777" w:rsidR="00B81106" w:rsidRPr="00153510" w:rsidRDefault="00B81106" w:rsidP="00B81106">
      <w:pPr>
        <w:pStyle w:val="ListParagraph"/>
        <w:numPr>
          <w:ilvl w:val="0"/>
          <w:numId w:val="8"/>
        </w:numPr>
        <w:spacing w:before="100" w:beforeAutospacing="1" w:after="100" w:afterAutospacing="1" w:line="240" w:lineRule="auto"/>
        <w:outlineLvl w:val="3"/>
        <w:rPr>
          <w:rFonts w:eastAsia="Times New Roman" w:cs="Times New Roman"/>
          <w:kern w:val="0"/>
          <w:sz w:val="24"/>
          <w:szCs w:val="24"/>
          <w:lang w:eastAsia="en-IN"/>
          <w14:ligatures w14:val="none"/>
        </w:rPr>
      </w:pPr>
      <w:r w:rsidRPr="00153510">
        <w:rPr>
          <w:rFonts w:eastAsia="Times New Roman" w:cs="Times New Roman"/>
          <w:kern w:val="0"/>
          <w:sz w:val="24"/>
          <w:szCs w:val="24"/>
          <w:lang w:eastAsia="en-IN"/>
          <w14:ligatures w14:val="none"/>
        </w:rPr>
        <w:t>Client 1001 (Age 45, Net Worth $5M): Mid-career, planning for retirement with significant assets.</w:t>
      </w:r>
    </w:p>
    <w:p w14:paraId="0992895E" w14:textId="77777777" w:rsidR="00B81106" w:rsidRPr="00153510" w:rsidRDefault="00B81106" w:rsidP="00B81106">
      <w:pPr>
        <w:pStyle w:val="ListParagraph"/>
        <w:numPr>
          <w:ilvl w:val="0"/>
          <w:numId w:val="8"/>
        </w:numPr>
        <w:spacing w:before="100" w:beforeAutospacing="1" w:after="100" w:afterAutospacing="1" w:line="240" w:lineRule="auto"/>
        <w:outlineLvl w:val="3"/>
        <w:rPr>
          <w:rFonts w:eastAsia="Times New Roman" w:cs="Times New Roman"/>
          <w:kern w:val="0"/>
          <w:sz w:val="24"/>
          <w:szCs w:val="24"/>
          <w:lang w:eastAsia="en-IN"/>
          <w14:ligatures w14:val="none"/>
        </w:rPr>
      </w:pPr>
      <w:r w:rsidRPr="00153510">
        <w:rPr>
          <w:rFonts w:eastAsia="Times New Roman" w:cs="Times New Roman"/>
          <w:kern w:val="0"/>
          <w:sz w:val="24"/>
          <w:szCs w:val="24"/>
          <w:lang w:eastAsia="en-IN"/>
          <w14:ligatures w14:val="none"/>
        </w:rPr>
        <w:t>Client 1002 (Age 60, Net Worth $10M): Nearing retirement, focused on wealth preservation.</w:t>
      </w:r>
    </w:p>
    <w:p w14:paraId="55ACA1A8" w14:textId="77777777" w:rsidR="00B81106" w:rsidRPr="00153510" w:rsidRDefault="00B81106" w:rsidP="00B81106">
      <w:pPr>
        <w:pStyle w:val="ListParagraph"/>
        <w:numPr>
          <w:ilvl w:val="0"/>
          <w:numId w:val="8"/>
        </w:numPr>
        <w:spacing w:before="100" w:beforeAutospacing="1" w:after="100" w:afterAutospacing="1" w:line="240" w:lineRule="auto"/>
        <w:outlineLvl w:val="3"/>
        <w:rPr>
          <w:rFonts w:eastAsia="Times New Roman" w:cs="Times New Roman"/>
          <w:kern w:val="0"/>
          <w:sz w:val="24"/>
          <w:szCs w:val="24"/>
          <w:lang w:eastAsia="en-IN"/>
          <w14:ligatures w14:val="none"/>
        </w:rPr>
      </w:pPr>
      <w:r w:rsidRPr="00153510">
        <w:rPr>
          <w:rFonts w:eastAsia="Times New Roman" w:cs="Times New Roman"/>
          <w:kern w:val="0"/>
          <w:sz w:val="24"/>
          <w:szCs w:val="24"/>
          <w:lang w:eastAsia="en-IN"/>
          <w14:ligatures w14:val="none"/>
        </w:rPr>
        <w:t>Client 1003 (Age 35, Net Worth $2.5M): Early career, seeking aggressive growth.</w:t>
      </w:r>
    </w:p>
    <w:p w14:paraId="5AC280F2" w14:textId="77777777" w:rsidR="00B81106" w:rsidRPr="00153510" w:rsidRDefault="00B81106" w:rsidP="00B81106">
      <w:pPr>
        <w:pStyle w:val="ListParagraph"/>
        <w:numPr>
          <w:ilvl w:val="0"/>
          <w:numId w:val="8"/>
        </w:numPr>
        <w:spacing w:before="100" w:beforeAutospacing="1" w:after="100" w:afterAutospacing="1" w:line="240" w:lineRule="auto"/>
        <w:outlineLvl w:val="3"/>
        <w:rPr>
          <w:rFonts w:eastAsia="Times New Roman" w:cs="Times New Roman"/>
          <w:kern w:val="0"/>
          <w:sz w:val="24"/>
          <w:szCs w:val="24"/>
          <w:lang w:eastAsia="en-IN"/>
          <w14:ligatures w14:val="none"/>
        </w:rPr>
      </w:pPr>
      <w:r w:rsidRPr="00153510">
        <w:rPr>
          <w:rFonts w:eastAsia="Times New Roman" w:cs="Times New Roman"/>
          <w:kern w:val="0"/>
          <w:sz w:val="24"/>
          <w:szCs w:val="24"/>
          <w:lang w:eastAsia="en-IN"/>
          <w14:ligatures w14:val="none"/>
        </w:rPr>
        <w:t>Client 1004 (Age 50, Net Worth $7M): Preparing for retirement and funding education.</w:t>
      </w:r>
    </w:p>
    <w:p w14:paraId="72D9B8B9" w14:textId="77777777" w:rsidR="00B81106" w:rsidRPr="00153510" w:rsidRDefault="00B81106" w:rsidP="00B81106">
      <w:pPr>
        <w:pStyle w:val="ListParagraph"/>
        <w:numPr>
          <w:ilvl w:val="0"/>
          <w:numId w:val="8"/>
        </w:numPr>
        <w:spacing w:before="100" w:beforeAutospacing="1" w:after="100" w:afterAutospacing="1" w:line="240" w:lineRule="auto"/>
        <w:outlineLvl w:val="3"/>
        <w:rPr>
          <w:rFonts w:eastAsia="Times New Roman" w:cs="Times New Roman"/>
          <w:kern w:val="0"/>
          <w:sz w:val="24"/>
          <w:szCs w:val="24"/>
          <w:lang w:eastAsia="en-IN"/>
          <w14:ligatures w14:val="none"/>
        </w:rPr>
      </w:pPr>
      <w:r w:rsidRPr="00153510">
        <w:rPr>
          <w:rFonts w:eastAsia="Times New Roman" w:cs="Times New Roman"/>
          <w:kern w:val="0"/>
          <w:sz w:val="24"/>
          <w:szCs w:val="24"/>
          <w:lang w:eastAsia="en-IN"/>
          <w14:ligatures w14:val="none"/>
        </w:rPr>
        <w:t>Client 1005 (Age 40, Net Worth $3M): Prime earning years, focusing on diversification.</w:t>
      </w:r>
    </w:p>
    <w:p w14:paraId="0CA5A2CE" w14:textId="77777777" w:rsidR="00B81106" w:rsidRPr="00153510" w:rsidRDefault="00B81106">
      <w:pPr>
        <w:rPr>
          <w:rFonts w:eastAsia="Times New Roman" w:cs="Times New Roman"/>
          <w:b/>
          <w:bCs/>
          <w:kern w:val="0"/>
          <w:sz w:val="24"/>
          <w:szCs w:val="24"/>
          <w:lang w:eastAsia="en-IN"/>
          <w14:ligatures w14:val="none"/>
        </w:rPr>
      </w:pPr>
      <w:r w:rsidRPr="00153510">
        <w:rPr>
          <w:rFonts w:eastAsia="Times New Roman" w:cs="Times New Roman"/>
          <w:b/>
          <w:bCs/>
          <w:kern w:val="0"/>
          <w:sz w:val="24"/>
          <w:szCs w:val="24"/>
          <w:lang w:eastAsia="en-IN"/>
          <w14:ligatures w14:val="none"/>
        </w:rPr>
        <w:br w:type="page"/>
      </w:r>
    </w:p>
    <w:p w14:paraId="2590983B" w14:textId="2073919B" w:rsidR="00B81106" w:rsidRPr="00B81106" w:rsidRDefault="00B81106" w:rsidP="00B81106">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81106">
        <w:rPr>
          <w:rFonts w:eastAsia="Times New Roman" w:cs="Times New Roman"/>
          <w:b/>
          <w:bCs/>
          <w:kern w:val="0"/>
          <w:sz w:val="24"/>
          <w:szCs w:val="24"/>
          <w:lang w:eastAsia="en-IN"/>
          <w14:ligatures w14:val="none"/>
        </w:rPr>
        <w:lastRenderedPageBreak/>
        <w:t>Risk Tolerance and Investment Goals</w:t>
      </w:r>
    </w:p>
    <w:p w14:paraId="372CCF33" w14:textId="77777777" w:rsidR="00B81106" w:rsidRPr="00153510" w:rsidRDefault="00B81106" w:rsidP="00B81106">
      <w:pPr>
        <w:pStyle w:val="ListParagraph"/>
        <w:numPr>
          <w:ilvl w:val="0"/>
          <w:numId w:val="7"/>
        </w:numPr>
        <w:spacing w:before="100" w:beforeAutospacing="1" w:after="100" w:afterAutospacing="1" w:line="240" w:lineRule="auto"/>
        <w:outlineLvl w:val="3"/>
        <w:rPr>
          <w:rFonts w:eastAsia="Times New Roman" w:cs="Times New Roman"/>
          <w:kern w:val="0"/>
          <w:sz w:val="24"/>
          <w:szCs w:val="24"/>
          <w:lang w:eastAsia="en-IN"/>
          <w14:ligatures w14:val="none"/>
        </w:rPr>
      </w:pPr>
      <w:r w:rsidRPr="00153510">
        <w:rPr>
          <w:rFonts w:eastAsia="Times New Roman" w:cs="Times New Roman"/>
          <w:kern w:val="0"/>
          <w:sz w:val="24"/>
          <w:szCs w:val="24"/>
          <w:lang w:eastAsia="en-IN"/>
          <w14:ligatures w14:val="none"/>
        </w:rPr>
        <w:t>Client 1001: Moderate risk tolerance, aiming for retirement.</w:t>
      </w:r>
    </w:p>
    <w:p w14:paraId="4D15A11B" w14:textId="77777777" w:rsidR="00B81106" w:rsidRPr="00153510" w:rsidRDefault="00B81106" w:rsidP="00B81106">
      <w:pPr>
        <w:pStyle w:val="ListParagraph"/>
        <w:numPr>
          <w:ilvl w:val="0"/>
          <w:numId w:val="7"/>
        </w:numPr>
        <w:spacing w:before="100" w:beforeAutospacing="1" w:after="100" w:afterAutospacing="1" w:line="240" w:lineRule="auto"/>
        <w:outlineLvl w:val="3"/>
        <w:rPr>
          <w:rFonts w:eastAsia="Times New Roman" w:cs="Times New Roman"/>
          <w:kern w:val="0"/>
          <w:sz w:val="24"/>
          <w:szCs w:val="24"/>
          <w:lang w:eastAsia="en-IN"/>
          <w14:ligatures w14:val="none"/>
        </w:rPr>
      </w:pPr>
      <w:r w:rsidRPr="00153510">
        <w:rPr>
          <w:rFonts w:eastAsia="Times New Roman" w:cs="Times New Roman"/>
          <w:kern w:val="0"/>
          <w:sz w:val="24"/>
          <w:szCs w:val="24"/>
          <w:lang w:eastAsia="en-IN"/>
          <w14:ligatures w14:val="none"/>
        </w:rPr>
        <w:t>Client 1002: Conservative, focused on preserving wealth.</w:t>
      </w:r>
    </w:p>
    <w:p w14:paraId="51D270E2" w14:textId="77777777" w:rsidR="00B81106" w:rsidRPr="00153510" w:rsidRDefault="00B81106" w:rsidP="00B81106">
      <w:pPr>
        <w:pStyle w:val="ListParagraph"/>
        <w:numPr>
          <w:ilvl w:val="0"/>
          <w:numId w:val="7"/>
        </w:numPr>
        <w:spacing w:before="100" w:beforeAutospacing="1" w:after="100" w:afterAutospacing="1" w:line="240" w:lineRule="auto"/>
        <w:outlineLvl w:val="3"/>
        <w:rPr>
          <w:rFonts w:eastAsia="Times New Roman" w:cs="Times New Roman"/>
          <w:kern w:val="0"/>
          <w:sz w:val="24"/>
          <w:szCs w:val="24"/>
          <w:lang w:eastAsia="en-IN"/>
          <w14:ligatures w14:val="none"/>
        </w:rPr>
      </w:pPr>
      <w:r w:rsidRPr="00153510">
        <w:rPr>
          <w:rFonts w:eastAsia="Times New Roman" w:cs="Times New Roman"/>
          <w:kern w:val="0"/>
          <w:sz w:val="24"/>
          <w:szCs w:val="24"/>
          <w:lang w:eastAsia="en-IN"/>
          <w14:ligatures w14:val="none"/>
        </w:rPr>
        <w:t>Client 1003: Aggressive, aiming for growth.</w:t>
      </w:r>
    </w:p>
    <w:p w14:paraId="11417368" w14:textId="77777777" w:rsidR="00B81106" w:rsidRPr="00153510" w:rsidRDefault="00B81106" w:rsidP="00B81106">
      <w:pPr>
        <w:pStyle w:val="ListParagraph"/>
        <w:numPr>
          <w:ilvl w:val="0"/>
          <w:numId w:val="7"/>
        </w:numPr>
        <w:spacing w:before="100" w:beforeAutospacing="1" w:after="100" w:afterAutospacing="1" w:line="240" w:lineRule="auto"/>
        <w:outlineLvl w:val="3"/>
        <w:rPr>
          <w:rFonts w:eastAsia="Times New Roman" w:cs="Times New Roman"/>
          <w:kern w:val="0"/>
          <w:sz w:val="24"/>
          <w:szCs w:val="24"/>
          <w:lang w:eastAsia="en-IN"/>
          <w14:ligatures w14:val="none"/>
        </w:rPr>
      </w:pPr>
      <w:r w:rsidRPr="00153510">
        <w:rPr>
          <w:rFonts w:eastAsia="Times New Roman" w:cs="Times New Roman"/>
          <w:kern w:val="0"/>
          <w:sz w:val="24"/>
          <w:szCs w:val="24"/>
          <w:lang w:eastAsia="en-IN"/>
          <w14:ligatures w14:val="none"/>
        </w:rPr>
        <w:t>Client 1004: Moderate, funding education and preparing for retirement.</w:t>
      </w:r>
    </w:p>
    <w:p w14:paraId="16F52670" w14:textId="77777777" w:rsidR="00B81106" w:rsidRPr="00153510" w:rsidRDefault="00B81106" w:rsidP="00B81106">
      <w:pPr>
        <w:pStyle w:val="ListParagraph"/>
        <w:numPr>
          <w:ilvl w:val="0"/>
          <w:numId w:val="7"/>
        </w:numPr>
        <w:spacing w:before="100" w:beforeAutospacing="1" w:after="100" w:afterAutospacing="1" w:line="240" w:lineRule="auto"/>
        <w:outlineLvl w:val="3"/>
        <w:rPr>
          <w:rFonts w:eastAsia="Times New Roman" w:cs="Times New Roman"/>
          <w:kern w:val="0"/>
          <w:sz w:val="24"/>
          <w:szCs w:val="24"/>
          <w:lang w:eastAsia="en-IN"/>
          <w14:ligatures w14:val="none"/>
        </w:rPr>
      </w:pPr>
      <w:r w:rsidRPr="00153510">
        <w:rPr>
          <w:rFonts w:eastAsia="Times New Roman" w:cs="Times New Roman"/>
          <w:kern w:val="0"/>
          <w:sz w:val="24"/>
          <w:szCs w:val="24"/>
          <w:lang w:eastAsia="en-IN"/>
          <w14:ligatures w14:val="none"/>
        </w:rPr>
        <w:t>Client 1005: Moderate, focusing on diversification.</w:t>
      </w:r>
    </w:p>
    <w:p w14:paraId="55D05F5E" w14:textId="77777777" w:rsidR="00B81106" w:rsidRPr="00B81106" w:rsidRDefault="00B81106" w:rsidP="00B81106">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B81106">
        <w:rPr>
          <w:rFonts w:eastAsia="Times New Roman" w:cs="Times New Roman"/>
          <w:b/>
          <w:bCs/>
          <w:kern w:val="0"/>
          <w:sz w:val="24"/>
          <w:szCs w:val="24"/>
          <w:lang w:eastAsia="en-IN"/>
          <w14:ligatures w14:val="none"/>
        </w:rPr>
        <w:t>Summary</w:t>
      </w:r>
    </w:p>
    <w:p w14:paraId="35E77A55" w14:textId="77777777" w:rsidR="00B81106" w:rsidRPr="00B81106" w:rsidRDefault="00B81106" w:rsidP="00B81106">
      <w:pPr>
        <w:spacing w:before="100" w:beforeAutospacing="1" w:after="100" w:afterAutospacing="1" w:line="240" w:lineRule="auto"/>
        <w:outlineLvl w:val="3"/>
        <w:rPr>
          <w:rFonts w:eastAsia="Times New Roman" w:cs="Times New Roman"/>
          <w:kern w:val="0"/>
          <w:sz w:val="24"/>
          <w:szCs w:val="24"/>
          <w:lang w:eastAsia="en-IN"/>
          <w14:ligatures w14:val="none"/>
        </w:rPr>
      </w:pPr>
      <w:r w:rsidRPr="00B81106">
        <w:rPr>
          <w:rFonts w:eastAsia="Times New Roman" w:cs="Times New Roman"/>
          <w:kern w:val="0"/>
          <w:sz w:val="24"/>
          <w:szCs w:val="24"/>
          <w:lang w:eastAsia="en-IN"/>
          <w14:ligatures w14:val="none"/>
        </w:rPr>
        <w:t>This demographic data highlights the diverse needs of wealth management clients:</w:t>
      </w:r>
    </w:p>
    <w:p w14:paraId="0C4CD8E9" w14:textId="77777777" w:rsidR="00B81106" w:rsidRPr="00153510" w:rsidRDefault="00B81106" w:rsidP="00B81106">
      <w:pPr>
        <w:pStyle w:val="ListParagraph"/>
        <w:numPr>
          <w:ilvl w:val="0"/>
          <w:numId w:val="6"/>
        </w:numPr>
        <w:spacing w:before="100" w:beforeAutospacing="1" w:after="100" w:afterAutospacing="1" w:line="240" w:lineRule="auto"/>
        <w:outlineLvl w:val="3"/>
        <w:rPr>
          <w:rFonts w:eastAsia="Times New Roman" w:cs="Times New Roman"/>
          <w:kern w:val="0"/>
          <w:sz w:val="24"/>
          <w:szCs w:val="24"/>
          <w:lang w:eastAsia="en-IN"/>
          <w14:ligatures w14:val="none"/>
        </w:rPr>
      </w:pPr>
      <w:r w:rsidRPr="00153510">
        <w:rPr>
          <w:rFonts w:eastAsia="Times New Roman" w:cs="Times New Roman"/>
          <w:kern w:val="0"/>
          <w:sz w:val="24"/>
          <w:szCs w:val="24"/>
          <w:lang w:eastAsia="en-IN"/>
          <w14:ligatures w14:val="none"/>
        </w:rPr>
        <w:t>Older, high-net-worth clients (Client 1002): Prioritize wealth preservation.</w:t>
      </w:r>
    </w:p>
    <w:p w14:paraId="7B2A27CD" w14:textId="77777777" w:rsidR="00B81106" w:rsidRPr="00153510" w:rsidRDefault="00B81106" w:rsidP="00B81106">
      <w:pPr>
        <w:pStyle w:val="ListParagraph"/>
        <w:numPr>
          <w:ilvl w:val="0"/>
          <w:numId w:val="6"/>
        </w:numPr>
        <w:spacing w:before="100" w:beforeAutospacing="1" w:after="100" w:afterAutospacing="1" w:line="240" w:lineRule="auto"/>
        <w:outlineLvl w:val="3"/>
        <w:rPr>
          <w:rFonts w:eastAsia="Times New Roman" w:cs="Times New Roman"/>
          <w:kern w:val="0"/>
          <w:sz w:val="24"/>
          <w:szCs w:val="24"/>
          <w:lang w:eastAsia="en-IN"/>
          <w14:ligatures w14:val="none"/>
        </w:rPr>
      </w:pPr>
      <w:r w:rsidRPr="00153510">
        <w:rPr>
          <w:rFonts w:eastAsia="Times New Roman" w:cs="Times New Roman"/>
          <w:kern w:val="0"/>
          <w:sz w:val="24"/>
          <w:szCs w:val="24"/>
          <w:lang w:eastAsia="en-IN"/>
          <w14:ligatures w14:val="none"/>
        </w:rPr>
        <w:t>Younger, growth-focused clients (Client 1003): Seek high returns.</w:t>
      </w:r>
    </w:p>
    <w:p w14:paraId="1B45D66A" w14:textId="77777777" w:rsidR="00B81106" w:rsidRPr="00153510" w:rsidRDefault="00B81106" w:rsidP="00B81106">
      <w:pPr>
        <w:pStyle w:val="ListParagraph"/>
        <w:numPr>
          <w:ilvl w:val="0"/>
          <w:numId w:val="6"/>
        </w:numPr>
        <w:spacing w:before="100" w:beforeAutospacing="1" w:after="100" w:afterAutospacing="1" w:line="240" w:lineRule="auto"/>
        <w:outlineLvl w:val="3"/>
        <w:rPr>
          <w:rFonts w:eastAsia="Times New Roman" w:cs="Times New Roman"/>
          <w:kern w:val="0"/>
          <w:sz w:val="24"/>
          <w:szCs w:val="24"/>
          <w:lang w:eastAsia="en-IN"/>
          <w14:ligatures w14:val="none"/>
        </w:rPr>
      </w:pPr>
      <w:r w:rsidRPr="00153510">
        <w:rPr>
          <w:rFonts w:eastAsia="Times New Roman" w:cs="Times New Roman"/>
          <w:kern w:val="0"/>
          <w:sz w:val="24"/>
          <w:szCs w:val="24"/>
          <w:lang w:eastAsia="en-IN"/>
          <w14:ligatures w14:val="none"/>
        </w:rPr>
        <w:t>Moderate-risk clients with specific goals (Clients 1001, 1004, 1005): Require balanced strategies for growth and risk management.</w:t>
      </w:r>
    </w:p>
    <w:p w14:paraId="0767CB08" w14:textId="44DA6915" w:rsidR="00B81106" w:rsidRPr="00153510" w:rsidRDefault="00B81106" w:rsidP="00B81106">
      <w:pPr>
        <w:spacing w:before="100" w:beforeAutospacing="1" w:after="100" w:afterAutospacing="1" w:line="240" w:lineRule="auto"/>
        <w:outlineLvl w:val="3"/>
        <w:rPr>
          <w:rFonts w:eastAsia="Times New Roman" w:cs="Times New Roman"/>
          <w:kern w:val="0"/>
          <w:sz w:val="24"/>
          <w:szCs w:val="24"/>
          <w:lang w:eastAsia="en-IN"/>
          <w14:ligatures w14:val="none"/>
        </w:rPr>
      </w:pPr>
      <w:r w:rsidRPr="00B81106">
        <w:rPr>
          <w:rFonts w:eastAsia="Times New Roman" w:cs="Times New Roman"/>
          <w:kern w:val="0"/>
          <w:sz w:val="24"/>
          <w:szCs w:val="24"/>
          <w:lang w:eastAsia="en-IN"/>
          <w14:ligatures w14:val="none"/>
        </w:rPr>
        <w:t>Tailoring investment strategies to these profiles ensures alignment with each client’s financial situation and long-term goals.</w:t>
      </w:r>
    </w:p>
    <w:p w14:paraId="77119285" w14:textId="62A8D800" w:rsidR="00B81106" w:rsidRDefault="00B81106" w:rsidP="00B81106">
      <w:pPr>
        <w:pStyle w:val="Heading2"/>
        <w:rPr>
          <w:rFonts w:eastAsia="Times New Roman"/>
          <w:lang w:eastAsia="en-IN"/>
        </w:rPr>
      </w:pPr>
      <w:r w:rsidRPr="00B81106">
        <w:rPr>
          <w:rFonts w:eastAsia="Times New Roman"/>
          <w:lang w:eastAsia="en-IN"/>
        </w:rPr>
        <w:t>Portfolio Allocation (in %)</w:t>
      </w:r>
    </w:p>
    <w:tbl>
      <w:tblPr>
        <w:tblStyle w:val="TableGrid"/>
        <w:tblW w:w="6200" w:type="dxa"/>
        <w:tblLook w:val="04A0" w:firstRow="1" w:lastRow="0" w:firstColumn="1" w:lastColumn="0" w:noHBand="0" w:noVBand="1"/>
      </w:tblPr>
      <w:tblGrid>
        <w:gridCol w:w="960"/>
        <w:gridCol w:w="960"/>
        <w:gridCol w:w="960"/>
        <w:gridCol w:w="960"/>
        <w:gridCol w:w="1400"/>
        <w:gridCol w:w="960"/>
      </w:tblGrid>
      <w:tr w:rsidR="00B81106" w:rsidRPr="00B81106" w14:paraId="4576045C" w14:textId="77777777" w:rsidTr="00B81106">
        <w:trPr>
          <w:trHeight w:val="576"/>
        </w:trPr>
        <w:tc>
          <w:tcPr>
            <w:tcW w:w="960" w:type="dxa"/>
            <w:hideMark/>
          </w:tcPr>
          <w:p w14:paraId="2834255A" w14:textId="77777777" w:rsidR="00B81106" w:rsidRPr="00B81106" w:rsidRDefault="00B81106" w:rsidP="00B81106">
            <w:pPr>
              <w:jc w:val="center"/>
              <w:rPr>
                <w:rFonts w:ascii="Aptos Narrow" w:eastAsia="Times New Roman" w:hAnsi="Aptos Narrow" w:cs="Times New Roman"/>
                <w:b/>
                <w:bCs/>
                <w:color w:val="000000"/>
                <w:kern w:val="0"/>
                <w:lang w:eastAsia="en-IN"/>
                <w14:ligatures w14:val="none"/>
              </w:rPr>
            </w:pPr>
            <w:r w:rsidRPr="00B81106">
              <w:rPr>
                <w:rFonts w:ascii="Aptos Narrow" w:eastAsia="Times New Roman" w:hAnsi="Aptos Narrow" w:cs="Times New Roman"/>
                <w:b/>
                <w:bCs/>
                <w:color w:val="000000"/>
                <w:kern w:val="0"/>
                <w:lang w:eastAsia="en-IN"/>
                <w14:ligatures w14:val="none"/>
              </w:rPr>
              <w:t>Client ID</w:t>
            </w:r>
          </w:p>
        </w:tc>
        <w:tc>
          <w:tcPr>
            <w:tcW w:w="960" w:type="dxa"/>
            <w:hideMark/>
          </w:tcPr>
          <w:p w14:paraId="7389A4EA" w14:textId="77777777" w:rsidR="00B81106" w:rsidRPr="00B81106" w:rsidRDefault="00B81106" w:rsidP="00B81106">
            <w:pPr>
              <w:jc w:val="center"/>
              <w:rPr>
                <w:rFonts w:ascii="Aptos Narrow" w:eastAsia="Times New Roman" w:hAnsi="Aptos Narrow" w:cs="Times New Roman"/>
                <w:b/>
                <w:bCs/>
                <w:color w:val="000000"/>
                <w:kern w:val="0"/>
                <w:lang w:eastAsia="en-IN"/>
                <w14:ligatures w14:val="none"/>
              </w:rPr>
            </w:pPr>
            <w:r w:rsidRPr="00B81106">
              <w:rPr>
                <w:rFonts w:ascii="Aptos Narrow" w:eastAsia="Times New Roman" w:hAnsi="Aptos Narrow" w:cs="Times New Roman"/>
                <w:b/>
                <w:bCs/>
                <w:color w:val="000000"/>
                <w:kern w:val="0"/>
                <w:lang w:eastAsia="en-IN"/>
                <w14:ligatures w14:val="none"/>
              </w:rPr>
              <w:t>Equities</w:t>
            </w:r>
          </w:p>
        </w:tc>
        <w:tc>
          <w:tcPr>
            <w:tcW w:w="960" w:type="dxa"/>
            <w:hideMark/>
          </w:tcPr>
          <w:p w14:paraId="0288A032" w14:textId="77777777" w:rsidR="00B81106" w:rsidRPr="00B81106" w:rsidRDefault="00B81106" w:rsidP="00B81106">
            <w:pPr>
              <w:jc w:val="center"/>
              <w:rPr>
                <w:rFonts w:ascii="Aptos Narrow" w:eastAsia="Times New Roman" w:hAnsi="Aptos Narrow" w:cs="Times New Roman"/>
                <w:b/>
                <w:bCs/>
                <w:color w:val="000000"/>
                <w:kern w:val="0"/>
                <w:lang w:eastAsia="en-IN"/>
                <w14:ligatures w14:val="none"/>
              </w:rPr>
            </w:pPr>
            <w:r w:rsidRPr="00B81106">
              <w:rPr>
                <w:rFonts w:ascii="Aptos Narrow" w:eastAsia="Times New Roman" w:hAnsi="Aptos Narrow" w:cs="Times New Roman"/>
                <w:b/>
                <w:bCs/>
                <w:color w:val="000000"/>
                <w:kern w:val="0"/>
                <w:lang w:eastAsia="en-IN"/>
                <w14:ligatures w14:val="none"/>
              </w:rPr>
              <w:t>Bonds</w:t>
            </w:r>
          </w:p>
        </w:tc>
        <w:tc>
          <w:tcPr>
            <w:tcW w:w="960" w:type="dxa"/>
            <w:hideMark/>
          </w:tcPr>
          <w:p w14:paraId="4E7642F4" w14:textId="77777777" w:rsidR="00B81106" w:rsidRPr="00B81106" w:rsidRDefault="00B81106" w:rsidP="00B81106">
            <w:pPr>
              <w:jc w:val="center"/>
              <w:rPr>
                <w:rFonts w:ascii="Aptos Narrow" w:eastAsia="Times New Roman" w:hAnsi="Aptos Narrow" w:cs="Times New Roman"/>
                <w:b/>
                <w:bCs/>
                <w:color w:val="000000"/>
                <w:kern w:val="0"/>
                <w:lang w:eastAsia="en-IN"/>
                <w14:ligatures w14:val="none"/>
              </w:rPr>
            </w:pPr>
            <w:r w:rsidRPr="00B81106">
              <w:rPr>
                <w:rFonts w:ascii="Aptos Narrow" w:eastAsia="Times New Roman" w:hAnsi="Aptos Narrow" w:cs="Times New Roman"/>
                <w:b/>
                <w:bCs/>
                <w:color w:val="000000"/>
                <w:kern w:val="0"/>
                <w:lang w:eastAsia="en-IN"/>
                <w14:ligatures w14:val="none"/>
              </w:rPr>
              <w:t>Real Estate</w:t>
            </w:r>
          </w:p>
        </w:tc>
        <w:tc>
          <w:tcPr>
            <w:tcW w:w="1400" w:type="dxa"/>
            <w:hideMark/>
          </w:tcPr>
          <w:p w14:paraId="29F36B9A" w14:textId="77777777" w:rsidR="00B81106" w:rsidRPr="00B81106" w:rsidRDefault="00B81106" w:rsidP="00B81106">
            <w:pPr>
              <w:jc w:val="center"/>
              <w:rPr>
                <w:rFonts w:ascii="Aptos Narrow" w:eastAsia="Times New Roman" w:hAnsi="Aptos Narrow" w:cs="Times New Roman"/>
                <w:b/>
                <w:bCs/>
                <w:color w:val="000000"/>
                <w:kern w:val="0"/>
                <w:lang w:eastAsia="en-IN"/>
                <w14:ligatures w14:val="none"/>
              </w:rPr>
            </w:pPr>
            <w:r w:rsidRPr="00B81106">
              <w:rPr>
                <w:rFonts w:ascii="Aptos Narrow" w:eastAsia="Times New Roman" w:hAnsi="Aptos Narrow" w:cs="Times New Roman"/>
                <w:b/>
                <w:bCs/>
                <w:color w:val="000000"/>
                <w:kern w:val="0"/>
                <w:lang w:eastAsia="en-IN"/>
                <w14:ligatures w14:val="none"/>
              </w:rPr>
              <w:t>Alternatives</w:t>
            </w:r>
          </w:p>
        </w:tc>
        <w:tc>
          <w:tcPr>
            <w:tcW w:w="960" w:type="dxa"/>
            <w:hideMark/>
          </w:tcPr>
          <w:p w14:paraId="7A73BF12" w14:textId="77777777" w:rsidR="00B81106" w:rsidRPr="00B81106" w:rsidRDefault="00B81106" w:rsidP="00B81106">
            <w:pPr>
              <w:jc w:val="center"/>
              <w:rPr>
                <w:rFonts w:ascii="Aptos Narrow" w:eastAsia="Times New Roman" w:hAnsi="Aptos Narrow" w:cs="Times New Roman"/>
                <w:b/>
                <w:bCs/>
                <w:color w:val="000000"/>
                <w:kern w:val="0"/>
                <w:lang w:eastAsia="en-IN"/>
                <w14:ligatures w14:val="none"/>
              </w:rPr>
            </w:pPr>
            <w:r w:rsidRPr="00B81106">
              <w:rPr>
                <w:rFonts w:ascii="Aptos Narrow" w:eastAsia="Times New Roman" w:hAnsi="Aptos Narrow" w:cs="Times New Roman"/>
                <w:b/>
                <w:bCs/>
                <w:color w:val="000000"/>
                <w:kern w:val="0"/>
                <w:lang w:eastAsia="en-IN"/>
                <w14:ligatures w14:val="none"/>
              </w:rPr>
              <w:t>Cash</w:t>
            </w:r>
          </w:p>
        </w:tc>
      </w:tr>
      <w:tr w:rsidR="00B81106" w:rsidRPr="00B81106" w14:paraId="3F35A1FD" w14:textId="77777777" w:rsidTr="00B81106">
        <w:trPr>
          <w:trHeight w:val="288"/>
        </w:trPr>
        <w:tc>
          <w:tcPr>
            <w:tcW w:w="960" w:type="dxa"/>
            <w:hideMark/>
          </w:tcPr>
          <w:p w14:paraId="5B9209C6"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1001</w:t>
            </w:r>
          </w:p>
        </w:tc>
        <w:tc>
          <w:tcPr>
            <w:tcW w:w="960" w:type="dxa"/>
            <w:hideMark/>
          </w:tcPr>
          <w:p w14:paraId="0C8DCE4B"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50</w:t>
            </w:r>
          </w:p>
        </w:tc>
        <w:tc>
          <w:tcPr>
            <w:tcW w:w="960" w:type="dxa"/>
            <w:hideMark/>
          </w:tcPr>
          <w:p w14:paraId="372FD329"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30</w:t>
            </w:r>
          </w:p>
        </w:tc>
        <w:tc>
          <w:tcPr>
            <w:tcW w:w="960" w:type="dxa"/>
            <w:hideMark/>
          </w:tcPr>
          <w:p w14:paraId="40C4A369"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w:t>
            </w:r>
          </w:p>
        </w:tc>
        <w:tc>
          <w:tcPr>
            <w:tcW w:w="1400" w:type="dxa"/>
            <w:hideMark/>
          </w:tcPr>
          <w:p w14:paraId="52BDD2FA"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5</w:t>
            </w:r>
          </w:p>
        </w:tc>
        <w:tc>
          <w:tcPr>
            <w:tcW w:w="960" w:type="dxa"/>
            <w:hideMark/>
          </w:tcPr>
          <w:p w14:paraId="5753A6DF"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5</w:t>
            </w:r>
          </w:p>
        </w:tc>
      </w:tr>
      <w:tr w:rsidR="00B81106" w:rsidRPr="00B81106" w14:paraId="2304F1C2" w14:textId="77777777" w:rsidTr="00B81106">
        <w:trPr>
          <w:trHeight w:val="288"/>
        </w:trPr>
        <w:tc>
          <w:tcPr>
            <w:tcW w:w="960" w:type="dxa"/>
            <w:hideMark/>
          </w:tcPr>
          <w:p w14:paraId="07942CBF"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1002</w:t>
            </w:r>
          </w:p>
        </w:tc>
        <w:tc>
          <w:tcPr>
            <w:tcW w:w="960" w:type="dxa"/>
            <w:hideMark/>
          </w:tcPr>
          <w:p w14:paraId="5A8559F3"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30</w:t>
            </w:r>
          </w:p>
        </w:tc>
        <w:tc>
          <w:tcPr>
            <w:tcW w:w="960" w:type="dxa"/>
            <w:hideMark/>
          </w:tcPr>
          <w:p w14:paraId="48D8B2D1"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50</w:t>
            </w:r>
          </w:p>
        </w:tc>
        <w:tc>
          <w:tcPr>
            <w:tcW w:w="960" w:type="dxa"/>
            <w:hideMark/>
          </w:tcPr>
          <w:p w14:paraId="3C50D936"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w:t>
            </w:r>
          </w:p>
        </w:tc>
        <w:tc>
          <w:tcPr>
            <w:tcW w:w="1400" w:type="dxa"/>
            <w:hideMark/>
          </w:tcPr>
          <w:p w14:paraId="04A9CBEE"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5</w:t>
            </w:r>
          </w:p>
        </w:tc>
        <w:tc>
          <w:tcPr>
            <w:tcW w:w="960" w:type="dxa"/>
            <w:hideMark/>
          </w:tcPr>
          <w:p w14:paraId="01011EBD"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5</w:t>
            </w:r>
          </w:p>
        </w:tc>
      </w:tr>
      <w:tr w:rsidR="00B81106" w:rsidRPr="00B81106" w14:paraId="519F209C" w14:textId="77777777" w:rsidTr="00B81106">
        <w:trPr>
          <w:trHeight w:val="288"/>
        </w:trPr>
        <w:tc>
          <w:tcPr>
            <w:tcW w:w="960" w:type="dxa"/>
            <w:hideMark/>
          </w:tcPr>
          <w:p w14:paraId="0FBB62B1"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1003</w:t>
            </w:r>
          </w:p>
        </w:tc>
        <w:tc>
          <w:tcPr>
            <w:tcW w:w="960" w:type="dxa"/>
            <w:hideMark/>
          </w:tcPr>
          <w:p w14:paraId="22C5DCA8"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70</w:t>
            </w:r>
          </w:p>
        </w:tc>
        <w:tc>
          <w:tcPr>
            <w:tcW w:w="960" w:type="dxa"/>
            <w:hideMark/>
          </w:tcPr>
          <w:p w14:paraId="1BAEEBA4"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w:t>
            </w:r>
          </w:p>
        </w:tc>
        <w:tc>
          <w:tcPr>
            <w:tcW w:w="960" w:type="dxa"/>
            <w:hideMark/>
          </w:tcPr>
          <w:p w14:paraId="2092C32A"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w:t>
            </w:r>
          </w:p>
        </w:tc>
        <w:tc>
          <w:tcPr>
            <w:tcW w:w="1400" w:type="dxa"/>
            <w:hideMark/>
          </w:tcPr>
          <w:p w14:paraId="3955F684"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5</w:t>
            </w:r>
          </w:p>
        </w:tc>
        <w:tc>
          <w:tcPr>
            <w:tcW w:w="960" w:type="dxa"/>
            <w:hideMark/>
          </w:tcPr>
          <w:p w14:paraId="31DEF664"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5</w:t>
            </w:r>
          </w:p>
        </w:tc>
      </w:tr>
      <w:tr w:rsidR="00B81106" w:rsidRPr="00B81106" w14:paraId="7B2A40C8" w14:textId="77777777" w:rsidTr="00B81106">
        <w:trPr>
          <w:trHeight w:val="288"/>
        </w:trPr>
        <w:tc>
          <w:tcPr>
            <w:tcW w:w="960" w:type="dxa"/>
            <w:hideMark/>
          </w:tcPr>
          <w:p w14:paraId="60B2E90C"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1004</w:t>
            </w:r>
          </w:p>
        </w:tc>
        <w:tc>
          <w:tcPr>
            <w:tcW w:w="960" w:type="dxa"/>
            <w:hideMark/>
          </w:tcPr>
          <w:p w14:paraId="4AA34C2C"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50</w:t>
            </w:r>
          </w:p>
        </w:tc>
        <w:tc>
          <w:tcPr>
            <w:tcW w:w="960" w:type="dxa"/>
            <w:hideMark/>
          </w:tcPr>
          <w:p w14:paraId="75AE1384"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30</w:t>
            </w:r>
          </w:p>
        </w:tc>
        <w:tc>
          <w:tcPr>
            <w:tcW w:w="960" w:type="dxa"/>
            <w:hideMark/>
          </w:tcPr>
          <w:p w14:paraId="322F9F7F"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w:t>
            </w:r>
          </w:p>
        </w:tc>
        <w:tc>
          <w:tcPr>
            <w:tcW w:w="1400" w:type="dxa"/>
            <w:hideMark/>
          </w:tcPr>
          <w:p w14:paraId="68069E61"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5</w:t>
            </w:r>
          </w:p>
        </w:tc>
        <w:tc>
          <w:tcPr>
            <w:tcW w:w="960" w:type="dxa"/>
            <w:hideMark/>
          </w:tcPr>
          <w:p w14:paraId="60F6E7DF"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5</w:t>
            </w:r>
          </w:p>
        </w:tc>
      </w:tr>
      <w:tr w:rsidR="00B81106" w:rsidRPr="00B81106" w14:paraId="1A99A951" w14:textId="77777777" w:rsidTr="00B81106">
        <w:trPr>
          <w:trHeight w:val="288"/>
        </w:trPr>
        <w:tc>
          <w:tcPr>
            <w:tcW w:w="960" w:type="dxa"/>
            <w:hideMark/>
          </w:tcPr>
          <w:p w14:paraId="1F0432A4"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1005</w:t>
            </w:r>
          </w:p>
        </w:tc>
        <w:tc>
          <w:tcPr>
            <w:tcW w:w="960" w:type="dxa"/>
            <w:hideMark/>
          </w:tcPr>
          <w:p w14:paraId="7F178C53"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60</w:t>
            </w:r>
          </w:p>
        </w:tc>
        <w:tc>
          <w:tcPr>
            <w:tcW w:w="960" w:type="dxa"/>
            <w:hideMark/>
          </w:tcPr>
          <w:p w14:paraId="456F48AF"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20</w:t>
            </w:r>
          </w:p>
        </w:tc>
        <w:tc>
          <w:tcPr>
            <w:tcW w:w="960" w:type="dxa"/>
            <w:hideMark/>
          </w:tcPr>
          <w:p w14:paraId="59443737"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10</w:t>
            </w:r>
          </w:p>
        </w:tc>
        <w:tc>
          <w:tcPr>
            <w:tcW w:w="1400" w:type="dxa"/>
            <w:hideMark/>
          </w:tcPr>
          <w:p w14:paraId="29072A6C"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5</w:t>
            </w:r>
          </w:p>
        </w:tc>
        <w:tc>
          <w:tcPr>
            <w:tcW w:w="960" w:type="dxa"/>
            <w:hideMark/>
          </w:tcPr>
          <w:p w14:paraId="12F34B3A" w14:textId="77777777" w:rsidR="00B81106" w:rsidRPr="00B81106" w:rsidRDefault="00B81106" w:rsidP="00B81106">
            <w:pPr>
              <w:jc w:val="right"/>
              <w:rPr>
                <w:rFonts w:ascii="Aptos Narrow" w:eastAsia="Times New Roman" w:hAnsi="Aptos Narrow" w:cs="Times New Roman"/>
                <w:color w:val="000000"/>
                <w:kern w:val="0"/>
                <w:lang w:eastAsia="en-IN"/>
                <w14:ligatures w14:val="none"/>
              </w:rPr>
            </w:pPr>
            <w:r w:rsidRPr="00B81106">
              <w:rPr>
                <w:rFonts w:ascii="Aptos Narrow" w:eastAsia="Times New Roman" w:hAnsi="Aptos Narrow" w:cs="Times New Roman"/>
                <w:color w:val="000000"/>
                <w:kern w:val="0"/>
                <w:lang w:eastAsia="en-IN"/>
                <w14:ligatures w14:val="none"/>
              </w:rPr>
              <w:t>5</w:t>
            </w:r>
          </w:p>
        </w:tc>
      </w:tr>
    </w:tbl>
    <w:p w14:paraId="677240F9" w14:textId="77777777" w:rsidR="00B81106" w:rsidRPr="00B81106" w:rsidRDefault="00B81106" w:rsidP="00B81106">
      <w:pPr>
        <w:rPr>
          <w:sz w:val="24"/>
          <w:szCs w:val="24"/>
          <w:lang w:eastAsia="en-IN"/>
        </w:rPr>
      </w:pPr>
      <w:r w:rsidRPr="00B81106">
        <w:rPr>
          <w:b/>
          <w:bCs/>
          <w:sz w:val="24"/>
          <w:szCs w:val="24"/>
          <w:lang w:eastAsia="en-IN"/>
        </w:rPr>
        <w:t>Interpretation of Portfolio Allocation Table</w:t>
      </w:r>
    </w:p>
    <w:p w14:paraId="25338366" w14:textId="77777777" w:rsidR="00B81106" w:rsidRPr="00B81106" w:rsidRDefault="00B81106" w:rsidP="00B81106">
      <w:pPr>
        <w:rPr>
          <w:sz w:val="24"/>
          <w:szCs w:val="24"/>
          <w:lang w:eastAsia="en-IN"/>
        </w:rPr>
      </w:pPr>
      <w:r w:rsidRPr="00B81106">
        <w:rPr>
          <w:sz w:val="24"/>
          <w:szCs w:val="24"/>
          <w:lang w:eastAsia="en-IN"/>
        </w:rPr>
        <w:t>The Portfolio Allocation table shows how each client's investments are distributed across different asset classes: equities, bonds, real estate, alternatives, and cash. Here's a brief interpretation:</w:t>
      </w:r>
    </w:p>
    <w:p w14:paraId="4444ABF5" w14:textId="77777777" w:rsidR="00B81106" w:rsidRPr="00B81106" w:rsidRDefault="00B81106" w:rsidP="00B81106">
      <w:pPr>
        <w:rPr>
          <w:sz w:val="24"/>
          <w:szCs w:val="24"/>
          <w:lang w:eastAsia="en-IN"/>
        </w:rPr>
      </w:pPr>
      <w:r w:rsidRPr="00B81106">
        <w:rPr>
          <w:b/>
          <w:bCs/>
          <w:sz w:val="24"/>
          <w:szCs w:val="24"/>
          <w:lang w:eastAsia="en-IN"/>
        </w:rPr>
        <w:t>Client 1001</w:t>
      </w:r>
    </w:p>
    <w:p w14:paraId="1985AFEC" w14:textId="77777777" w:rsidR="00B81106" w:rsidRPr="00B81106" w:rsidRDefault="00B81106" w:rsidP="00B81106">
      <w:pPr>
        <w:pStyle w:val="ListParagraph"/>
        <w:numPr>
          <w:ilvl w:val="0"/>
          <w:numId w:val="14"/>
        </w:numPr>
        <w:rPr>
          <w:sz w:val="24"/>
          <w:szCs w:val="24"/>
          <w:lang w:eastAsia="en-IN"/>
        </w:rPr>
      </w:pPr>
      <w:r w:rsidRPr="00B81106">
        <w:rPr>
          <w:b/>
          <w:bCs/>
          <w:sz w:val="24"/>
          <w:szCs w:val="24"/>
          <w:lang w:eastAsia="en-IN"/>
        </w:rPr>
        <w:t>Equities (50%), Bonds (30%), Real Estate (10%), Alternatives (5%), Cash (5%)</w:t>
      </w:r>
    </w:p>
    <w:p w14:paraId="38BAA303" w14:textId="77777777" w:rsidR="00B81106" w:rsidRPr="00B81106" w:rsidRDefault="00B81106" w:rsidP="00B81106">
      <w:pPr>
        <w:pStyle w:val="ListParagraph"/>
        <w:numPr>
          <w:ilvl w:val="0"/>
          <w:numId w:val="14"/>
        </w:numPr>
        <w:rPr>
          <w:sz w:val="24"/>
          <w:szCs w:val="24"/>
          <w:lang w:eastAsia="en-IN"/>
        </w:rPr>
      </w:pPr>
      <w:r w:rsidRPr="00B81106">
        <w:rPr>
          <w:b/>
          <w:bCs/>
          <w:sz w:val="24"/>
          <w:szCs w:val="24"/>
          <w:lang w:eastAsia="en-IN"/>
        </w:rPr>
        <w:t>Moderate risk profile</w:t>
      </w:r>
      <w:r w:rsidRPr="00B81106">
        <w:rPr>
          <w:sz w:val="24"/>
          <w:szCs w:val="24"/>
          <w:lang w:eastAsia="en-IN"/>
        </w:rPr>
        <w:t xml:space="preserve"> with a balanced allocation, aiming for a mix of growth (equities) and stability (bonds), along with some real estate and alternative investments for diversification.</w:t>
      </w:r>
    </w:p>
    <w:p w14:paraId="6B0C7F5B" w14:textId="77777777" w:rsidR="00B81106" w:rsidRPr="00B81106" w:rsidRDefault="00B81106" w:rsidP="00B81106">
      <w:pPr>
        <w:rPr>
          <w:sz w:val="24"/>
          <w:szCs w:val="24"/>
          <w:lang w:eastAsia="en-IN"/>
        </w:rPr>
      </w:pPr>
      <w:r w:rsidRPr="00B81106">
        <w:rPr>
          <w:b/>
          <w:bCs/>
          <w:sz w:val="24"/>
          <w:szCs w:val="24"/>
          <w:lang w:eastAsia="en-IN"/>
        </w:rPr>
        <w:t>Client 1002</w:t>
      </w:r>
    </w:p>
    <w:p w14:paraId="597EBB05" w14:textId="77777777" w:rsidR="00B81106" w:rsidRPr="00B81106" w:rsidRDefault="00B81106" w:rsidP="00B81106">
      <w:pPr>
        <w:pStyle w:val="ListParagraph"/>
        <w:numPr>
          <w:ilvl w:val="0"/>
          <w:numId w:val="13"/>
        </w:numPr>
        <w:rPr>
          <w:sz w:val="24"/>
          <w:szCs w:val="24"/>
          <w:lang w:eastAsia="en-IN"/>
        </w:rPr>
      </w:pPr>
      <w:r w:rsidRPr="00B81106">
        <w:rPr>
          <w:b/>
          <w:bCs/>
          <w:sz w:val="24"/>
          <w:szCs w:val="24"/>
          <w:lang w:eastAsia="en-IN"/>
        </w:rPr>
        <w:t>Equities (30%), Bonds (50%), Real Estate (10%), Alternatives (5%), Cash (5%)</w:t>
      </w:r>
    </w:p>
    <w:p w14:paraId="6DD99D7C" w14:textId="77777777" w:rsidR="00B81106" w:rsidRPr="00B81106" w:rsidRDefault="00B81106" w:rsidP="00B81106">
      <w:pPr>
        <w:pStyle w:val="ListParagraph"/>
        <w:numPr>
          <w:ilvl w:val="0"/>
          <w:numId w:val="13"/>
        </w:numPr>
        <w:rPr>
          <w:sz w:val="24"/>
          <w:szCs w:val="24"/>
          <w:lang w:eastAsia="en-IN"/>
        </w:rPr>
      </w:pPr>
      <w:r w:rsidRPr="00B81106">
        <w:rPr>
          <w:b/>
          <w:bCs/>
          <w:sz w:val="24"/>
          <w:szCs w:val="24"/>
          <w:lang w:eastAsia="en-IN"/>
        </w:rPr>
        <w:t>Conservative approach</w:t>
      </w:r>
      <w:r w:rsidRPr="00B81106">
        <w:rPr>
          <w:sz w:val="24"/>
          <w:szCs w:val="24"/>
          <w:lang w:eastAsia="en-IN"/>
        </w:rPr>
        <w:t>, heavily weighted towards bonds for stability and income, suitable for wealth preservation. Lower allocation to equities reflects lower risk tolerance.</w:t>
      </w:r>
    </w:p>
    <w:p w14:paraId="507B82C0" w14:textId="77777777" w:rsidR="00B81106" w:rsidRPr="00B81106" w:rsidRDefault="00B81106" w:rsidP="00B81106">
      <w:pPr>
        <w:rPr>
          <w:sz w:val="24"/>
          <w:szCs w:val="24"/>
          <w:lang w:eastAsia="en-IN"/>
        </w:rPr>
      </w:pPr>
      <w:r w:rsidRPr="00B81106">
        <w:rPr>
          <w:b/>
          <w:bCs/>
          <w:sz w:val="24"/>
          <w:szCs w:val="24"/>
          <w:lang w:eastAsia="en-IN"/>
        </w:rPr>
        <w:lastRenderedPageBreak/>
        <w:t>Client 1003</w:t>
      </w:r>
    </w:p>
    <w:p w14:paraId="2D53DE63" w14:textId="77777777" w:rsidR="00B81106" w:rsidRPr="00B81106" w:rsidRDefault="00B81106" w:rsidP="00B81106">
      <w:pPr>
        <w:pStyle w:val="ListParagraph"/>
        <w:numPr>
          <w:ilvl w:val="0"/>
          <w:numId w:val="12"/>
        </w:numPr>
        <w:rPr>
          <w:sz w:val="24"/>
          <w:szCs w:val="24"/>
          <w:lang w:eastAsia="en-IN"/>
        </w:rPr>
      </w:pPr>
      <w:r w:rsidRPr="00B81106">
        <w:rPr>
          <w:b/>
          <w:bCs/>
          <w:sz w:val="24"/>
          <w:szCs w:val="24"/>
          <w:lang w:eastAsia="en-IN"/>
        </w:rPr>
        <w:t>Equities (70%), Bonds (10%), Real Estate (10%), Alternatives (5%), Cash (5%)</w:t>
      </w:r>
    </w:p>
    <w:p w14:paraId="05873F41" w14:textId="77777777" w:rsidR="00B81106" w:rsidRPr="00B81106" w:rsidRDefault="00B81106" w:rsidP="00B81106">
      <w:pPr>
        <w:pStyle w:val="ListParagraph"/>
        <w:numPr>
          <w:ilvl w:val="0"/>
          <w:numId w:val="12"/>
        </w:numPr>
        <w:rPr>
          <w:sz w:val="24"/>
          <w:szCs w:val="24"/>
          <w:lang w:eastAsia="en-IN"/>
        </w:rPr>
      </w:pPr>
      <w:r w:rsidRPr="00B81106">
        <w:rPr>
          <w:b/>
          <w:bCs/>
          <w:sz w:val="24"/>
          <w:szCs w:val="24"/>
          <w:lang w:eastAsia="en-IN"/>
        </w:rPr>
        <w:t>Aggressive growth strategy</w:t>
      </w:r>
      <w:r w:rsidRPr="00B81106">
        <w:rPr>
          <w:sz w:val="24"/>
          <w:szCs w:val="24"/>
          <w:lang w:eastAsia="en-IN"/>
        </w:rPr>
        <w:t>, with a high allocation to equities aiming for capital appreciation. Minimal investment in bonds, indicating a higher risk tolerance and longer investment horizon.</w:t>
      </w:r>
    </w:p>
    <w:p w14:paraId="30925870" w14:textId="77777777" w:rsidR="00B81106" w:rsidRPr="00B81106" w:rsidRDefault="00B81106" w:rsidP="00B81106">
      <w:pPr>
        <w:rPr>
          <w:sz w:val="24"/>
          <w:szCs w:val="24"/>
          <w:lang w:eastAsia="en-IN"/>
        </w:rPr>
      </w:pPr>
      <w:r w:rsidRPr="00B81106">
        <w:rPr>
          <w:b/>
          <w:bCs/>
          <w:sz w:val="24"/>
          <w:szCs w:val="24"/>
          <w:lang w:eastAsia="en-IN"/>
        </w:rPr>
        <w:t>Client 1004</w:t>
      </w:r>
    </w:p>
    <w:p w14:paraId="79578086" w14:textId="77777777" w:rsidR="00B81106" w:rsidRPr="00B81106" w:rsidRDefault="00B81106" w:rsidP="00B81106">
      <w:pPr>
        <w:pStyle w:val="ListParagraph"/>
        <w:numPr>
          <w:ilvl w:val="0"/>
          <w:numId w:val="11"/>
        </w:numPr>
        <w:rPr>
          <w:sz w:val="24"/>
          <w:szCs w:val="24"/>
          <w:lang w:eastAsia="en-IN"/>
        </w:rPr>
      </w:pPr>
      <w:r w:rsidRPr="00B81106">
        <w:rPr>
          <w:b/>
          <w:bCs/>
          <w:sz w:val="24"/>
          <w:szCs w:val="24"/>
          <w:lang w:eastAsia="en-IN"/>
        </w:rPr>
        <w:t>Equities (50%), Bonds (30%), Real Estate (10%), Alternatives (5%), Cash (5%)</w:t>
      </w:r>
    </w:p>
    <w:p w14:paraId="2CEA8B98" w14:textId="77777777" w:rsidR="00B81106" w:rsidRPr="00B81106" w:rsidRDefault="00B81106" w:rsidP="00B81106">
      <w:pPr>
        <w:pStyle w:val="ListParagraph"/>
        <w:numPr>
          <w:ilvl w:val="0"/>
          <w:numId w:val="11"/>
        </w:numPr>
        <w:rPr>
          <w:sz w:val="24"/>
          <w:szCs w:val="24"/>
          <w:lang w:eastAsia="en-IN"/>
        </w:rPr>
      </w:pPr>
      <w:r w:rsidRPr="00B81106">
        <w:rPr>
          <w:b/>
          <w:bCs/>
          <w:sz w:val="24"/>
          <w:szCs w:val="24"/>
          <w:lang w:eastAsia="en-IN"/>
        </w:rPr>
        <w:t>Moderate risk profile</w:t>
      </w:r>
      <w:r w:rsidRPr="00B81106">
        <w:rPr>
          <w:sz w:val="24"/>
          <w:szCs w:val="24"/>
          <w:lang w:eastAsia="en-IN"/>
        </w:rPr>
        <w:t xml:space="preserve">, </w:t>
      </w:r>
      <w:proofErr w:type="gramStart"/>
      <w:r w:rsidRPr="00B81106">
        <w:rPr>
          <w:sz w:val="24"/>
          <w:szCs w:val="24"/>
          <w:lang w:eastAsia="en-IN"/>
        </w:rPr>
        <w:t>similar to</w:t>
      </w:r>
      <w:proofErr w:type="gramEnd"/>
      <w:r w:rsidRPr="00B81106">
        <w:rPr>
          <w:sz w:val="24"/>
          <w:szCs w:val="24"/>
          <w:lang w:eastAsia="en-IN"/>
        </w:rPr>
        <w:t xml:space="preserve"> Client 1001, with a balanced mix of growth and stability. Suitable for someone preparing for education funding while approaching retirement.</w:t>
      </w:r>
    </w:p>
    <w:p w14:paraId="3CFA03E3" w14:textId="77777777" w:rsidR="00B81106" w:rsidRPr="00B81106" w:rsidRDefault="00B81106" w:rsidP="00B81106">
      <w:pPr>
        <w:rPr>
          <w:sz w:val="24"/>
          <w:szCs w:val="24"/>
          <w:lang w:eastAsia="en-IN"/>
        </w:rPr>
      </w:pPr>
      <w:r w:rsidRPr="00B81106">
        <w:rPr>
          <w:b/>
          <w:bCs/>
          <w:sz w:val="24"/>
          <w:szCs w:val="24"/>
          <w:lang w:eastAsia="en-IN"/>
        </w:rPr>
        <w:t>Client 1005</w:t>
      </w:r>
    </w:p>
    <w:p w14:paraId="5E73E1BF" w14:textId="77777777" w:rsidR="00B81106" w:rsidRPr="00B81106" w:rsidRDefault="00B81106" w:rsidP="00B81106">
      <w:pPr>
        <w:pStyle w:val="ListParagraph"/>
        <w:numPr>
          <w:ilvl w:val="0"/>
          <w:numId w:val="10"/>
        </w:numPr>
        <w:rPr>
          <w:sz w:val="24"/>
          <w:szCs w:val="24"/>
          <w:lang w:eastAsia="en-IN"/>
        </w:rPr>
      </w:pPr>
      <w:r w:rsidRPr="00B81106">
        <w:rPr>
          <w:b/>
          <w:bCs/>
          <w:sz w:val="24"/>
          <w:szCs w:val="24"/>
          <w:lang w:eastAsia="en-IN"/>
        </w:rPr>
        <w:t>Equities (60%), Bonds (20%), Real Estate (10%), Alternatives (5%), Cash (5%)</w:t>
      </w:r>
    </w:p>
    <w:p w14:paraId="1EA844C4" w14:textId="77777777" w:rsidR="00B81106" w:rsidRPr="00B81106" w:rsidRDefault="00B81106" w:rsidP="00B81106">
      <w:pPr>
        <w:pStyle w:val="ListParagraph"/>
        <w:numPr>
          <w:ilvl w:val="0"/>
          <w:numId w:val="10"/>
        </w:numPr>
        <w:rPr>
          <w:sz w:val="24"/>
          <w:szCs w:val="24"/>
          <w:lang w:eastAsia="en-IN"/>
        </w:rPr>
      </w:pPr>
      <w:r w:rsidRPr="00B81106">
        <w:rPr>
          <w:b/>
          <w:bCs/>
          <w:sz w:val="24"/>
          <w:szCs w:val="24"/>
          <w:lang w:eastAsia="en-IN"/>
        </w:rPr>
        <w:t>Moderate-aggressive strategy</w:t>
      </w:r>
      <w:r w:rsidRPr="00B81106">
        <w:rPr>
          <w:sz w:val="24"/>
          <w:szCs w:val="24"/>
          <w:lang w:eastAsia="en-IN"/>
        </w:rPr>
        <w:t>, with a higher focus on equities for growth, but still maintaining some bonds for stability. This diversification helps manage risk.</w:t>
      </w:r>
    </w:p>
    <w:p w14:paraId="3862C7A7" w14:textId="77777777" w:rsidR="00B81106" w:rsidRPr="00B81106" w:rsidRDefault="00B81106" w:rsidP="00B81106">
      <w:pPr>
        <w:rPr>
          <w:sz w:val="24"/>
          <w:szCs w:val="24"/>
          <w:lang w:eastAsia="en-IN"/>
        </w:rPr>
      </w:pPr>
      <w:r w:rsidRPr="00B81106">
        <w:rPr>
          <w:b/>
          <w:bCs/>
          <w:sz w:val="24"/>
          <w:szCs w:val="24"/>
          <w:lang w:eastAsia="en-IN"/>
        </w:rPr>
        <w:t>Summary</w:t>
      </w:r>
    </w:p>
    <w:p w14:paraId="40923134" w14:textId="77777777" w:rsidR="00B81106" w:rsidRPr="00B81106" w:rsidRDefault="00B81106" w:rsidP="00B81106">
      <w:pPr>
        <w:rPr>
          <w:sz w:val="24"/>
          <w:szCs w:val="24"/>
          <w:lang w:eastAsia="en-IN"/>
        </w:rPr>
      </w:pPr>
      <w:r w:rsidRPr="00B81106">
        <w:rPr>
          <w:sz w:val="24"/>
          <w:szCs w:val="24"/>
          <w:lang w:eastAsia="en-IN"/>
        </w:rPr>
        <w:t>The portfolio allocations reflect each client's risk tolerance and investment goals:</w:t>
      </w:r>
    </w:p>
    <w:p w14:paraId="43766212" w14:textId="77777777" w:rsidR="00B81106" w:rsidRPr="00B81106" w:rsidRDefault="00B81106" w:rsidP="00B81106">
      <w:pPr>
        <w:pStyle w:val="ListParagraph"/>
        <w:numPr>
          <w:ilvl w:val="0"/>
          <w:numId w:val="9"/>
        </w:numPr>
        <w:rPr>
          <w:sz w:val="24"/>
          <w:szCs w:val="24"/>
          <w:lang w:eastAsia="en-IN"/>
        </w:rPr>
      </w:pPr>
      <w:r w:rsidRPr="00B81106">
        <w:rPr>
          <w:b/>
          <w:bCs/>
          <w:sz w:val="24"/>
          <w:szCs w:val="24"/>
          <w:lang w:eastAsia="en-IN"/>
        </w:rPr>
        <w:t>Clients 1001 and 1004 (Moderate risk):</w:t>
      </w:r>
      <w:r w:rsidRPr="00B81106">
        <w:rPr>
          <w:sz w:val="24"/>
          <w:szCs w:val="24"/>
          <w:lang w:eastAsia="en-IN"/>
        </w:rPr>
        <w:t xml:space="preserve"> Balanced mix of equities and bonds, suitable for growth and stability.</w:t>
      </w:r>
    </w:p>
    <w:p w14:paraId="2F9D1FA3" w14:textId="77777777" w:rsidR="00B81106" w:rsidRPr="00B81106" w:rsidRDefault="00B81106" w:rsidP="00B81106">
      <w:pPr>
        <w:pStyle w:val="ListParagraph"/>
        <w:numPr>
          <w:ilvl w:val="0"/>
          <w:numId w:val="9"/>
        </w:numPr>
        <w:rPr>
          <w:sz w:val="24"/>
          <w:szCs w:val="24"/>
          <w:lang w:eastAsia="en-IN"/>
        </w:rPr>
      </w:pPr>
      <w:r w:rsidRPr="00B81106">
        <w:rPr>
          <w:b/>
          <w:bCs/>
          <w:sz w:val="24"/>
          <w:szCs w:val="24"/>
          <w:lang w:eastAsia="en-IN"/>
        </w:rPr>
        <w:t>Client 1002 (Conservative):</w:t>
      </w:r>
      <w:r w:rsidRPr="00B81106">
        <w:rPr>
          <w:sz w:val="24"/>
          <w:szCs w:val="24"/>
          <w:lang w:eastAsia="en-IN"/>
        </w:rPr>
        <w:t xml:space="preserve"> Heavy bond allocation for wealth preservation.</w:t>
      </w:r>
    </w:p>
    <w:p w14:paraId="39D3748D" w14:textId="77777777" w:rsidR="00B81106" w:rsidRPr="00B81106" w:rsidRDefault="00B81106" w:rsidP="00B81106">
      <w:pPr>
        <w:pStyle w:val="ListParagraph"/>
        <w:numPr>
          <w:ilvl w:val="0"/>
          <w:numId w:val="9"/>
        </w:numPr>
        <w:rPr>
          <w:sz w:val="24"/>
          <w:szCs w:val="24"/>
          <w:lang w:eastAsia="en-IN"/>
        </w:rPr>
      </w:pPr>
      <w:r w:rsidRPr="00B81106">
        <w:rPr>
          <w:b/>
          <w:bCs/>
          <w:sz w:val="24"/>
          <w:szCs w:val="24"/>
          <w:lang w:eastAsia="en-IN"/>
        </w:rPr>
        <w:t>Client 1003 (Aggressive):</w:t>
      </w:r>
      <w:r w:rsidRPr="00B81106">
        <w:rPr>
          <w:sz w:val="24"/>
          <w:szCs w:val="24"/>
          <w:lang w:eastAsia="en-IN"/>
        </w:rPr>
        <w:t xml:space="preserve"> High equity allocation for maximum growth.</w:t>
      </w:r>
    </w:p>
    <w:p w14:paraId="002B11E1" w14:textId="77777777" w:rsidR="00B81106" w:rsidRPr="00B81106" w:rsidRDefault="00B81106" w:rsidP="00B81106">
      <w:pPr>
        <w:pStyle w:val="ListParagraph"/>
        <w:numPr>
          <w:ilvl w:val="0"/>
          <w:numId w:val="9"/>
        </w:numPr>
        <w:rPr>
          <w:sz w:val="24"/>
          <w:szCs w:val="24"/>
          <w:lang w:eastAsia="en-IN"/>
        </w:rPr>
      </w:pPr>
      <w:r w:rsidRPr="00B81106">
        <w:rPr>
          <w:b/>
          <w:bCs/>
          <w:sz w:val="24"/>
          <w:szCs w:val="24"/>
          <w:lang w:eastAsia="en-IN"/>
        </w:rPr>
        <w:t>Client 1005 (Moderate-aggressive):</w:t>
      </w:r>
      <w:r w:rsidRPr="00B81106">
        <w:rPr>
          <w:sz w:val="24"/>
          <w:szCs w:val="24"/>
          <w:lang w:eastAsia="en-IN"/>
        </w:rPr>
        <w:t xml:space="preserve"> Higher equity focus with some bonds for risk management.</w:t>
      </w:r>
    </w:p>
    <w:p w14:paraId="0F599140" w14:textId="77777777" w:rsidR="00B81106" w:rsidRPr="00B81106" w:rsidRDefault="00B81106" w:rsidP="00B81106">
      <w:pPr>
        <w:rPr>
          <w:sz w:val="24"/>
          <w:szCs w:val="24"/>
          <w:lang w:eastAsia="en-IN"/>
        </w:rPr>
      </w:pPr>
      <w:r w:rsidRPr="00B81106">
        <w:rPr>
          <w:sz w:val="24"/>
          <w:szCs w:val="24"/>
          <w:lang w:eastAsia="en-IN"/>
        </w:rPr>
        <w:t>These allocations align with the clients' demographics and financial objectives, ensuring tailored investment strategies.</w:t>
      </w:r>
    </w:p>
    <w:p w14:paraId="32B01745" w14:textId="06D72EF7" w:rsidR="00B81106" w:rsidRPr="00153510" w:rsidRDefault="00B81106" w:rsidP="00153510">
      <w:pPr>
        <w:pStyle w:val="Heading2"/>
        <w:rPr>
          <w:rFonts w:eastAsia="Times New Roman"/>
          <w:lang w:eastAsia="en-IN"/>
        </w:rPr>
      </w:pPr>
      <w:r w:rsidRPr="00B81106">
        <w:rPr>
          <w:rFonts w:eastAsia="Times New Roman"/>
          <w:lang w:eastAsia="en-IN"/>
        </w:rPr>
        <w:t>Risk Assessment Metrics</w:t>
      </w:r>
    </w:p>
    <w:tbl>
      <w:tblPr>
        <w:tblStyle w:val="TableGrid"/>
        <w:tblW w:w="6848" w:type="dxa"/>
        <w:tblLook w:val="04A0" w:firstRow="1" w:lastRow="0" w:firstColumn="1" w:lastColumn="0" w:noHBand="0" w:noVBand="1"/>
      </w:tblPr>
      <w:tblGrid>
        <w:gridCol w:w="1082"/>
        <w:gridCol w:w="1196"/>
        <w:gridCol w:w="1103"/>
        <w:gridCol w:w="1601"/>
        <w:gridCol w:w="1866"/>
      </w:tblGrid>
      <w:tr w:rsidR="00B81106" w:rsidRPr="00B81106" w14:paraId="23441F08" w14:textId="77777777" w:rsidTr="00B81106">
        <w:trPr>
          <w:trHeight w:val="905"/>
        </w:trPr>
        <w:tc>
          <w:tcPr>
            <w:tcW w:w="1082" w:type="dxa"/>
            <w:hideMark/>
          </w:tcPr>
          <w:p w14:paraId="642A3385" w14:textId="77777777" w:rsidR="00B81106" w:rsidRPr="00B81106" w:rsidRDefault="00B81106" w:rsidP="00B81106">
            <w:pPr>
              <w:jc w:val="center"/>
              <w:rPr>
                <w:rFonts w:ascii="Aptos Narrow" w:eastAsia="Times New Roman" w:hAnsi="Aptos Narrow" w:cs="Times New Roman"/>
                <w:b/>
                <w:bCs/>
                <w:color w:val="000000"/>
                <w:kern w:val="0"/>
                <w:sz w:val="24"/>
                <w:szCs w:val="24"/>
                <w:lang w:eastAsia="en-IN"/>
                <w14:ligatures w14:val="none"/>
              </w:rPr>
            </w:pPr>
            <w:r w:rsidRPr="00B81106">
              <w:rPr>
                <w:rFonts w:ascii="Aptos Narrow" w:eastAsia="Times New Roman" w:hAnsi="Aptos Narrow" w:cs="Times New Roman"/>
                <w:b/>
                <w:bCs/>
                <w:color w:val="000000"/>
                <w:kern w:val="0"/>
                <w:sz w:val="24"/>
                <w:szCs w:val="24"/>
                <w:lang w:eastAsia="en-IN"/>
                <w14:ligatures w14:val="none"/>
              </w:rPr>
              <w:t>Client ID</w:t>
            </w:r>
          </w:p>
        </w:tc>
        <w:tc>
          <w:tcPr>
            <w:tcW w:w="1196" w:type="dxa"/>
            <w:hideMark/>
          </w:tcPr>
          <w:p w14:paraId="420754C6" w14:textId="77777777" w:rsidR="00B81106" w:rsidRPr="00B81106" w:rsidRDefault="00B81106" w:rsidP="00B81106">
            <w:pPr>
              <w:jc w:val="center"/>
              <w:rPr>
                <w:rFonts w:ascii="Aptos Narrow" w:eastAsia="Times New Roman" w:hAnsi="Aptos Narrow" w:cs="Times New Roman"/>
                <w:b/>
                <w:bCs/>
                <w:color w:val="000000"/>
                <w:kern w:val="0"/>
                <w:sz w:val="24"/>
                <w:szCs w:val="24"/>
                <w:lang w:eastAsia="en-IN"/>
                <w14:ligatures w14:val="none"/>
              </w:rPr>
            </w:pPr>
            <w:r w:rsidRPr="00B81106">
              <w:rPr>
                <w:rFonts w:ascii="Aptos Narrow" w:eastAsia="Times New Roman" w:hAnsi="Aptos Narrow" w:cs="Times New Roman"/>
                <w:b/>
                <w:bCs/>
                <w:color w:val="000000"/>
                <w:kern w:val="0"/>
                <w:sz w:val="24"/>
                <w:szCs w:val="24"/>
                <w:lang w:eastAsia="en-IN"/>
                <w14:ligatures w14:val="none"/>
              </w:rPr>
              <w:t>Market Risk (Beta)</w:t>
            </w:r>
          </w:p>
        </w:tc>
        <w:tc>
          <w:tcPr>
            <w:tcW w:w="1103" w:type="dxa"/>
            <w:hideMark/>
          </w:tcPr>
          <w:p w14:paraId="2E4C1981" w14:textId="77777777" w:rsidR="00B81106" w:rsidRPr="00B81106" w:rsidRDefault="00B81106" w:rsidP="00B81106">
            <w:pPr>
              <w:jc w:val="center"/>
              <w:rPr>
                <w:rFonts w:ascii="Aptos Narrow" w:eastAsia="Times New Roman" w:hAnsi="Aptos Narrow" w:cs="Times New Roman"/>
                <w:b/>
                <w:bCs/>
                <w:color w:val="000000"/>
                <w:kern w:val="0"/>
                <w:sz w:val="24"/>
                <w:szCs w:val="24"/>
                <w:lang w:eastAsia="en-IN"/>
                <w14:ligatures w14:val="none"/>
              </w:rPr>
            </w:pPr>
            <w:r w:rsidRPr="00B81106">
              <w:rPr>
                <w:rFonts w:ascii="Aptos Narrow" w:eastAsia="Times New Roman" w:hAnsi="Aptos Narrow" w:cs="Times New Roman"/>
                <w:b/>
                <w:bCs/>
                <w:color w:val="000000"/>
                <w:kern w:val="0"/>
                <w:sz w:val="24"/>
                <w:szCs w:val="24"/>
                <w:lang w:eastAsia="en-IN"/>
                <w14:ligatures w14:val="none"/>
              </w:rPr>
              <w:t>Credit Risk Score</w:t>
            </w:r>
          </w:p>
        </w:tc>
        <w:tc>
          <w:tcPr>
            <w:tcW w:w="1601" w:type="dxa"/>
            <w:hideMark/>
          </w:tcPr>
          <w:p w14:paraId="387B4115" w14:textId="77777777" w:rsidR="00B81106" w:rsidRPr="00B81106" w:rsidRDefault="00B81106" w:rsidP="00B81106">
            <w:pPr>
              <w:jc w:val="center"/>
              <w:rPr>
                <w:rFonts w:ascii="Aptos Narrow" w:eastAsia="Times New Roman" w:hAnsi="Aptos Narrow" w:cs="Times New Roman"/>
                <w:b/>
                <w:bCs/>
                <w:color w:val="000000"/>
                <w:kern w:val="0"/>
                <w:sz w:val="24"/>
                <w:szCs w:val="24"/>
                <w:lang w:eastAsia="en-IN"/>
                <w14:ligatures w14:val="none"/>
              </w:rPr>
            </w:pPr>
            <w:r w:rsidRPr="00B81106">
              <w:rPr>
                <w:rFonts w:ascii="Aptos Narrow" w:eastAsia="Times New Roman" w:hAnsi="Aptos Narrow" w:cs="Times New Roman"/>
                <w:b/>
                <w:bCs/>
                <w:color w:val="000000"/>
                <w:kern w:val="0"/>
                <w:sz w:val="24"/>
                <w:szCs w:val="24"/>
                <w:lang w:eastAsia="en-IN"/>
                <w14:ligatures w14:val="none"/>
              </w:rPr>
              <w:t>Liquidity Risk (Days to Liquidate)</w:t>
            </w:r>
          </w:p>
        </w:tc>
        <w:tc>
          <w:tcPr>
            <w:tcW w:w="1866" w:type="dxa"/>
            <w:hideMark/>
          </w:tcPr>
          <w:p w14:paraId="6B7C8696" w14:textId="77777777" w:rsidR="00B81106" w:rsidRPr="00B81106" w:rsidRDefault="00B81106" w:rsidP="00B81106">
            <w:pPr>
              <w:jc w:val="center"/>
              <w:rPr>
                <w:rFonts w:ascii="Aptos Narrow" w:eastAsia="Times New Roman" w:hAnsi="Aptos Narrow" w:cs="Times New Roman"/>
                <w:b/>
                <w:bCs/>
                <w:color w:val="000000"/>
                <w:kern w:val="0"/>
                <w:sz w:val="24"/>
                <w:szCs w:val="24"/>
                <w:lang w:eastAsia="en-IN"/>
                <w14:ligatures w14:val="none"/>
              </w:rPr>
            </w:pPr>
            <w:r w:rsidRPr="00B81106">
              <w:rPr>
                <w:rFonts w:ascii="Aptos Narrow" w:eastAsia="Times New Roman" w:hAnsi="Aptos Narrow" w:cs="Times New Roman"/>
                <w:b/>
                <w:bCs/>
                <w:color w:val="000000"/>
                <w:kern w:val="0"/>
                <w:sz w:val="24"/>
                <w:szCs w:val="24"/>
                <w:lang w:eastAsia="en-IN"/>
                <w14:ligatures w14:val="none"/>
              </w:rPr>
              <w:t>Compliance Risk (Incidents per Year)</w:t>
            </w:r>
          </w:p>
        </w:tc>
      </w:tr>
      <w:tr w:rsidR="00B81106" w:rsidRPr="00B81106" w14:paraId="065D5385" w14:textId="77777777" w:rsidTr="00B81106">
        <w:trPr>
          <w:trHeight w:val="298"/>
        </w:trPr>
        <w:tc>
          <w:tcPr>
            <w:tcW w:w="1082" w:type="dxa"/>
            <w:hideMark/>
          </w:tcPr>
          <w:p w14:paraId="0767372C"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1001</w:t>
            </w:r>
          </w:p>
        </w:tc>
        <w:tc>
          <w:tcPr>
            <w:tcW w:w="1196" w:type="dxa"/>
            <w:hideMark/>
          </w:tcPr>
          <w:p w14:paraId="1DBC4E7B"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1.2</w:t>
            </w:r>
          </w:p>
        </w:tc>
        <w:tc>
          <w:tcPr>
            <w:tcW w:w="1103" w:type="dxa"/>
            <w:hideMark/>
          </w:tcPr>
          <w:p w14:paraId="5C1B80B3"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700</w:t>
            </w:r>
          </w:p>
        </w:tc>
        <w:tc>
          <w:tcPr>
            <w:tcW w:w="1601" w:type="dxa"/>
            <w:hideMark/>
          </w:tcPr>
          <w:p w14:paraId="26253FD3"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3</w:t>
            </w:r>
          </w:p>
        </w:tc>
        <w:tc>
          <w:tcPr>
            <w:tcW w:w="1866" w:type="dxa"/>
            <w:hideMark/>
          </w:tcPr>
          <w:p w14:paraId="7E0E5199"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0</w:t>
            </w:r>
          </w:p>
        </w:tc>
      </w:tr>
      <w:tr w:rsidR="00B81106" w:rsidRPr="00B81106" w14:paraId="6910ECC7" w14:textId="77777777" w:rsidTr="00B81106">
        <w:trPr>
          <w:trHeight w:val="298"/>
        </w:trPr>
        <w:tc>
          <w:tcPr>
            <w:tcW w:w="1082" w:type="dxa"/>
            <w:hideMark/>
          </w:tcPr>
          <w:p w14:paraId="4559CF63"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1002</w:t>
            </w:r>
          </w:p>
        </w:tc>
        <w:tc>
          <w:tcPr>
            <w:tcW w:w="1196" w:type="dxa"/>
            <w:hideMark/>
          </w:tcPr>
          <w:p w14:paraId="2175DA0A"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0.8</w:t>
            </w:r>
          </w:p>
        </w:tc>
        <w:tc>
          <w:tcPr>
            <w:tcW w:w="1103" w:type="dxa"/>
            <w:hideMark/>
          </w:tcPr>
          <w:p w14:paraId="413A79A4"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800</w:t>
            </w:r>
          </w:p>
        </w:tc>
        <w:tc>
          <w:tcPr>
            <w:tcW w:w="1601" w:type="dxa"/>
            <w:hideMark/>
          </w:tcPr>
          <w:p w14:paraId="7B595168"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2</w:t>
            </w:r>
          </w:p>
        </w:tc>
        <w:tc>
          <w:tcPr>
            <w:tcW w:w="1866" w:type="dxa"/>
            <w:hideMark/>
          </w:tcPr>
          <w:p w14:paraId="2C94F1E7"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0</w:t>
            </w:r>
          </w:p>
        </w:tc>
      </w:tr>
      <w:tr w:rsidR="00B81106" w:rsidRPr="00B81106" w14:paraId="7933EDC3" w14:textId="77777777" w:rsidTr="00B81106">
        <w:trPr>
          <w:trHeight w:val="298"/>
        </w:trPr>
        <w:tc>
          <w:tcPr>
            <w:tcW w:w="1082" w:type="dxa"/>
            <w:hideMark/>
          </w:tcPr>
          <w:p w14:paraId="49588188"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1003</w:t>
            </w:r>
          </w:p>
        </w:tc>
        <w:tc>
          <w:tcPr>
            <w:tcW w:w="1196" w:type="dxa"/>
            <w:hideMark/>
          </w:tcPr>
          <w:p w14:paraId="636E262E"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1.5</w:t>
            </w:r>
          </w:p>
        </w:tc>
        <w:tc>
          <w:tcPr>
            <w:tcW w:w="1103" w:type="dxa"/>
            <w:hideMark/>
          </w:tcPr>
          <w:p w14:paraId="13BBA282"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650</w:t>
            </w:r>
          </w:p>
        </w:tc>
        <w:tc>
          <w:tcPr>
            <w:tcW w:w="1601" w:type="dxa"/>
            <w:hideMark/>
          </w:tcPr>
          <w:p w14:paraId="20560901"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4</w:t>
            </w:r>
          </w:p>
        </w:tc>
        <w:tc>
          <w:tcPr>
            <w:tcW w:w="1866" w:type="dxa"/>
            <w:hideMark/>
          </w:tcPr>
          <w:p w14:paraId="1FA4328C"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1</w:t>
            </w:r>
          </w:p>
        </w:tc>
      </w:tr>
      <w:tr w:rsidR="00B81106" w:rsidRPr="00B81106" w14:paraId="0F85B4D2" w14:textId="77777777" w:rsidTr="00B81106">
        <w:trPr>
          <w:trHeight w:val="298"/>
        </w:trPr>
        <w:tc>
          <w:tcPr>
            <w:tcW w:w="1082" w:type="dxa"/>
            <w:hideMark/>
          </w:tcPr>
          <w:p w14:paraId="583547ED"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1004</w:t>
            </w:r>
          </w:p>
        </w:tc>
        <w:tc>
          <w:tcPr>
            <w:tcW w:w="1196" w:type="dxa"/>
            <w:hideMark/>
          </w:tcPr>
          <w:p w14:paraId="0F153321"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1.1</w:t>
            </w:r>
          </w:p>
        </w:tc>
        <w:tc>
          <w:tcPr>
            <w:tcW w:w="1103" w:type="dxa"/>
            <w:hideMark/>
          </w:tcPr>
          <w:p w14:paraId="3B573F46"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720</w:t>
            </w:r>
          </w:p>
        </w:tc>
        <w:tc>
          <w:tcPr>
            <w:tcW w:w="1601" w:type="dxa"/>
            <w:hideMark/>
          </w:tcPr>
          <w:p w14:paraId="1D232272"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3</w:t>
            </w:r>
          </w:p>
        </w:tc>
        <w:tc>
          <w:tcPr>
            <w:tcW w:w="1866" w:type="dxa"/>
            <w:hideMark/>
          </w:tcPr>
          <w:p w14:paraId="67ED23DD"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0</w:t>
            </w:r>
          </w:p>
        </w:tc>
      </w:tr>
      <w:tr w:rsidR="00B81106" w:rsidRPr="00B81106" w14:paraId="53F42E1C" w14:textId="77777777" w:rsidTr="00B81106">
        <w:trPr>
          <w:trHeight w:val="298"/>
        </w:trPr>
        <w:tc>
          <w:tcPr>
            <w:tcW w:w="1082" w:type="dxa"/>
            <w:hideMark/>
          </w:tcPr>
          <w:p w14:paraId="1776A679"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1005</w:t>
            </w:r>
          </w:p>
        </w:tc>
        <w:tc>
          <w:tcPr>
            <w:tcW w:w="1196" w:type="dxa"/>
            <w:hideMark/>
          </w:tcPr>
          <w:p w14:paraId="3DDD1CB1"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1.3</w:t>
            </w:r>
          </w:p>
        </w:tc>
        <w:tc>
          <w:tcPr>
            <w:tcW w:w="1103" w:type="dxa"/>
            <w:hideMark/>
          </w:tcPr>
          <w:p w14:paraId="66A276A2"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680</w:t>
            </w:r>
          </w:p>
        </w:tc>
        <w:tc>
          <w:tcPr>
            <w:tcW w:w="1601" w:type="dxa"/>
            <w:hideMark/>
          </w:tcPr>
          <w:p w14:paraId="01AE17DF"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3</w:t>
            </w:r>
          </w:p>
        </w:tc>
        <w:tc>
          <w:tcPr>
            <w:tcW w:w="1866" w:type="dxa"/>
            <w:hideMark/>
          </w:tcPr>
          <w:p w14:paraId="0ED67286"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0</w:t>
            </w:r>
          </w:p>
        </w:tc>
      </w:tr>
    </w:tbl>
    <w:p w14:paraId="08AE7463" w14:textId="77777777" w:rsidR="00B81106" w:rsidRPr="00B81106" w:rsidRDefault="00B81106" w:rsidP="00B81106">
      <w:pPr>
        <w:rPr>
          <w:sz w:val="24"/>
          <w:szCs w:val="24"/>
          <w:lang w:eastAsia="en-IN"/>
        </w:rPr>
      </w:pPr>
      <w:r w:rsidRPr="00B81106">
        <w:rPr>
          <w:b/>
          <w:bCs/>
          <w:sz w:val="24"/>
          <w:szCs w:val="24"/>
          <w:lang w:eastAsia="en-IN"/>
        </w:rPr>
        <w:t>Interpretation of Risk Assessment Metrics Table</w:t>
      </w:r>
    </w:p>
    <w:p w14:paraId="27B3ABDE" w14:textId="77777777" w:rsidR="00B81106" w:rsidRPr="00B81106" w:rsidRDefault="00B81106" w:rsidP="00B81106">
      <w:pPr>
        <w:rPr>
          <w:sz w:val="24"/>
          <w:szCs w:val="24"/>
          <w:lang w:eastAsia="en-IN"/>
        </w:rPr>
      </w:pPr>
      <w:r w:rsidRPr="00B81106">
        <w:rPr>
          <w:sz w:val="24"/>
          <w:szCs w:val="24"/>
          <w:lang w:eastAsia="en-IN"/>
        </w:rPr>
        <w:t>The Risk Assessment Metrics table provides key risk indicators for each client’s portfolio, including market risk (Beta), credit risk score, liquidity risk (days to liquidate), and compliance risk (incidents per year). Here’s a brief interpretation:</w:t>
      </w:r>
    </w:p>
    <w:p w14:paraId="32D53C71" w14:textId="77777777" w:rsidR="00B81106" w:rsidRPr="00B81106" w:rsidRDefault="00B81106" w:rsidP="00B81106">
      <w:pPr>
        <w:rPr>
          <w:sz w:val="24"/>
          <w:szCs w:val="24"/>
          <w:lang w:eastAsia="en-IN"/>
        </w:rPr>
      </w:pPr>
      <w:r w:rsidRPr="00B81106">
        <w:rPr>
          <w:b/>
          <w:bCs/>
          <w:sz w:val="24"/>
          <w:szCs w:val="24"/>
          <w:lang w:eastAsia="en-IN"/>
        </w:rPr>
        <w:lastRenderedPageBreak/>
        <w:t>Client 1001</w:t>
      </w:r>
    </w:p>
    <w:p w14:paraId="397C77E5" w14:textId="77777777" w:rsidR="00B81106" w:rsidRPr="00B81106" w:rsidRDefault="00B81106" w:rsidP="00B81106">
      <w:pPr>
        <w:pStyle w:val="ListParagraph"/>
        <w:numPr>
          <w:ilvl w:val="0"/>
          <w:numId w:val="20"/>
        </w:numPr>
        <w:rPr>
          <w:sz w:val="24"/>
          <w:szCs w:val="24"/>
          <w:lang w:eastAsia="en-IN"/>
        </w:rPr>
      </w:pPr>
      <w:r w:rsidRPr="00B81106">
        <w:rPr>
          <w:b/>
          <w:bCs/>
          <w:sz w:val="24"/>
          <w:szCs w:val="24"/>
          <w:lang w:eastAsia="en-IN"/>
        </w:rPr>
        <w:t>Market Risk (Beta 1.2):</w:t>
      </w:r>
      <w:r w:rsidRPr="00B81106">
        <w:rPr>
          <w:sz w:val="24"/>
          <w:szCs w:val="24"/>
          <w:lang w:eastAsia="en-IN"/>
        </w:rPr>
        <w:t xml:space="preserve"> Slightly higher market volatility compared to the overall market.</w:t>
      </w:r>
    </w:p>
    <w:p w14:paraId="7710528C" w14:textId="77777777" w:rsidR="00B81106" w:rsidRPr="00B81106" w:rsidRDefault="00B81106" w:rsidP="00B81106">
      <w:pPr>
        <w:pStyle w:val="ListParagraph"/>
        <w:numPr>
          <w:ilvl w:val="0"/>
          <w:numId w:val="20"/>
        </w:numPr>
        <w:rPr>
          <w:sz w:val="24"/>
          <w:szCs w:val="24"/>
          <w:lang w:eastAsia="en-IN"/>
        </w:rPr>
      </w:pPr>
      <w:r w:rsidRPr="00B81106">
        <w:rPr>
          <w:b/>
          <w:bCs/>
          <w:sz w:val="24"/>
          <w:szCs w:val="24"/>
          <w:lang w:eastAsia="en-IN"/>
        </w:rPr>
        <w:t>Credit Risk Score (700):</w:t>
      </w:r>
      <w:r w:rsidRPr="00B81106">
        <w:rPr>
          <w:sz w:val="24"/>
          <w:szCs w:val="24"/>
          <w:lang w:eastAsia="en-IN"/>
        </w:rPr>
        <w:t xml:space="preserve"> Moderate credit risk, indicating a reasonably good credit profile.</w:t>
      </w:r>
    </w:p>
    <w:p w14:paraId="483BB434" w14:textId="77777777" w:rsidR="00B81106" w:rsidRPr="00B81106" w:rsidRDefault="00B81106" w:rsidP="00B81106">
      <w:pPr>
        <w:pStyle w:val="ListParagraph"/>
        <w:numPr>
          <w:ilvl w:val="0"/>
          <w:numId w:val="20"/>
        </w:numPr>
        <w:rPr>
          <w:sz w:val="24"/>
          <w:szCs w:val="24"/>
          <w:lang w:eastAsia="en-IN"/>
        </w:rPr>
      </w:pPr>
      <w:r w:rsidRPr="00B81106">
        <w:rPr>
          <w:b/>
          <w:bCs/>
          <w:sz w:val="24"/>
          <w:szCs w:val="24"/>
          <w:lang w:eastAsia="en-IN"/>
        </w:rPr>
        <w:t>Liquidity Risk (3 days):</w:t>
      </w:r>
      <w:r w:rsidRPr="00B81106">
        <w:rPr>
          <w:sz w:val="24"/>
          <w:szCs w:val="24"/>
          <w:lang w:eastAsia="en-IN"/>
        </w:rPr>
        <w:t xml:space="preserve"> Moderate liquidity, can liquidate assets relatively quickly.</w:t>
      </w:r>
    </w:p>
    <w:p w14:paraId="357D05BC" w14:textId="77777777" w:rsidR="00B81106" w:rsidRPr="00B81106" w:rsidRDefault="00B81106" w:rsidP="00B81106">
      <w:pPr>
        <w:pStyle w:val="ListParagraph"/>
        <w:numPr>
          <w:ilvl w:val="0"/>
          <w:numId w:val="20"/>
        </w:numPr>
        <w:rPr>
          <w:sz w:val="24"/>
          <w:szCs w:val="24"/>
          <w:lang w:eastAsia="en-IN"/>
        </w:rPr>
      </w:pPr>
      <w:r w:rsidRPr="00B81106">
        <w:rPr>
          <w:b/>
          <w:bCs/>
          <w:sz w:val="24"/>
          <w:szCs w:val="24"/>
          <w:lang w:eastAsia="en-IN"/>
        </w:rPr>
        <w:t>Compliance Risk (0 incidents/year):</w:t>
      </w:r>
      <w:r w:rsidRPr="00B81106">
        <w:rPr>
          <w:sz w:val="24"/>
          <w:szCs w:val="24"/>
          <w:lang w:eastAsia="en-IN"/>
        </w:rPr>
        <w:t xml:space="preserve"> No compliance issues, indicating strong adherence to regulations.</w:t>
      </w:r>
    </w:p>
    <w:p w14:paraId="1851C4C8" w14:textId="77777777" w:rsidR="00B81106" w:rsidRPr="00B81106" w:rsidRDefault="00B81106" w:rsidP="00B81106">
      <w:pPr>
        <w:rPr>
          <w:sz w:val="24"/>
          <w:szCs w:val="24"/>
          <w:lang w:eastAsia="en-IN"/>
        </w:rPr>
      </w:pPr>
      <w:r w:rsidRPr="00B81106">
        <w:rPr>
          <w:b/>
          <w:bCs/>
          <w:sz w:val="24"/>
          <w:szCs w:val="24"/>
          <w:lang w:eastAsia="en-IN"/>
        </w:rPr>
        <w:t>Client 1002</w:t>
      </w:r>
    </w:p>
    <w:p w14:paraId="13F6EB13" w14:textId="77777777" w:rsidR="00B81106" w:rsidRPr="00B81106" w:rsidRDefault="00B81106" w:rsidP="00B81106">
      <w:pPr>
        <w:pStyle w:val="ListParagraph"/>
        <w:numPr>
          <w:ilvl w:val="0"/>
          <w:numId w:val="19"/>
        </w:numPr>
        <w:rPr>
          <w:sz w:val="24"/>
          <w:szCs w:val="24"/>
          <w:lang w:eastAsia="en-IN"/>
        </w:rPr>
      </w:pPr>
      <w:r w:rsidRPr="00B81106">
        <w:rPr>
          <w:b/>
          <w:bCs/>
          <w:sz w:val="24"/>
          <w:szCs w:val="24"/>
          <w:lang w:eastAsia="en-IN"/>
        </w:rPr>
        <w:t>Market Risk (Beta 0.8):</w:t>
      </w:r>
      <w:r w:rsidRPr="00B81106">
        <w:rPr>
          <w:sz w:val="24"/>
          <w:szCs w:val="24"/>
          <w:lang w:eastAsia="en-IN"/>
        </w:rPr>
        <w:t xml:space="preserve"> Lower market volatility, indicating a conservative investment approach.</w:t>
      </w:r>
    </w:p>
    <w:p w14:paraId="02A4F725" w14:textId="77777777" w:rsidR="00B81106" w:rsidRPr="00B81106" w:rsidRDefault="00B81106" w:rsidP="00B81106">
      <w:pPr>
        <w:pStyle w:val="ListParagraph"/>
        <w:numPr>
          <w:ilvl w:val="0"/>
          <w:numId w:val="19"/>
        </w:numPr>
        <w:rPr>
          <w:sz w:val="24"/>
          <w:szCs w:val="24"/>
          <w:lang w:eastAsia="en-IN"/>
        </w:rPr>
      </w:pPr>
      <w:r w:rsidRPr="00B81106">
        <w:rPr>
          <w:b/>
          <w:bCs/>
          <w:sz w:val="24"/>
          <w:szCs w:val="24"/>
          <w:lang w:eastAsia="en-IN"/>
        </w:rPr>
        <w:t>Credit Risk Score (800):</w:t>
      </w:r>
      <w:r w:rsidRPr="00B81106">
        <w:rPr>
          <w:sz w:val="24"/>
          <w:szCs w:val="24"/>
          <w:lang w:eastAsia="en-IN"/>
        </w:rPr>
        <w:t xml:space="preserve"> Low credit risk, reflecting a very strong credit profile.</w:t>
      </w:r>
    </w:p>
    <w:p w14:paraId="0DAA059C" w14:textId="77777777" w:rsidR="00B81106" w:rsidRPr="00B81106" w:rsidRDefault="00B81106" w:rsidP="00B81106">
      <w:pPr>
        <w:pStyle w:val="ListParagraph"/>
        <w:numPr>
          <w:ilvl w:val="0"/>
          <w:numId w:val="19"/>
        </w:numPr>
        <w:rPr>
          <w:sz w:val="24"/>
          <w:szCs w:val="24"/>
          <w:lang w:eastAsia="en-IN"/>
        </w:rPr>
      </w:pPr>
      <w:r w:rsidRPr="00B81106">
        <w:rPr>
          <w:b/>
          <w:bCs/>
          <w:sz w:val="24"/>
          <w:szCs w:val="24"/>
          <w:lang w:eastAsia="en-IN"/>
        </w:rPr>
        <w:t>Liquidity Risk (2 days):</w:t>
      </w:r>
      <w:r w:rsidRPr="00B81106">
        <w:rPr>
          <w:sz w:val="24"/>
          <w:szCs w:val="24"/>
          <w:lang w:eastAsia="en-IN"/>
        </w:rPr>
        <w:t xml:space="preserve"> High liquidity, can liquidate assets very quickly.</w:t>
      </w:r>
    </w:p>
    <w:p w14:paraId="4EA5E9DF" w14:textId="77777777" w:rsidR="00B81106" w:rsidRPr="00B81106" w:rsidRDefault="00B81106" w:rsidP="00B81106">
      <w:pPr>
        <w:pStyle w:val="ListParagraph"/>
        <w:numPr>
          <w:ilvl w:val="0"/>
          <w:numId w:val="19"/>
        </w:numPr>
        <w:rPr>
          <w:sz w:val="24"/>
          <w:szCs w:val="24"/>
          <w:lang w:eastAsia="en-IN"/>
        </w:rPr>
      </w:pPr>
      <w:r w:rsidRPr="00B81106">
        <w:rPr>
          <w:b/>
          <w:bCs/>
          <w:sz w:val="24"/>
          <w:szCs w:val="24"/>
          <w:lang w:eastAsia="en-IN"/>
        </w:rPr>
        <w:t>Compliance Risk (0 incidents/year):</w:t>
      </w:r>
      <w:r w:rsidRPr="00B81106">
        <w:rPr>
          <w:sz w:val="24"/>
          <w:szCs w:val="24"/>
          <w:lang w:eastAsia="en-IN"/>
        </w:rPr>
        <w:t xml:space="preserve"> No compliance issues, indicating strong adherence to regulations.</w:t>
      </w:r>
    </w:p>
    <w:p w14:paraId="4E09E355" w14:textId="77777777" w:rsidR="00B81106" w:rsidRPr="00B81106" w:rsidRDefault="00B81106" w:rsidP="00B81106">
      <w:pPr>
        <w:rPr>
          <w:sz w:val="24"/>
          <w:szCs w:val="24"/>
          <w:lang w:eastAsia="en-IN"/>
        </w:rPr>
      </w:pPr>
      <w:r w:rsidRPr="00B81106">
        <w:rPr>
          <w:b/>
          <w:bCs/>
          <w:sz w:val="24"/>
          <w:szCs w:val="24"/>
          <w:lang w:eastAsia="en-IN"/>
        </w:rPr>
        <w:t>Client 1003</w:t>
      </w:r>
    </w:p>
    <w:p w14:paraId="6C630D1E" w14:textId="77777777" w:rsidR="00B81106" w:rsidRPr="00B81106" w:rsidRDefault="00B81106" w:rsidP="00B81106">
      <w:pPr>
        <w:pStyle w:val="ListParagraph"/>
        <w:numPr>
          <w:ilvl w:val="0"/>
          <w:numId w:val="18"/>
        </w:numPr>
        <w:rPr>
          <w:sz w:val="24"/>
          <w:szCs w:val="24"/>
          <w:lang w:eastAsia="en-IN"/>
        </w:rPr>
      </w:pPr>
      <w:r w:rsidRPr="00B81106">
        <w:rPr>
          <w:b/>
          <w:bCs/>
          <w:sz w:val="24"/>
          <w:szCs w:val="24"/>
          <w:lang w:eastAsia="en-IN"/>
        </w:rPr>
        <w:t>Market Risk (Beta 1.5):</w:t>
      </w:r>
      <w:r w:rsidRPr="00B81106">
        <w:rPr>
          <w:sz w:val="24"/>
          <w:szCs w:val="24"/>
          <w:lang w:eastAsia="en-IN"/>
        </w:rPr>
        <w:t xml:space="preserve"> High market volatility, reflecting an aggressive investment strategy.</w:t>
      </w:r>
    </w:p>
    <w:p w14:paraId="2EFB1E8D" w14:textId="77777777" w:rsidR="00B81106" w:rsidRPr="00B81106" w:rsidRDefault="00B81106" w:rsidP="00B81106">
      <w:pPr>
        <w:pStyle w:val="ListParagraph"/>
        <w:numPr>
          <w:ilvl w:val="0"/>
          <w:numId w:val="18"/>
        </w:numPr>
        <w:rPr>
          <w:sz w:val="24"/>
          <w:szCs w:val="24"/>
          <w:lang w:eastAsia="en-IN"/>
        </w:rPr>
      </w:pPr>
      <w:r w:rsidRPr="00B81106">
        <w:rPr>
          <w:b/>
          <w:bCs/>
          <w:sz w:val="24"/>
          <w:szCs w:val="24"/>
          <w:lang w:eastAsia="en-IN"/>
        </w:rPr>
        <w:t>Credit Risk Score (650):</w:t>
      </w:r>
      <w:r w:rsidRPr="00B81106">
        <w:rPr>
          <w:sz w:val="24"/>
          <w:szCs w:val="24"/>
          <w:lang w:eastAsia="en-IN"/>
        </w:rPr>
        <w:t xml:space="preserve"> Higher credit risk, indicating a moderate credit profile.</w:t>
      </w:r>
    </w:p>
    <w:p w14:paraId="72CFDB5D" w14:textId="77777777" w:rsidR="00B81106" w:rsidRPr="00B81106" w:rsidRDefault="00B81106" w:rsidP="00B81106">
      <w:pPr>
        <w:pStyle w:val="ListParagraph"/>
        <w:numPr>
          <w:ilvl w:val="0"/>
          <w:numId w:val="18"/>
        </w:numPr>
        <w:rPr>
          <w:sz w:val="24"/>
          <w:szCs w:val="24"/>
          <w:lang w:eastAsia="en-IN"/>
        </w:rPr>
      </w:pPr>
      <w:r w:rsidRPr="00B81106">
        <w:rPr>
          <w:b/>
          <w:bCs/>
          <w:sz w:val="24"/>
          <w:szCs w:val="24"/>
          <w:lang w:eastAsia="en-IN"/>
        </w:rPr>
        <w:t>Liquidity Risk (4 days):</w:t>
      </w:r>
      <w:r w:rsidRPr="00B81106">
        <w:rPr>
          <w:sz w:val="24"/>
          <w:szCs w:val="24"/>
          <w:lang w:eastAsia="en-IN"/>
        </w:rPr>
        <w:t xml:space="preserve"> Lower liquidity, assets take longer to liquidate.</w:t>
      </w:r>
    </w:p>
    <w:p w14:paraId="2B1F7E51" w14:textId="77777777" w:rsidR="00B81106" w:rsidRPr="00B81106" w:rsidRDefault="00B81106" w:rsidP="00B81106">
      <w:pPr>
        <w:pStyle w:val="ListParagraph"/>
        <w:numPr>
          <w:ilvl w:val="0"/>
          <w:numId w:val="18"/>
        </w:numPr>
        <w:rPr>
          <w:sz w:val="24"/>
          <w:szCs w:val="24"/>
          <w:lang w:eastAsia="en-IN"/>
        </w:rPr>
      </w:pPr>
      <w:r w:rsidRPr="00B81106">
        <w:rPr>
          <w:b/>
          <w:bCs/>
          <w:sz w:val="24"/>
          <w:szCs w:val="24"/>
          <w:lang w:eastAsia="en-IN"/>
        </w:rPr>
        <w:t>Compliance Risk (1 incident/year):</w:t>
      </w:r>
      <w:r w:rsidRPr="00B81106">
        <w:rPr>
          <w:sz w:val="24"/>
          <w:szCs w:val="24"/>
          <w:lang w:eastAsia="en-IN"/>
        </w:rPr>
        <w:t xml:space="preserve"> One compliance issue per year, indicating some regulatory challenges.</w:t>
      </w:r>
    </w:p>
    <w:p w14:paraId="723DA2E5" w14:textId="77777777" w:rsidR="00B81106" w:rsidRPr="00B81106" w:rsidRDefault="00B81106" w:rsidP="00B81106">
      <w:pPr>
        <w:rPr>
          <w:sz w:val="24"/>
          <w:szCs w:val="24"/>
          <w:lang w:eastAsia="en-IN"/>
        </w:rPr>
      </w:pPr>
      <w:r w:rsidRPr="00B81106">
        <w:rPr>
          <w:b/>
          <w:bCs/>
          <w:sz w:val="24"/>
          <w:szCs w:val="24"/>
          <w:lang w:eastAsia="en-IN"/>
        </w:rPr>
        <w:t>Client 1004</w:t>
      </w:r>
    </w:p>
    <w:p w14:paraId="419F113E" w14:textId="77777777" w:rsidR="00B81106" w:rsidRPr="00B81106" w:rsidRDefault="00B81106" w:rsidP="00B81106">
      <w:pPr>
        <w:pStyle w:val="ListParagraph"/>
        <w:numPr>
          <w:ilvl w:val="0"/>
          <w:numId w:val="17"/>
        </w:numPr>
        <w:rPr>
          <w:sz w:val="24"/>
          <w:szCs w:val="24"/>
          <w:lang w:eastAsia="en-IN"/>
        </w:rPr>
      </w:pPr>
      <w:r w:rsidRPr="00B81106">
        <w:rPr>
          <w:b/>
          <w:bCs/>
          <w:sz w:val="24"/>
          <w:szCs w:val="24"/>
          <w:lang w:eastAsia="en-IN"/>
        </w:rPr>
        <w:t>Market Risk (Beta 1.1):</w:t>
      </w:r>
      <w:r w:rsidRPr="00B81106">
        <w:rPr>
          <w:sz w:val="24"/>
          <w:szCs w:val="24"/>
          <w:lang w:eastAsia="en-IN"/>
        </w:rPr>
        <w:t xml:space="preserve"> Slightly above market volatility, indicating a moderate investment approach.</w:t>
      </w:r>
    </w:p>
    <w:p w14:paraId="0E6560A7" w14:textId="77777777" w:rsidR="00B81106" w:rsidRPr="00B81106" w:rsidRDefault="00B81106" w:rsidP="00B81106">
      <w:pPr>
        <w:pStyle w:val="ListParagraph"/>
        <w:numPr>
          <w:ilvl w:val="0"/>
          <w:numId w:val="17"/>
        </w:numPr>
        <w:rPr>
          <w:sz w:val="24"/>
          <w:szCs w:val="24"/>
          <w:lang w:eastAsia="en-IN"/>
        </w:rPr>
      </w:pPr>
      <w:r w:rsidRPr="00B81106">
        <w:rPr>
          <w:b/>
          <w:bCs/>
          <w:sz w:val="24"/>
          <w:szCs w:val="24"/>
          <w:lang w:eastAsia="en-IN"/>
        </w:rPr>
        <w:t>Credit Risk Score (720):</w:t>
      </w:r>
      <w:r w:rsidRPr="00B81106">
        <w:rPr>
          <w:sz w:val="24"/>
          <w:szCs w:val="24"/>
          <w:lang w:eastAsia="en-IN"/>
        </w:rPr>
        <w:t xml:space="preserve"> Moderate credit risk, indicating a reasonably good credit profile.</w:t>
      </w:r>
    </w:p>
    <w:p w14:paraId="62399413" w14:textId="77777777" w:rsidR="00B81106" w:rsidRPr="00B81106" w:rsidRDefault="00B81106" w:rsidP="00B81106">
      <w:pPr>
        <w:pStyle w:val="ListParagraph"/>
        <w:numPr>
          <w:ilvl w:val="0"/>
          <w:numId w:val="17"/>
        </w:numPr>
        <w:rPr>
          <w:sz w:val="24"/>
          <w:szCs w:val="24"/>
          <w:lang w:eastAsia="en-IN"/>
        </w:rPr>
      </w:pPr>
      <w:r w:rsidRPr="00B81106">
        <w:rPr>
          <w:b/>
          <w:bCs/>
          <w:sz w:val="24"/>
          <w:szCs w:val="24"/>
          <w:lang w:eastAsia="en-IN"/>
        </w:rPr>
        <w:t>Liquidity Risk (3 days):</w:t>
      </w:r>
      <w:r w:rsidRPr="00B81106">
        <w:rPr>
          <w:sz w:val="24"/>
          <w:szCs w:val="24"/>
          <w:lang w:eastAsia="en-IN"/>
        </w:rPr>
        <w:t xml:space="preserve"> Moderate liquidity, can liquidate assets relatively quickly.</w:t>
      </w:r>
    </w:p>
    <w:p w14:paraId="55F27996" w14:textId="77777777" w:rsidR="00B81106" w:rsidRPr="00B81106" w:rsidRDefault="00B81106" w:rsidP="00B81106">
      <w:pPr>
        <w:pStyle w:val="ListParagraph"/>
        <w:numPr>
          <w:ilvl w:val="0"/>
          <w:numId w:val="17"/>
        </w:numPr>
        <w:rPr>
          <w:sz w:val="24"/>
          <w:szCs w:val="24"/>
          <w:lang w:eastAsia="en-IN"/>
        </w:rPr>
      </w:pPr>
      <w:r w:rsidRPr="00B81106">
        <w:rPr>
          <w:b/>
          <w:bCs/>
          <w:sz w:val="24"/>
          <w:szCs w:val="24"/>
          <w:lang w:eastAsia="en-IN"/>
        </w:rPr>
        <w:t>Compliance Risk (0 incidents/year):</w:t>
      </w:r>
      <w:r w:rsidRPr="00B81106">
        <w:rPr>
          <w:sz w:val="24"/>
          <w:szCs w:val="24"/>
          <w:lang w:eastAsia="en-IN"/>
        </w:rPr>
        <w:t xml:space="preserve"> No compliance issues, indicating strong adherence to regulations.</w:t>
      </w:r>
    </w:p>
    <w:p w14:paraId="522F63C8" w14:textId="77777777" w:rsidR="00B81106" w:rsidRPr="00B81106" w:rsidRDefault="00B81106" w:rsidP="00B81106">
      <w:pPr>
        <w:rPr>
          <w:sz w:val="24"/>
          <w:szCs w:val="24"/>
          <w:lang w:eastAsia="en-IN"/>
        </w:rPr>
      </w:pPr>
      <w:r w:rsidRPr="00B81106">
        <w:rPr>
          <w:b/>
          <w:bCs/>
          <w:sz w:val="24"/>
          <w:szCs w:val="24"/>
          <w:lang w:eastAsia="en-IN"/>
        </w:rPr>
        <w:t>Client 1005</w:t>
      </w:r>
    </w:p>
    <w:p w14:paraId="7F13C5E5" w14:textId="77777777" w:rsidR="00B81106" w:rsidRPr="00B81106" w:rsidRDefault="00B81106" w:rsidP="00B81106">
      <w:pPr>
        <w:pStyle w:val="ListParagraph"/>
        <w:numPr>
          <w:ilvl w:val="0"/>
          <w:numId w:val="16"/>
        </w:numPr>
        <w:rPr>
          <w:sz w:val="24"/>
          <w:szCs w:val="24"/>
          <w:lang w:eastAsia="en-IN"/>
        </w:rPr>
      </w:pPr>
      <w:r w:rsidRPr="00B81106">
        <w:rPr>
          <w:b/>
          <w:bCs/>
          <w:sz w:val="24"/>
          <w:szCs w:val="24"/>
          <w:lang w:eastAsia="en-IN"/>
        </w:rPr>
        <w:t>Market Risk (Beta 1.3):</w:t>
      </w:r>
      <w:r w:rsidRPr="00B81106">
        <w:rPr>
          <w:sz w:val="24"/>
          <w:szCs w:val="24"/>
          <w:lang w:eastAsia="en-IN"/>
        </w:rPr>
        <w:t xml:space="preserve"> Above-average market volatility, reflecting a moderately aggressive investment approach.</w:t>
      </w:r>
    </w:p>
    <w:p w14:paraId="349BE504" w14:textId="77777777" w:rsidR="00B81106" w:rsidRPr="00B81106" w:rsidRDefault="00B81106" w:rsidP="00B81106">
      <w:pPr>
        <w:pStyle w:val="ListParagraph"/>
        <w:numPr>
          <w:ilvl w:val="0"/>
          <w:numId w:val="16"/>
        </w:numPr>
        <w:rPr>
          <w:sz w:val="24"/>
          <w:szCs w:val="24"/>
          <w:lang w:eastAsia="en-IN"/>
        </w:rPr>
      </w:pPr>
      <w:r w:rsidRPr="00B81106">
        <w:rPr>
          <w:b/>
          <w:bCs/>
          <w:sz w:val="24"/>
          <w:szCs w:val="24"/>
          <w:lang w:eastAsia="en-IN"/>
        </w:rPr>
        <w:t>Credit Risk Score (680):</w:t>
      </w:r>
      <w:r w:rsidRPr="00B81106">
        <w:rPr>
          <w:sz w:val="24"/>
          <w:szCs w:val="24"/>
          <w:lang w:eastAsia="en-IN"/>
        </w:rPr>
        <w:t xml:space="preserve"> Moderate credit risk, indicating a fair credit profile.</w:t>
      </w:r>
    </w:p>
    <w:p w14:paraId="5BADA9FC" w14:textId="77777777" w:rsidR="00B81106" w:rsidRPr="00B81106" w:rsidRDefault="00B81106" w:rsidP="00B81106">
      <w:pPr>
        <w:pStyle w:val="ListParagraph"/>
        <w:numPr>
          <w:ilvl w:val="0"/>
          <w:numId w:val="16"/>
        </w:numPr>
        <w:rPr>
          <w:sz w:val="24"/>
          <w:szCs w:val="24"/>
          <w:lang w:eastAsia="en-IN"/>
        </w:rPr>
      </w:pPr>
      <w:r w:rsidRPr="00B81106">
        <w:rPr>
          <w:b/>
          <w:bCs/>
          <w:sz w:val="24"/>
          <w:szCs w:val="24"/>
          <w:lang w:eastAsia="en-IN"/>
        </w:rPr>
        <w:t>Liquidity Risk (3 days):</w:t>
      </w:r>
      <w:r w:rsidRPr="00B81106">
        <w:rPr>
          <w:sz w:val="24"/>
          <w:szCs w:val="24"/>
          <w:lang w:eastAsia="en-IN"/>
        </w:rPr>
        <w:t xml:space="preserve"> Moderate liquidity, can liquidate assets relatively quickly.</w:t>
      </w:r>
    </w:p>
    <w:p w14:paraId="305F1917" w14:textId="77777777" w:rsidR="00B81106" w:rsidRPr="00B81106" w:rsidRDefault="00B81106" w:rsidP="00B81106">
      <w:pPr>
        <w:pStyle w:val="ListParagraph"/>
        <w:numPr>
          <w:ilvl w:val="0"/>
          <w:numId w:val="16"/>
        </w:numPr>
        <w:rPr>
          <w:sz w:val="24"/>
          <w:szCs w:val="24"/>
          <w:lang w:eastAsia="en-IN"/>
        </w:rPr>
      </w:pPr>
      <w:r w:rsidRPr="00B81106">
        <w:rPr>
          <w:b/>
          <w:bCs/>
          <w:sz w:val="24"/>
          <w:szCs w:val="24"/>
          <w:lang w:eastAsia="en-IN"/>
        </w:rPr>
        <w:t>Compliance Risk (0 incidents/year):</w:t>
      </w:r>
      <w:r w:rsidRPr="00B81106">
        <w:rPr>
          <w:sz w:val="24"/>
          <w:szCs w:val="24"/>
          <w:lang w:eastAsia="en-IN"/>
        </w:rPr>
        <w:t xml:space="preserve"> No compliance issues, indicating strong adherence to regulations.</w:t>
      </w:r>
    </w:p>
    <w:p w14:paraId="72C21988" w14:textId="77777777" w:rsidR="00153510" w:rsidRDefault="00153510" w:rsidP="00B81106">
      <w:pPr>
        <w:rPr>
          <w:b/>
          <w:bCs/>
          <w:sz w:val="24"/>
          <w:szCs w:val="24"/>
          <w:lang w:eastAsia="en-IN"/>
        </w:rPr>
      </w:pPr>
    </w:p>
    <w:p w14:paraId="4B525A73" w14:textId="4F51088E" w:rsidR="00B81106" w:rsidRPr="00B81106" w:rsidRDefault="00B81106" w:rsidP="00B81106">
      <w:pPr>
        <w:rPr>
          <w:sz w:val="24"/>
          <w:szCs w:val="24"/>
          <w:lang w:eastAsia="en-IN"/>
        </w:rPr>
      </w:pPr>
      <w:r w:rsidRPr="00B81106">
        <w:rPr>
          <w:b/>
          <w:bCs/>
          <w:sz w:val="24"/>
          <w:szCs w:val="24"/>
          <w:lang w:eastAsia="en-IN"/>
        </w:rPr>
        <w:lastRenderedPageBreak/>
        <w:t>Summary</w:t>
      </w:r>
    </w:p>
    <w:p w14:paraId="3164D87A" w14:textId="77777777" w:rsidR="00B81106" w:rsidRPr="00B81106" w:rsidRDefault="00B81106" w:rsidP="00B81106">
      <w:pPr>
        <w:rPr>
          <w:sz w:val="24"/>
          <w:szCs w:val="24"/>
          <w:lang w:eastAsia="en-IN"/>
        </w:rPr>
      </w:pPr>
      <w:r w:rsidRPr="00B81106">
        <w:rPr>
          <w:sz w:val="24"/>
          <w:szCs w:val="24"/>
          <w:lang w:eastAsia="en-IN"/>
        </w:rPr>
        <w:t>This table highlights the risk profiles of each client:</w:t>
      </w:r>
    </w:p>
    <w:p w14:paraId="04D18CFA" w14:textId="77777777" w:rsidR="00B81106" w:rsidRPr="00B81106" w:rsidRDefault="00B81106" w:rsidP="00B81106">
      <w:pPr>
        <w:pStyle w:val="ListParagraph"/>
        <w:numPr>
          <w:ilvl w:val="0"/>
          <w:numId w:val="15"/>
        </w:numPr>
        <w:rPr>
          <w:sz w:val="24"/>
          <w:szCs w:val="24"/>
          <w:lang w:eastAsia="en-IN"/>
        </w:rPr>
      </w:pPr>
      <w:r w:rsidRPr="00B81106">
        <w:rPr>
          <w:b/>
          <w:bCs/>
          <w:sz w:val="24"/>
          <w:szCs w:val="24"/>
          <w:lang w:eastAsia="en-IN"/>
        </w:rPr>
        <w:t>Market Risk:</w:t>
      </w:r>
      <w:r w:rsidRPr="00B81106">
        <w:rPr>
          <w:sz w:val="24"/>
          <w:szCs w:val="24"/>
          <w:lang w:eastAsia="en-IN"/>
        </w:rPr>
        <w:t xml:space="preserve"> Varies from low (Client 1002) to high (Client 1003), aligning with their investment strategies.</w:t>
      </w:r>
    </w:p>
    <w:p w14:paraId="7619FF53" w14:textId="77777777" w:rsidR="00B81106" w:rsidRPr="00B81106" w:rsidRDefault="00B81106" w:rsidP="00B81106">
      <w:pPr>
        <w:pStyle w:val="ListParagraph"/>
        <w:numPr>
          <w:ilvl w:val="0"/>
          <w:numId w:val="15"/>
        </w:numPr>
        <w:rPr>
          <w:sz w:val="24"/>
          <w:szCs w:val="24"/>
          <w:lang w:eastAsia="en-IN"/>
        </w:rPr>
      </w:pPr>
      <w:r w:rsidRPr="00B81106">
        <w:rPr>
          <w:b/>
          <w:bCs/>
          <w:sz w:val="24"/>
          <w:szCs w:val="24"/>
          <w:lang w:eastAsia="en-IN"/>
        </w:rPr>
        <w:t>Credit Risk:</w:t>
      </w:r>
      <w:r w:rsidRPr="00B81106">
        <w:rPr>
          <w:sz w:val="24"/>
          <w:szCs w:val="24"/>
          <w:lang w:eastAsia="en-IN"/>
        </w:rPr>
        <w:t xml:space="preserve"> Ranges from low (Client 1002) to moderate (Clients 1001, 1004, 1005) to higher (Client 1003).</w:t>
      </w:r>
    </w:p>
    <w:p w14:paraId="5E650F4F" w14:textId="77777777" w:rsidR="00B81106" w:rsidRPr="00B81106" w:rsidRDefault="00B81106" w:rsidP="00B81106">
      <w:pPr>
        <w:pStyle w:val="ListParagraph"/>
        <w:numPr>
          <w:ilvl w:val="0"/>
          <w:numId w:val="15"/>
        </w:numPr>
        <w:rPr>
          <w:sz w:val="24"/>
          <w:szCs w:val="24"/>
          <w:lang w:eastAsia="en-IN"/>
        </w:rPr>
      </w:pPr>
      <w:r w:rsidRPr="00B81106">
        <w:rPr>
          <w:b/>
          <w:bCs/>
          <w:sz w:val="24"/>
          <w:szCs w:val="24"/>
          <w:lang w:eastAsia="en-IN"/>
        </w:rPr>
        <w:t>Liquidity Risk:</w:t>
      </w:r>
      <w:r w:rsidRPr="00B81106">
        <w:rPr>
          <w:sz w:val="24"/>
          <w:szCs w:val="24"/>
          <w:lang w:eastAsia="en-IN"/>
        </w:rPr>
        <w:t xml:space="preserve"> Most clients can liquidate assets within 2-4 days, indicating manageable liquidity.</w:t>
      </w:r>
    </w:p>
    <w:p w14:paraId="660922C9" w14:textId="77777777" w:rsidR="00B81106" w:rsidRPr="00B81106" w:rsidRDefault="00B81106" w:rsidP="00B81106">
      <w:pPr>
        <w:pStyle w:val="ListParagraph"/>
        <w:numPr>
          <w:ilvl w:val="0"/>
          <w:numId w:val="15"/>
        </w:numPr>
        <w:rPr>
          <w:sz w:val="24"/>
          <w:szCs w:val="24"/>
          <w:lang w:eastAsia="en-IN"/>
        </w:rPr>
      </w:pPr>
      <w:r w:rsidRPr="00B81106">
        <w:rPr>
          <w:b/>
          <w:bCs/>
          <w:sz w:val="24"/>
          <w:szCs w:val="24"/>
          <w:lang w:eastAsia="en-IN"/>
        </w:rPr>
        <w:t>Compliance Risk:</w:t>
      </w:r>
      <w:r w:rsidRPr="00B81106">
        <w:rPr>
          <w:sz w:val="24"/>
          <w:szCs w:val="24"/>
          <w:lang w:eastAsia="en-IN"/>
        </w:rPr>
        <w:t xml:space="preserve"> Generally low, with only Client 1003 experiencing regulatory challenges.</w:t>
      </w:r>
    </w:p>
    <w:p w14:paraId="0788781A" w14:textId="77777777" w:rsidR="00B81106" w:rsidRPr="00B81106" w:rsidRDefault="00B81106" w:rsidP="00B81106">
      <w:pPr>
        <w:rPr>
          <w:sz w:val="24"/>
          <w:szCs w:val="24"/>
          <w:lang w:eastAsia="en-IN"/>
        </w:rPr>
      </w:pPr>
      <w:r w:rsidRPr="00B81106">
        <w:rPr>
          <w:sz w:val="24"/>
          <w:szCs w:val="24"/>
          <w:lang w:eastAsia="en-IN"/>
        </w:rPr>
        <w:t>These metrics help wealth managers assess and mitigate potential risks, ensuring investment strategies are aligned with clients’ risk tolerances and financial goals.</w:t>
      </w:r>
    </w:p>
    <w:p w14:paraId="26D7E988" w14:textId="77777777" w:rsidR="00B81106" w:rsidRPr="00B81106" w:rsidRDefault="00B81106" w:rsidP="00B81106">
      <w:pPr>
        <w:pStyle w:val="Heading2"/>
        <w:rPr>
          <w:rFonts w:eastAsia="Times New Roman"/>
          <w:lang w:eastAsia="en-IN"/>
        </w:rPr>
      </w:pPr>
      <w:r w:rsidRPr="00B81106">
        <w:rPr>
          <w:rFonts w:eastAsia="Times New Roman"/>
          <w:lang w:eastAsia="en-IN"/>
        </w:rPr>
        <w:t>Compliance and Regulatory Metrics</w:t>
      </w:r>
    </w:p>
    <w:tbl>
      <w:tblPr>
        <w:tblStyle w:val="TableGrid"/>
        <w:tblW w:w="6321" w:type="dxa"/>
        <w:tblLook w:val="04A0" w:firstRow="1" w:lastRow="0" w:firstColumn="1" w:lastColumn="0" w:noHBand="0" w:noVBand="1"/>
      </w:tblPr>
      <w:tblGrid>
        <w:gridCol w:w="1034"/>
        <w:gridCol w:w="1501"/>
        <w:gridCol w:w="2097"/>
        <w:gridCol w:w="1689"/>
      </w:tblGrid>
      <w:tr w:rsidR="00B81106" w:rsidRPr="00B81106" w14:paraId="29D60E8D" w14:textId="77777777" w:rsidTr="00B81106">
        <w:trPr>
          <w:trHeight w:val="1550"/>
        </w:trPr>
        <w:tc>
          <w:tcPr>
            <w:tcW w:w="1034" w:type="dxa"/>
            <w:hideMark/>
          </w:tcPr>
          <w:p w14:paraId="57B60847" w14:textId="77777777" w:rsidR="00B81106" w:rsidRPr="00B81106" w:rsidRDefault="00B81106" w:rsidP="00B81106">
            <w:pPr>
              <w:jc w:val="center"/>
              <w:rPr>
                <w:rFonts w:ascii="Aptos Narrow" w:eastAsia="Times New Roman" w:hAnsi="Aptos Narrow" w:cs="Times New Roman"/>
                <w:b/>
                <w:bCs/>
                <w:color w:val="000000"/>
                <w:kern w:val="0"/>
                <w:sz w:val="24"/>
                <w:szCs w:val="24"/>
                <w:lang w:eastAsia="en-IN"/>
                <w14:ligatures w14:val="none"/>
              </w:rPr>
            </w:pPr>
            <w:r w:rsidRPr="00B81106">
              <w:rPr>
                <w:rFonts w:ascii="Aptos Narrow" w:eastAsia="Times New Roman" w:hAnsi="Aptos Narrow" w:cs="Times New Roman"/>
                <w:b/>
                <w:bCs/>
                <w:color w:val="000000"/>
                <w:kern w:val="0"/>
                <w:sz w:val="24"/>
                <w:szCs w:val="24"/>
                <w:lang w:eastAsia="en-IN"/>
                <w14:ligatures w14:val="none"/>
              </w:rPr>
              <w:t>Year</w:t>
            </w:r>
          </w:p>
        </w:tc>
        <w:tc>
          <w:tcPr>
            <w:tcW w:w="1501" w:type="dxa"/>
            <w:hideMark/>
          </w:tcPr>
          <w:p w14:paraId="7D686E18" w14:textId="77777777" w:rsidR="00B81106" w:rsidRPr="00B81106" w:rsidRDefault="00B81106" w:rsidP="00B81106">
            <w:pPr>
              <w:jc w:val="center"/>
              <w:rPr>
                <w:rFonts w:ascii="Aptos Narrow" w:eastAsia="Times New Roman" w:hAnsi="Aptos Narrow" w:cs="Times New Roman"/>
                <w:b/>
                <w:bCs/>
                <w:color w:val="000000"/>
                <w:kern w:val="0"/>
                <w:sz w:val="24"/>
                <w:szCs w:val="24"/>
                <w:lang w:eastAsia="en-IN"/>
                <w14:ligatures w14:val="none"/>
              </w:rPr>
            </w:pPr>
            <w:r w:rsidRPr="00B81106">
              <w:rPr>
                <w:rFonts w:ascii="Aptos Narrow" w:eastAsia="Times New Roman" w:hAnsi="Aptos Narrow" w:cs="Times New Roman"/>
                <w:b/>
                <w:bCs/>
                <w:color w:val="000000"/>
                <w:kern w:val="0"/>
                <w:sz w:val="24"/>
                <w:szCs w:val="24"/>
                <w:lang w:eastAsia="en-IN"/>
                <w14:ligatures w14:val="none"/>
              </w:rPr>
              <w:t>Number of Audits</w:t>
            </w:r>
          </w:p>
        </w:tc>
        <w:tc>
          <w:tcPr>
            <w:tcW w:w="2097" w:type="dxa"/>
            <w:hideMark/>
          </w:tcPr>
          <w:p w14:paraId="2A549AE9" w14:textId="77777777" w:rsidR="00B81106" w:rsidRPr="00B81106" w:rsidRDefault="00B81106" w:rsidP="00B81106">
            <w:pPr>
              <w:jc w:val="center"/>
              <w:rPr>
                <w:rFonts w:ascii="Aptos Narrow" w:eastAsia="Times New Roman" w:hAnsi="Aptos Narrow" w:cs="Times New Roman"/>
                <w:b/>
                <w:bCs/>
                <w:color w:val="000000"/>
                <w:kern w:val="0"/>
                <w:sz w:val="24"/>
                <w:szCs w:val="24"/>
                <w:lang w:eastAsia="en-IN"/>
                <w14:ligatures w14:val="none"/>
              </w:rPr>
            </w:pPr>
            <w:r w:rsidRPr="00B81106">
              <w:rPr>
                <w:rFonts w:ascii="Aptos Narrow" w:eastAsia="Times New Roman" w:hAnsi="Aptos Narrow" w:cs="Times New Roman"/>
                <w:b/>
                <w:bCs/>
                <w:color w:val="000000"/>
                <w:kern w:val="0"/>
                <w:sz w:val="24"/>
                <w:szCs w:val="24"/>
                <w:lang w:eastAsia="en-IN"/>
                <w14:ligatures w14:val="none"/>
              </w:rPr>
              <w:t>Number of Non-Compliance Incidents</w:t>
            </w:r>
          </w:p>
        </w:tc>
        <w:tc>
          <w:tcPr>
            <w:tcW w:w="1689" w:type="dxa"/>
            <w:hideMark/>
          </w:tcPr>
          <w:p w14:paraId="0AC7B0CB" w14:textId="77777777" w:rsidR="00B81106" w:rsidRPr="00B81106" w:rsidRDefault="00B81106" w:rsidP="00B81106">
            <w:pPr>
              <w:jc w:val="center"/>
              <w:rPr>
                <w:rFonts w:ascii="Aptos Narrow" w:eastAsia="Times New Roman" w:hAnsi="Aptos Narrow" w:cs="Times New Roman"/>
                <w:b/>
                <w:bCs/>
                <w:color w:val="000000"/>
                <w:kern w:val="0"/>
                <w:sz w:val="24"/>
                <w:szCs w:val="24"/>
                <w:lang w:eastAsia="en-IN"/>
                <w14:ligatures w14:val="none"/>
              </w:rPr>
            </w:pPr>
            <w:r w:rsidRPr="00B81106">
              <w:rPr>
                <w:rFonts w:ascii="Aptos Narrow" w:eastAsia="Times New Roman" w:hAnsi="Aptos Narrow" w:cs="Times New Roman"/>
                <w:b/>
                <w:bCs/>
                <w:color w:val="000000"/>
                <w:kern w:val="0"/>
                <w:sz w:val="24"/>
                <w:szCs w:val="24"/>
                <w:lang w:eastAsia="en-IN"/>
                <w14:ligatures w14:val="none"/>
              </w:rPr>
              <w:t>Penalties Imposed (in $)</w:t>
            </w:r>
          </w:p>
        </w:tc>
      </w:tr>
      <w:tr w:rsidR="00B81106" w:rsidRPr="00B81106" w14:paraId="11DB8EC5" w14:textId="77777777" w:rsidTr="00B81106">
        <w:trPr>
          <w:trHeight w:val="310"/>
        </w:trPr>
        <w:tc>
          <w:tcPr>
            <w:tcW w:w="1034" w:type="dxa"/>
            <w:hideMark/>
          </w:tcPr>
          <w:p w14:paraId="13F8F08C"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2020</w:t>
            </w:r>
          </w:p>
        </w:tc>
        <w:tc>
          <w:tcPr>
            <w:tcW w:w="1501" w:type="dxa"/>
            <w:hideMark/>
          </w:tcPr>
          <w:p w14:paraId="5030DC9C"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5</w:t>
            </w:r>
          </w:p>
        </w:tc>
        <w:tc>
          <w:tcPr>
            <w:tcW w:w="2097" w:type="dxa"/>
            <w:hideMark/>
          </w:tcPr>
          <w:p w14:paraId="7D8C3DE3"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2</w:t>
            </w:r>
          </w:p>
        </w:tc>
        <w:tc>
          <w:tcPr>
            <w:tcW w:w="1689" w:type="dxa"/>
            <w:hideMark/>
          </w:tcPr>
          <w:p w14:paraId="082F18EA"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50,000</w:t>
            </w:r>
          </w:p>
        </w:tc>
      </w:tr>
      <w:tr w:rsidR="00B81106" w:rsidRPr="00B81106" w14:paraId="2EB908F9" w14:textId="77777777" w:rsidTr="00B81106">
        <w:trPr>
          <w:trHeight w:val="310"/>
        </w:trPr>
        <w:tc>
          <w:tcPr>
            <w:tcW w:w="1034" w:type="dxa"/>
            <w:hideMark/>
          </w:tcPr>
          <w:p w14:paraId="2F00D32A"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2021</w:t>
            </w:r>
          </w:p>
        </w:tc>
        <w:tc>
          <w:tcPr>
            <w:tcW w:w="1501" w:type="dxa"/>
            <w:hideMark/>
          </w:tcPr>
          <w:p w14:paraId="4DB1C38E"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6</w:t>
            </w:r>
          </w:p>
        </w:tc>
        <w:tc>
          <w:tcPr>
            <w:tcW w:w="2097" w:type="dxa"/>
            <w:hideMark/>
          </w:tcPr>
          <w:p w14:paraId="37A7FB7F"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1</w:t>
            </w:r>
          </w:p>
        </w:tc>
        <w:tc>
          <w:tcPr>
            <w:tcW w:w="1689" w:type="dxa"/>
            <w:hideMark/>
          </w:tcPr>
          <w:p w14:paraId="426819F8"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30,000</w:t>
            </w:r>
          </w:p>
        </w:tc>
      </w:tr>
      <w:tr w:rsidR="00B81106" w:rsidRPr="00B81106" w14:paraId="7163E331" w14:textId="77777777" w:rsidTr="00B81106">
        <w:trPr>
          <w:trHeight w:val="310"/>
        </w:trPr>
        <w:tc>
          <w:tcPr>
            <w:tcW w:w="1034" w:type="dxa"/>
            <w:hideMark/>
          </w:tcPr>
          <w:p w14:paraId="0B9A160C"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2022</w:t>
            </w:r>
          </w:p>
        </w:tc>
        <w:tc>
          <w:tcPr>
            <w:tcW w:w="1501" w:type="dxa"/>
            <w:hideMark/>
          </w:tcPr>
          <w:p w14:paraId="314C78D1"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4</w:t>
            </w:r>
          </w:p>
        </w:tc>
        <w:tc>
          <w:tcPr>
            <w:tcW w:w="2097" w:type="dxa"/>
            <w:hideMark/>
          </w:tcPr>
          <w:p w14:paraId="5DC3B514"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3</w:t>
            </w:r>
          </w:p>
        </w:tc>
        <w:tc>
          <w:tcPr>
            <w:tcW w:w="1689" w:type="dxa"/>
            <w:hideMark/>
          </w:tcPr>
          <w:p w14:paraId="3806A139"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70,000</w:t>
            </w:r>
          </w:p>
        </w:tc>
      </w:tr>
      <w:tr w:rsidR="00B81106" w:rsidRPr="00B81106" w14:paraId="4268538E" w14:textId="77777777" w:rsidTr="00B81106">
        <w:trPr>
          <w:trHeight w:val="310"/>
        </w:trPr>
        <w:tc>
          <w:tcPr>
            <w:tcW w:w="1034" w:type="dxa"/>
            <w:hideMark/>
          </w:tcPr>
          <w:p w14:paraId="200FC6B0"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2023</w:t>
            </w:r>
          </w:p>
        </w:tc>
        <w:tc>
          <w:tcPr>
            <w:tcW w:w="1501" w:type="dxa"/>
            <w:hideMark/>
          </w:tcPr>
          <w:p w14:paraId="18461965"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6</w:t>
            </w:r>
          </w:p>
        </w:tc>
        <w:tc>
          <w:tcPr>
            <w:tcW w:w="2097" w:type="dxa"/>
            <w:hideMark/>
          </w:tcPr>
          <w:p w14:paraId="5448E7CB"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0</w:t>
            </w:r>
          </w:p>
        </w:tc>
        <w:tc>
          <w:tcPr>
            <w:tcW w:w="1689" w:type="dxa"/>
            <w:hideMark/>
          </w:tcPr>
          <w:p w14:paraId="0BF1481E" w14:textId="77777777" w:rsidR="00B81106" w:rsidRPr="00B81106" w:rsidRDefault="00B81106" w:rsidP="00B81106">
            <w:pPr>
              <w:jc w:val="right"/>
              <w:rPr>
                <w:rFonts w:ascii="Aptos Narrow" w:eastAsia="Times New Roman" w:hAnsi="Aptos Narrow" w:cs="Times New Roman"/>
                <w:color w:val="000000"/>
                <w:kern w:val="0"/>
                <w:sz w:val="24"/>
                <w:szCs w:val="24"/>
                <w:lang w:eastAsia="en-IN"/>
                <w14:ligatures w14:val="none"/>
              </w:rPr>
            </w:pPr>
            <w:r w:rsidRPr="00B81106">
              <w:rPr>
                <w:rFonts w:ascii="Aptos Narrow" w:eastAsia="Times New Roman" w:hAnsi="Aptos Narrow" w:cs="Times New Roman"/>
                <w:color w:val="000000"/>
                <w:kern w:val="0"/>
                <w:sz w:val="24"/>
                <w:szCs w:val="24"/>
                <w:lang w:eastAsia="en-IN"/>
                <w14:ligatures w14:val="none"/>
              </w:rPr>
              <w:t>0</w:t>
            </w:r>
          </w:p>
        </w:tc>
      </w:tr>
    </w:tbl>
    <w:p w14:paraId="21C0611C" w14:textId="3ED79319" w:rsidR="00B81106" w:rsidRPr="00B81106" w:rsidRDefault="00B81106" w:rsidP="00B81106">
      <w:pPr>
        <w:rPr>
          <w:sz w:val="24"/>
          <w:szCs w:val="24"/>
          <w:lang w:eastAsia="en-IN"/>
        </w:rPr>
      </w:pPr>
      <w:r>
        <w:rPr>
          <w:noProof/>
        </w:rPr>
        <w:drawing>
          <wp:inline distT="0" distB="0" distL="0" distR="0" wp14:anchorId="6F32E924" wp14:editId="12E5479F">
            <wp:extent cx="5600700" cy="3185160"/>
            <wp:effectExtent l="0" t="0" r="0" b="15240"/>
            <wp:docPr id="2000744036" name="Chart 1">
              <a:extLst xmlns:a="http://schemas.openxmlformats.org/drawingml/2006/main">
                <a:ext uri="{FF2B5EF4-FFF2-40B4-BE49-F238E27FC236}">
                  <a16:creationId xmlns:a16="http://schemas.microsoft.com/office/drawing/2014/main" id="{CE2871EE-E32B-ECE2-267B-35B627B6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74C2472" w14:textId="77777777" w:rsidR="00B81106" w:rsidRPr="00B81106" w:rsidRDefault="00B81106" w:rsidP="00B81106">
      <w:pPr>
        <w:pStyle w:val="Heading1"/>
        <w:rPr>
          <w:rFonts w:asciiTheme="minorHAnsi" w:eastAsiaTheme="minorHAnsi" w:hAnsiTheme="minorHAnsi" w:cstheme="minorBidi"/>
          <w:b/>
          <w:bCs/>
          <w:color w:val="auto"/>
          <w:sz w:val="24"/>
          <w:szCs w:val="24"/>
          <w:lang w:eastAsia="en-IN"/>
        </w:rPr>
      </w:pPr>
      <w:r w:rsidRPr="00B81106">
        <w:rPr>
          <w:rFonts w:asciiTheme="minorHAnsi" w:eastAsiaTheme="minorHAnsi" w:hAnsiTheme="minorHAnsi" w:cstheme="minorBidi"/>
          <w:b/>
          <w:bCs/>
          <w:color w:val="auto"/>
          <w:sz w:val="24"/>
          <w:szCs w:val="24"/>
          <w:lang w:eastAsia="en-IN"/>
        </w:rPr>
        <w:lastRenderedPageBreak/>
        <w:t>Interpretation of Compliance and Regulatory Metrics Table</w:t>
      </w:r>
    </w:p>
    <w:p w14:paraId="4F1F0AD2" w14:textId="77777777" w:rsidR="00B81106" w:rsidRPr="00B81106" w:rsidRDefault="00B81106" w:rsidP="00B81106">
      <w:pPr>
        <w:pStyle w:val="Heading1"/>
        <w:rPr>
          <w:rFonts w:asciiTheme="minorHAnsi" w:eastAsiaTheme="minorHAnsi" w:hAnsiTheme="minorHAnsi" w:cstheme="minorBidi"/>
          <w:color w:val="auto"/>
          <w:sz w:val="24"/>
          <w:szCs w:val="24"/>
          <w:lang w:eastAsia="en-IN"/>
        </w:rPr>
      </w:pPr>
      <w:r w:rsidRPr="00B81106">
        <w:rPr>
          <w:rFonts w:asciiTheme="minorHAnsi" w:eastAsiaTheme="minorHAnsi" w:hAnsiTheme="minorHAnsi" w:cstheme="minorBidi"/>
          <w:color w:val="auto"/>
          <w:sz w:val="24"/>
          <w:szCs w:val="24"/>
          <w:lang w:eastAsia="en-IN"/>
        </w:rPr>
        <w:t>The Compliance and Regulatory Metrics table tracks audits, non-compliance incidents, and penalties for the years 2020 to 2023:</w:t>
      </w:r>
    </w:p>
    <w:p w14:paraId="74EEF938" w14:textId="77777777" w:rsidR="00B81106" w:rsidRPr="00B81106" w:rsidRDefault="00B81106" w:rsidP="00B81106">
      <w:pPr>
        <w:pStyle w:val="Heading1"/>
        <w:numPr>
          <w:ilvl w:val="0"/>
          <w:numId w:val="21"/>
        </w:numPr>
        <w:rPr>
          <w:rFonts w:asciiTheme="minorHAnsi" w:eastAsiaTheme="minorHAnsi" w:hAnsiTheme="minorHAnsi" w:cstheme="minorBidi"/>
          <w:color w:val="auto"/>
          <w:sz w:val="24"/>
          <w:szCs w:val="24"/>
          <w:lang w:eastAsia="en-IN"/>
        </w:rPr>
      </w:pPr>
      <w:r w:rsidRPr="00B81106">
        <w:rPr>
          <w:rFonts w:asciiTheme="minorHAnsi" w:eastAsiaTheme="minorHAnsi" w:hAnsiTheme="minorHAnsi" w:cstheme="minorBidi"/>
          <w:color w:val="auto"/>
          <w:sz w:val="24"/>
          <w:szCs w:val="24"/>
          <w:lang w:eastAsia="en-IN"/>
        </w:rPr>
        <w:t>Audits: Varied annually (5 to 6 audits), indicating regular monitoring of compliance standards.</w:t>
      </w:r>
    </w:p>
    <w:p w14:paraId="0EDBDEDF" w14:textId="77777777" w:rsidR="00B81106" w:rsidRPr="00B81106" w:rsidRDefault="00B81106" w:rsidP="00B81106">
      <w:pPr>
        <w:pStyle w:val="Heading1"/>
        <w:numPr>
          <w:ilvl w:val="0"/>
          <w:numId w:val="21"/>
        </w:numPr>
        <w:rPr>
          <w:rFonts w:asciiTheme="minorHAnsi" w:eastAsiaTheme="minorHAnsi" w:hAnsiTheme="minorHAnsi" w:cstheme="minorBidi"/>
          <w:color w:val="auto"/>
          <w:sz w:val="24"/>
          <w:szCs w:val="24"/>
          <w:lang w:eastAsia="en-IN"/>
        </w:rPr>
      </w:pPr>
      <w:r w:rsidRPr="00B81106">
        <w:rPr>
          <w:rFonts w:asciiTheme="minorHAnsi" w:eastAsiaTheme="minorHAnsi" w:hAnsiTheme="minorHAnsi" w:cstheme="minorBidi"/>
          <w:color w:val="auto"/>
          <w:sz w:val="24"/>
          <w:szCs w:val="24"/>
          <w:lang w:eastAsia="en-IN"/>
        </w:rPr>
        <w:t>Non-Compliance Incidents: Decreased from 2 incidents in 2020 to 0 in 2023, reflecting improved adherence to regulations.</w:t>
      </w:r>
    </w:p>
    <w:p w14:paraId="2401B880" w14:textId="77777777" w:rsidR="00B81106" w:rsidRPr="00B81106" w:rsidRDefault="00B81106" w:rsidP="00B81106">
      <w:pPr>
        <w:pStyle w:val="Heading1"/>
        <w:numPr>
          <w:ilvl w:val="0"/>
          <w:numId w:val="21"/>
        </w:numPr>
        <w:rPr>
          <w:rFonts w:asciiTheme="minorHAnsi" w:eastAsiaTheme="minorHAnsi" w:hAnsiTheme="minorHAnsi" w:cstheme="minorBidi"/>
          <w:color w:val="auto"/>
          <w:sz w:val="24"/>
          <w:szCs w:val="24"/>
          <w:lang w:eastAsia="en-IN"/>
        </w:rPr>
      </w:pPr>
      <w:r w:rsidRPr="00B81106">
        <w:rPr>
          <w:rFonts w:asciiTheme="minorHAnsi" w:eastAsiaTheme="minorHAnsi" w:hAnsiTheme="minorHAnsi" w:cstheme="minorBidi"/>
          <w:color w:val="auto"/>
          <w:sz w:val="24"/>
          <w:szCs w:val="24"/>
          <w:lang w:eastAsia="en-IN"/>
        </w:rPr>
        <w:t>Penalties Imposed: Peaked at $70,000 in 2022 due to 3 incidents; no penalties in 2023 signify strengthened compliance efforts.</w:t>
      </w:r>
    </w:p>
    <w:p w14:paraId="710FD5C5" w14:textId="77777777" w:rsidR="00B81106" w:rsidRPr="00B81106" w:rsidRDefault="00B81106" w:rsidP="00B81106">
      <w:pPr>
        <w:pStyle w:val="Heading1"/>
        <w:rPr>
          <w:rFonts w:asciiTheme="minorHAnsi" w:eastAsiaTheme="minorHAnsi" w:hAnsiTheme="minorHAnsi" w:cstheme="minorBidi"/>
          <w:b/>
          <w:bCs/>
          <w:color w:val="auto"/>
          <w:sz w:val="24"/>
          <w:szCs w:val="24"/>
          <w:lang w:eastAsia="en-IN"/>
        </w:rPr>
      </w:pPr>
      <w:r w:rsidRPr="00B81106">
        <w:rPr>
          <w:rFonts w:asciiTheme="minorHAnsi" w:eastAsiaTheme="minorHAnsi" w:hAnsiTheme="minorHAnsi" w:cstheme="minorBidi"/>
          <w:b/>
          <w:bCs/>
          <w:color w:val="auto"/>
          <w:sz w:val="24"/>
          <w:szCs w:val="24"/>
          <w:lang w:eastAsia="en-IN"/>
        </w:rPr>
        <w:t>Summary</w:t>
      </w:r>
    </w:p>
    <w:p w14:paraId="2B0C99AD" w14:textId="22312F7C" w:rsidR="00B81106" w:rsidRPr="00B81106" w:rsidRDefault="00B81106" w:rsidP="00B81106">
      <w:pPr>
        <w:pStyle w:val="Heading1"/>
        <w:rPr>
          <w:rFonts w:asciiTheme="minorHAnsi" w:eastAsiaTheme="minorHAnsi" w:hAnsiTheme="minorHAnsi" w:cstheme="minorBidi"/>
          <w:color w:val="auto"/>
          <w:sz w:val="24"/>
          <w:szCs w:val="24"/>
          <w:lang w:eastAsia="en-IN"/>
        </w:rPr>
      </w:pPr>
      <w:r w:rsidRPr="00B81106">
        <w:rPr>
          <w:rFonts w:asciiTheme="minorHAnsi" w:eastAsiaTheme="minorHAnsi" w:hAnsiTheme="minorHAnsi" w:cstheme="minorBidi"/>
          <w:color w:val="auto"/>
          <w:sz w:val="24"/>
          <w:szCs w:val="24"/>
          <w:lang w:eastAsia="en-IN"/>
        </w:rPr>
        <w:t>This data shows a trend towards better compliance management over the years, with fewer incidents and penalties, indicating enhanced regulatory adherence and risk mitigation.</w:t>
      </w:r>
    </w:p>
    <w:p w14:paraId="2200045D" w14:textId="77995B05" w:rsidR="00B81106" w:rsidRPr="00153510" w:rsidRDefault="00B81106" w:rsidP="00153510">
      <w:pPr>
        <w:pStyle w:val="Heading2"/>
        <w:rPr>
          <w:rFonts w:eastAsia="Times New Roman"/>
          <w:sz w:val="40"/>
          <w:szCs w:val="40"/>
          <w:lang w:eastAsia="en-IN"/>
        </w:rPr>
      </w:pPr>
      <w:r w:rsidRPr="00B81106">
        <w:rPr>
          <w:rFonts w:eastAsia="Times New Roman"/>
          <w:lang w:eastAsia="en-IN"/>
        </w:rPr>
        <w:t>Technology and Systems</w:t>
      </w:r>
    </w:p>
    <w:tbl>
      <w:tblPr>
        <w:tblStyle w:val="TableGrid"/>
        <w:tblW w:w="7940" w:type="dxa"/>
        <w:tblLook w:val="04A0" w:firstRow="1" w:lastRow="0" w:firstColumn="1" w:lastColumn="0" w:noHBand="0" w:noVBand="1"/>
      </w:tblPr>
      <w:tblGrid>
        <w:gridCol w:w="1508"/>
        <w:gridCol w:w="1010"/>
        <w:gridCol w:w="1392"/>
        <w:gridCol w:w="2068"/>
        <w:gridCol w:w="1962"/>
      </w:tblGrid>
      <w:tr w:rsidR="00153510" w:rsidRPr="00153510" w14:paraId="6F2AF891" w14:textId="77777777" w:rsidTr="00153510">
        <w:trPr>
          <w:trHeight w:val="864"/>
        </w:trPr>
        <w:tc>
          <w:tcPr>
            <w:tcW w:w="1508" w:type="dxa"/>
            <w:hideMark/>
          </w:tcPr>
          <w:p w14:paraId="571722F2" w14:textId="77777777" w:rsidR="00153510" w:rsidRPr="00153510" w:rsidRDefault="00153510" w:rsidP="00153510">
            <w:pPr>
              <w:jc w:val="center"/>
              <w:rPr>
                <w:rFonts w:ascii="Aptos Narrow" w:eastAsia="Times New Roman" w:hAnsi="Aptos Narrow" w:cs="Times New Roman"/>
                <w:b/>
                <w:bCs/>
                <w:color w:val="000000"/>
                <w:kern w:val="0"/>
                <w:sz w:val="24"/>
                <w:szCs w:val="24"/>
                <w:lang w:eastAsia="en-IN"/>
                <w14:ligatures w14:val="none"/>
              </w:rPr>
            </w:pPr>
            <w:r w:rsidRPr="00153510">
              <w:rPr>
                <w:rFonts w:ascii="Aptos Narrow" w:eastAsia="Times New Roman" w:hAnsi="Aptos Narrow" w:cs="Times New Roman"/>
                <w:b/>
                <w:bCs/>
                <w:color w:val="000000"/>
                <w:kern w:val="0"/>
                <w:sz w:val="24"/>
                <w:szCs w:val="24"/>
                <w:lang w:eastAsia="en-IN"/>
                <w14:ligatures w14:val="none"/>
              </w:rPr>
              <w:t>System Type</w:t>
            </w:r>
          </w:p>
        </w:tc>
        <w:tc>
          <w:tcPr>
            <w:tcW w:w="1010" w:type="dxa"/>
            <w:hideMark/>
          </w:tcPr>
          <w:p w14:paraId="2DA4919B" w14:textId="77777777" w:rsidR="00153510" w:rsidRPr="00153510" w:rsidRDefault="00153510" w:rsidP="00153510">
            <w:pPr>
              <w:jc w:val="center"/>
              <w:rPr>
                <w:rFonts w:ascii="Aptos Narrow" w:eastAsia="Times New Roman" w:hAnsi="Aptos Narrow" w:cs="Times New Roman"/>
                <w:b/>
                <w:bCs/>
                <w:color w:val="000000"/>
                <w:kern w:val="0"/>
                <w:sz w:val="24"/>
                <w:szCs w:val="24"/>
                <w:lang w:eastAsia="en-IN"/>
                <w14:ligatures w14:val="none"/>
              </w:rPr>
            </w:pPr>
            <w:r w:rsidRPr="00153510">
              <w:rPr>
                <w:rFonts w:ascii="Aptos Narrow" w:eastAsia="Times New Roman" w:hAnsi="Aptos Narrow" w:cs="Times New Roman"/>
                <w:b/>
                <w:bCs/>
                <w:color w:val="000000"/>
                <w:kern w:val="0"/>
                <w:sz w:val="24"/>
                <w:szCs w:val="24"/>
                <w:lang w:eastAsia="en-IN"/>
                <w14:ligatures w14:val="none"/>
              </w:rPr>
              <w:t>Average Uptime (%)</w:t>
            </w:r>
          </w:p>
        </w:tc>
        <w:tc>
          <w:tcPr>
            <w:tcW w:w="1392" w:type="dxa"/>
            <w:hideMark/>
          </w:tcPr>
          <w:p w14:paraId="1D72AC2C" w14:textId="77777777" w:rsidR="00153510" w:rsidRPr="00153510" w:rsidRDefault="00153510" w:rsidP="00153510">
            <w:pPr>
              <w:jc w:val="center"/>
              <w:rPr>
                <w:rFonts w:ascii="Aptos Narrow" w:eastAsia="Times New Roman" w:hAnsi="Aptos Narrow" w:cs="Times New Roman"/>
                <w:b/>
                <w:bCs/>
                <w:color w:val="000000"/>
                <w:kern w:val="0"/>
                <w:sz w:val="24"/>
                <w:szCs w:val="24"/>
                <w:lang w:eastAsia="en-IN"/>
                <w14:ligatures w14:val="none"/>
              </w:rPr>
            </w:pPr>
            <w:r w:rsidRPr="00153510">
              <w:rPr>
                <w:rFonts w:ascii="Aptos Narrow" w:eastAsia="Times New Roman" w:hAnsi="Aptos Narrow" w:cs="Times New Roman"/>
                <w:b/>
                <w:bCs/>
                <w:color w:val="000000"/>
                <w:kern w:val="0"/>
                <w:sz w:val="24"/>
                <w:szCs w:val="24"/>
                <w:lang w:eastAsia="en-IN"/>
                <w14:ligatures w14:val="none"/>
              </w:rPr>
              <w:t>Number of Users</w:t>
            </w:r>
          </w:p>
        </w:tc>
        <w:tc>
          <w:tcPr>
            <w:tcW w:w="2068" w:type="dxa"/>
            <w:hideMark/>
          </w:tcPr>
          <w:p w14:paraId="5343C4B0" w14:textId="77777777" w:rsidR="00153510" w:rsidRPr="00153510" w:rsidRDefault="00153510" w:rsidP="00153510">
            <w:pPr>
              <w:jc w:val="center"/>
              <w:rPr>
                <w:rFonts w:ascii="Aptos Narrow" w:eastAsia="Times New Roman" w:hAnsi="Aptos Narrow" w:cs="Times New Roman"/>
                <w:b/>
                <w:bCs/>
                <w:color w:val="000000"/>
                <w:kern w:val="0"/>
                <w:sz w:val="24"/>
                <w:szCs w:val="24"/>
                <w:lang w:eastAsia="en-IN"/>
                <w14:ligatures w14:val="none"/>
              </w:rPr>
            </w:pPr>
            <w:r w:rsidRPr="00153510">
              <w:rPr>
                <w:rFonts w:ascii="Aptos Narrow" w:eastAsia="Times New Roman" w:hAnsi="Aptos Narrow" w:cs="Times New Roman"/>
                <w:b/>
                <w:bCs/>
                <w:color w:val="000000"/>
                <w:kern w:val="0"/>
                <w:sz w:val="24"/>
                <w:szCs w:val="24"/>
                <w:lang w:eastAsia="en-IN"/>
                <w14:ligatures w14:val="none"/>
              </w:rPr>
              <w:t>Annual Maintenance Cost (in $)</w:t>
            </w:r>
          </w:p>
        </w:tc>
        <w:tc>
          <w:tcPr>
            <w:tcW w:w="1962" w:type="dxa"/>
            <w:hideMark/>
          </w:tcPr>
          <w:p w14:paraId="69DD7052" w14:textId="77777777" w:rsidR="00153510" w:rsidRPr="00153510" w:rsidRDefault="00153510" w:rsidP="00153510">
            <w:pPr>
              <w:jc w:val="center"/>
              <w:rPr>
                <w:rFonts w:ascii="Aptos Narrow" w:eastAsia="Times New Roman" w:hAnsi="Aptos Narrow" w:cs="Times New Roman"/>
                <w:b/>
                <w:bCs/>
                <w:color w:val="000000"/>
                <w:kern w:val="0"/>
                <w:sz w:val="24"/>
                <w:szCs w:val="24"/>
                <w:lang w:eastAsia="en-IN"/>
                <w14:ligatures w14:val="none"/>
              </w:rPr>
            </w:pPr>
            <w:r w:rsidRPr="00153510">
              <w:rPr>
                <w:rFonts w:ascii="Aptos Narrow" w:eastAsia="Times New Roman" w:hAnsi="Aptos Narrow" w:cs="Times New Roman"/>
                <w:b/>
                <w:bCs/>
                <w:color w:val="000000"/>
                <w:kern w:val="0"/>
                <w:sz w:val="24"/>
                <w:szCs w:val="24"/>
                <w:lang w:eastAsia="en-IN"/>
                <w14:ligatures w14:val="none"/>
              </w:rPr>
              <w:t>Security Incidents (Annual)</w:t>
            </w:r>
          </w:p>
        </w:tc>
      </w:tr>
      <w:tr w:rsidR="00153510" w:rsidRPr="00153510" w14:paraId="1F30667D" w14:textId="77777777" w:rsidTr="00153510">
        <w:trPr>
          <w:trHeight w:val="288"/>
        </w:trPr>
        <w:tc>
          <w:tcPr>
            <w:tcW w:w="1508" w:type="dxa"/>
            <w:hideMark/>
          </w:tcPr>
          <w:p w14:paraId="5E8EB967" w14:textId="77777777" w:rsidR="00153510" w:rsidRPr="00153510" w:rsidRDefault="00153510" w:rsidP="00153510">
            <w:pPr>
              <w:rPr>
                <w:rFonts w:ascii="Aptos Narrow" w:eastAsia="Times New Roman" w:hAnsi="Aptos Narrow" w:cs="Times New Roman"/>
                <w:color w:val="000000"/>
                <w:kern w:val="0"/>
                <w:sz w:val="24"/>
                <w:szCs w:val="24"/>
                <w:lang w:eastAsia="en-IN"/>
                <w14:ligatures w14:val="none"/>
              </w:rPr>
            </w:pPr>
            <w:r w:rsidRPr="00153510">
              <w:rPr>
                <w:rFonts w:ascii="Aptos Narrow" w:eastAsia="Times New Roman" w:hAnsi="Aptos Narrow" w:cs="Times New Roman"/>
                <w:color w:val="000000"/>
                <w:kern w:val="0"/>
                <w:sz w:val="24"/>
                <w:szCs w:val="24"/>
                <w:lang w:eastAsia="en-IN"/>
                <w14:ligatures w14:val="none"/>
              </w:rPr>
              <w:t>PMS</w:t>
            </w:r>
          </w:p>
        </w:tc>
        <w:tc>
          <w:tcPr>
            <w:tcW w:w="1010" w:type="dxa"/>
            <w:hideMark/>
          </w:tcPr>
          <w:p w14:paraId="246B7F75" w14:textId="77777777" w:rsidR="00153510" w:rsidRPr="00153510" w:rsidRDefault="00153510" w:rsidP="00153510">
            <w:pPr>
              <w:jc w:val="right"/>
              <w:rPr>
                <w:rFonts w:ascii="Aptos Narrow" w:eastAsia="Times New Roman" w:hAnsi="Aptos Narrow" w:cs="Times New Roman"/>
                <w:color w:val="000000"/>
                <w:kern w:val="0"/>
                <w:sz w:val="24"/>
                <w:szCs w:val="24"/>
                <w:lang w:eastAsia="en-IN"/>
                <w14:ligatures w14:val="none"/>
              </w:rPr>
            </w:pPr>
            <w:r w:rsidRPr="00153510">
              <w:rPr>
                <w:rFonts w:ascii="Aptos Narrow" w:eastAsia="Times New Roman" w:hAnsi="Aptos Narrow" w:cs="Times New Roman"/>
                <w:color w:val="000000"/>
                <w:kern w:val="0"/>
                <w:sz w:val="24"/>
                <w:szCs w:val="24"/>
                <w:lang w:eastAsia="en-IN"/>
                <w14:ligatures w14:val="none"/>
              </w:rPr>
              <w:t>99.9</w:t>
            </w:r>
          </w:p>
        </w:tc>
        <w:tc>
          <w:tcPr>
            <w:tcW w:w="1392" w:type="dxa"/>
            <w:hideMark/>
          </w:tcPr>
          <w:p w14:paraId="4B057994" w14:textId="77777777" w:rsidR="00153510" w:rsidRPr="00153510" w:rsidRDefault="00153510" w:rsidP="00153510">
            <w:pPr>
              <w:jc w:val="right"/>
              <w:rPr>
                <w:rFonts w:ascii="Aptos Narrow" w:eastAsia="Times New Roman" w:hAnsi="Aptos Narrow" w:cs="Times New Roman"/>
                <w:color w:val="000000"/>
                <w:kern w:val="0"/>
                <w:sz w:val="24"/>
                <w:szCs w:val="24"/>
                <w:lang w:eastAsia="en-IN"/>
                <w14:ligatures w14:val="none"/>
              </w:rPr>
            </w:pPr>
            <w:r w:rsidRPr="00153510">
              <w:rPr>
                <w:rFonts w:ascii="Aptos Narrow" w:eastAsia="Times New Roman" w:hAnsi="Aptos Narrow" w:cs="Times New Roman"/>
                <w:color w:val="000000"/>
                <w:kern w:val="0"/>
                <w:sz w:val="24"/>
                <w:szCs w:val="24"/>
                <w:lang w:eastAsia="en-IN"/>
                <w14:ligatures w14:val="none"/>
              </w:rPr>
              <w:t>200</w:t>
            </w:r>
          </w:p>
        </w:tc>
        <w:tc>
          <w:tcPr>
            <w:tcW w:w="2068" w:type="dxa"/>
            <w:hideMark/>
          </w:tcPr>
          <w:p w14:paraId="2C1606F2" w14:textId="77777777" w:rsidR="00153510" w:rsidRPr="00153510" w:rsidRDefault="00153510" w:rsidP="00153510">
            <w:pPr>
              <w:jc w:val="right"/>
              <w:rPr>
                <w:rFonts w:ascii="Aptos Narrow" w:eastAsia="Times New Roman" w:hAnsi="Aptos Narrow" w:cs="Times New Roman"/>
                <w:color w:val="000000"/>
                <w:kern w:val="0"/>
                <w:sz w:val="24"/>
                <w:szCs w:val="24"/>
                <w:lang w:eastAsia="en-IN"/>
                <w14:ligatures w14:val="none"/>
              </w:rPr>
            </w:pPr>
            <w:r w:rsidRPr="00153510">
              <w:rPr>
                <w:rFonts w:ascii="Aptos Narrow" w:eastAsia="Times New Roman" w:hAnsi="Aptos Narrow" w:cs="Times New Roman"/>
                <w:color w:val="000000"/>
                <w:kern w:val="0"/>
                <w:sz w:val="24"/>
                <w:szCs w:val="24"/>
                <w:lang w:eastAsia="en-IN"/>
                <w14:ligatures w14:val="none"/>
              </w:rPr>
              <w:t>1,00,000</w:t>
            </w:r>
          </w:p>
        </w:tc>
        <w:tc>
          <w:tcPr>
            <w:tcW w:w="1962" w:type="dxa"/>
            <w:hideMark/>
          </w:tcPr>
          <w:p w14:paraId="64154622" w14:textId="77777777" w:rsidR="00153510" w:rsidRPr="00153510" w:rsidRDefault="00153510" w:rsidP="00153510">
            <w:pPr>
              <w:jc w:val="right"/>
              <w:rPr>
                <w:rFonts w:ascii="Aptos Narrow" w:eastAsia="Times New Roman" w:hAnsi="Aptos Narrow" w:cs="Times New Roman"/>
                <w:color w:val="000000"/>
                <w:kern w:val="0"/>
                <w:sz w:val="24"/>
                <w:szCs w:val="24"/>
                <w:lang w:eastAsia="en-IN"/>
                <w14:ligatures w14:val="none"/>
              </w:rPr>
            </w:pPr>
            <w:r w:rsidRPr="00153510">
              <w:rPr>
                <w:rFonts w:ascii="Aptos Narrow" w:eastAsia="Times New Roman" w:hAnsi="Aptos Narrow" w:cs="Times New Roman"/>
                <w:color w:val="000000"/>
                <w:kern w:val="0"/>
                <w:sz w:val="24"/>
                <w:szCs w:val="24"/>
                <w:lang w:eastAsia="en-IN"/>
                <w14:ligatures w14:val="none"/>
              </w:rPr>
              <w:t>0</w:t>
            </w:r>
          </w:p>
        </w:tc>
      </w:tr>
      <w:tr w:rsidR="00153510" w:rsidRPr="00153510" w14:paraId="6DF84A27" w14:textId="77777777" w:rsidTr="00153510">
        <w:trPr>
          <w:trHeight w:val="288"/>
        </w:trPr>
        <w:tc>
          <w:tcPr>
            <w:tcW w:w="1508" w:type="dxa"/>
            <w:hideMark/>
          </w:tcPr>
          <w:p w14:paraId="1ED87E9D" w14:textId="77777777" w:rsidR="00153510" w:rsidRPr="00153510" w:rsidRDefault="00153510" w:rsidP="00153510">
            <w:pPr>
              <w:rPr>
                <w:rFonts w:ascii="Aptos Narrow" w:eastAsia="Times New Roman" w:hAnsi="Aptos Narrow" w:cs="Times New Roman"/>
                <w:color w:val="000000"/>
                <w:kern w:val="0"/>
                <w:sz w:val="24"/>
                <w:szCs w:val="24"/>
                <w:lang w:eastAsia="en-IN"/>
                <w14:ligatures w14:val="none"/>
              </w:rPr>
            </w:pPr>
            <w:r w:rsidRPr="00153510">
              <w:rPr>
                <w:rFonts w:ascii="Aptos Narrow" w:eastAsia="Times New Roman" w:hAnsi="Aptos Narrow" w:cs="Times New Roman"/>
                <w:color w:val="000000"/>
                <w:kern w:val="0"/>
                <w:sz w:val="24"/>
                <w:szCs w:val="24"/>
                <w:lang w:eastAsia="en-IN"/>
                <w14:ligatures w14:val="none"/>
              </w:rPr>
              <w:t>CRM</w:t>
            </w:r>
          </w:p>
        </w:tc>
        <w:tc>
          <w:tcPr>
            <w:tcW w:w="1010" w:type="dxa"/>
            <w:hideMark/>
          </w:tcPr>
          <w:p w14:paraId="727DFF29" w14:textId="77777777" w:rsidR="00153510" w:rsidRPr="00153510" w:rsidRDefault="00153510" w:rsidP="00153510">
            <w:pPr>
              <w:jc w:val="right"/>
              <w:rPr>
                <w:rFonts w:ascii="Aptos Narrow" w:eastAsia="Times New Roman" w:hAnsi="Aptos Narrow" w:cs="Times New Roman"/>
                <w:color w:val="000000"/>
                <w:kern w:val="0"/>
                <w:sz w:val="24"/>
                <w:szCs w:val="24"/>
                <w:lang w:eastAsia="en-IN"/>
                <w14:ligatures w14:val="none"/>
              </w:rPr>
            </w:pPr>
            <w:r w:rsidRPr="00153510">
              <w:rPr>
                <w:rFonts w:ascii="Aptos Narrow" w:eastAsia="Times New Roman" w:hAnsi="Aptos Narrow" w:cs="Times New Roman"/>
                <w:color w:val="000000"/>
                <w:kern w:val="0"/>
                <w:sz w:val="24"/>
                <w:szCs w:val="24"/>
                <w:lang w:eastAsia="en-IN"/>
                <w14:ligatures w14:val="none"/>
              </w:rPr>
              <w:t>99.8</w:t>
            </w:r>
          </w:p>
        </w:tc>
        <w:tc>
          <w:tcPr>
            <w:tcW w:w="1392" w:type="dxa"/>
            <w:hideMark/>
          </w:tcPr>
          <w:p w14:paraId="66B2B596" w14:textId="77777777" w:rsidR="00153510" w:rsidRPr="00153510" w:rsidRDefault="00153510" w:rsidP="00153510">
            <w:pPr>
              <w:jc w:val="right"/>
              <w:rPr>
                <w:rFonts w:ascii="Aptos Narrow" w:eastAsia="Times New Roman" w:hAnsi="Aptos Narrow" w:cs="Times New Roman"/>
                <w:color w:val="000000"/>
                <w:kern w:val="0"/>
                <w:sz w:val="24"/>
                <w:szCs w:val="24"/>
                <w:lang w:eastAsia="en-IN"/>
                <w14:ligatures w14:val="none"/>
              </w:rPr>
            </w:pPr>
            <w:r w:rsidRPr="00153510">
              <w:rPr>
                <w:rFonts w:ascii="Aptos Narrow" w:eastAsia="Times New Roman" w:hAnsi="Aptos Narrow" w:cs="Times New Roman"/>
                <w:color w:val="000000"/>
                <w:kern w:val="0"/>
                <w:sz w:val="24"/>
                <w:szCs w:val="24"/>
                <w:lang w:eastAsia="en-IN"/>
                <w14:ligatures w14:val="none"/>
              </w:rPr>
              <w:t>150</w:t>
            </w:r>
          </w:p>
        </w:tc>
        <w:tc>
          <w:tcPr>
            <w:tcW w:w="2068" w:type="dxa"/>
            <w:hideMark/>
          </w:tcPr>
          <w:p w14:paraId="70ED38B2" w14:textId="77777777" w:rsidR="00153510" w:rsidRPr="00153510" w:rsidRDefault="00153510" w:rsidP="00153510">
            <w:pPr>
              <w:jc w:val="right"/>
              <w:rPr>
                <w:rFonts w:ascii="Aptos Narrow" w:eastAsia="Times New Roman" w:hAnsi="Aptos Narrow" w:cs="Times New Roman"/>
                <w:color w:val="000000"/>
                <w:kern w:val="0"/>
                <w:sz w:val="24"/>
                <w:szCs w:val="24"/>
                <w:lang w:eastAsia="en-IN"/>
                <w14:ligatures w14:val="none"/>
              </w:rPr>
            </w:pPr>
            <w:r w:rsidRPr="00153510">
              <w:rPr>
                <w:rFonts w:ascii="Aptos Narrow" w:eastAsia="Times New Roman" w:hAnsi="Aptos Narrow" w:cs="Times New Roman"/>
                <w:color w:val="000000"/>
                <w:kern w:val="0"/>
                <w:sz w:val="24"/>
                <w:szCs w:val="24"/>
                <w:lang w:eastAsia="en-IN"/>
                <w14:ligatures w14:val="none"/>
              </w:rPr>
              <w:t>80,000</w:t>
            </w:r>
          </w:p>
        </w:tc>
        <w:tc>
          <w:tcPr>
            <w:tcW w:w="1962" w:type="dxa"/>
            <w:hideMark/>
          </w:tcPr>
          <w:p w14:paraId="57A4F282" w14:textId="77777777" w:rsidR="00153510" w:rsidRPr="00153510" w:rsidRDefault="00153510" w:rsidP="00153510">
            <w:pPr>
              <w:jc w:val="right"/>
              <w:rPr>
                <w:rFonts w:ascii="Aptos Narrow" w:eastAsia="Times New Roman" w:hAnsi="Aptos Narrow" w:cs="Times New Roman"/>
                <w:color w:val="000000"/>
                <w:kern w:val="0"/>
                <w:sz w:val="24"/>
                <w:szCs w:val="24"/>
                <w:lang w:eastAsia="en-IN"/>
                <w14:ligatures w14:val="none"/>
              </w:rPr>
            </w:pPr>
            <w:r w:rsidRPr="00153510">
              <w:rPr>
                <w:rFonts w:ascii="Aptos Narrow" w:eastAsia="Times New Roman" w:hAnsi="Aptos Narrow" w:cs="Times New Roman"/>
                <w:color w:val="000000"/>
                <w:kern w:val="0"/>
                <w:sz w:val="24"/>
                <w:szCs w:val="24"/>
                <w:lang w:eastAsia="en-IN"/>
                <w14:ligatures w14:val="none"/>
              </w:rPr>
              <w:t>1</w:t>
            </w:r>
          </w:p>
        </w:tc>
      </w:tr>
      <w:tr w:rsidR="00153510" w:rsidRPr="00153510" w14:paraId="2164C681" w14:textId="77777777" w:rsidTr="00153510">
        <w:trPr>
          <w:trHeight w:val="576"/>
        </w:trPr>
        <w:tc>
          <w:tcPr>
            <w:tcW w:w="1508" w:type="dxa"/>
            <w:hideMark/>
          </w:tcPr>
          <w:p w14:paraId="6941ADB5" w14:textId="77777777" w:rsidR="00153510" w:rsidRPr="00153510" w:rsidRDefault="00153510" w:rsidP="00153510">
            <w:pPr>
              <w:rPr>
                <w:rFonts w:ascii="Aptos Narrow" w:eastAsia="Times New Roman" w:hAnsi="Aptos Narrow" w:cs="Times New Roman"/>
                <w:color w:val="000000"/>
                <w:kern w:val="0"/>
                <w:sz w:val="24"/>
                <w:szCs w:val="24"/>
                <w:lang w:eastAsia="en-IN"/>
                <w14:ligatures w14:val="none"/>
              </w:rPr>
            </w:pPr>
            <w:r w:rsidRPr="00153510">
              <w:rPr>
                <w:rFonts w:ascii="Aptos Narrow" w:eastAsia="Times New Roman" w:hAnsi="Aptos Narrow" w:cs="Times New Roman"/>
                <w:color w:val="000000"/>
                <w:kern w:val="0"/>
                <w:sz w:val="24"/>
                <w:szCs w:val="24"/>
                <w:lang w:eastAsia="en-IN"/>
                <w14:ligatures w14:val="none"/>
              </w:rPr>
              <w:t>Data Security</w:t>
            </w:r>
          </w:p>
        </w:tc>
        <w:tc>
          <w:tcPr>
            <w:tcW w:w="1010" w:type="dxa"/>
            <w:hideMark/>
          </w:tcPr>
          <w:p w14:paraId="17B1D631" w14:textId="77777777" w:rsidR="00153510" w:rsidRPr="00153510" w:rsidRDefault="00153510" w:rsidP="00153510">
            <w:pPr>
              <w:jc w:val="right"/>
              <w:rPr>
                <w:rFonts w:ascii="Aptos Narrow" w:eastAsia="Times New Roman" w:hAnsi="Aptos Narrow" w:cs="Times New Roman"/>
                <w:color w:val="000000"/>
                <w:kern w:val="0"/>
                <w:sz w:val="24"/>
                <w:szCs w:val="24"/>
                <w:lang w:eastAsia="en-IN"/>
                <w14:ligatures w14:val="none"/>
              </w:rPr>
            </w:pPr>
            <w:r w:rsidRPr="00153510">
              <w:rPr>
                <w:rFonts w:ascii="Aptos Narrow" w:eastAsia="Times New Roman" w:hAnsi="Aptos Narrow" w:cs="Times New Roman"/>
                <w:color w:val="000000"/>
                <w:kern w:val="0"/>
                <w:sz w:val="24"/>
                <w:szCs w:val="24"/>
                <w:lang w:eastAsia="en-IN"/>
                <w14:ligatures w14:val="none"/>
              </w:rPr>
              <w:t>99.9</w:t>
            </w:r>
          </w:p>
        </w:tc>
        <w:tc>
          <w:tcPr>
            <w:tcW w:w="1392" w:type="dxa"/>
            <w:hideMark/>
          </w:tcPr>
          <w:p w14:paraId="1C72DCAF" w14:textId="77777777" w:rsidR="00153510" w:rsidRPr="00153510" w:rsidRDefault="00153510" w:rsidP="00153510">
            <w:pPr>
              <w:jc w:val="right"/>
              <w:rPr>
                <w:rFonts w:ascii="Aptos Narrow" w:eastAsia="Times New Roman" w:hAnsi="Aptos Narrow" w:cs="Times New Roman"/>
                <w:color w:val="000000"/>
                <w:kern w:val="0"/>
                <w:sz w:val="24"/>
                <w:szCs w:val="24"/>
                <w:lang w:eastAsia="en-IN"/>
                <w14:ligatures w14:val="none"/>
              </w:rPr>
            </w:pPr>
            <w:r w:rsidRPr="00153510">
              <w:rPr>
                <w:rFonts w:ascii="Aptos Narrow" w:eastAsia="Times New Roman" w:hAnsi="Aptos Narrow" w:cs="Times New Roman"/>
                <w:color w:val="000000"/>
                <w:kern w:val="0"/>
                <w:sz w:val="24"/>
                <w:szCs w:val="24"/>
                <w:lang w:eastAsia="en-IN"/>
                <w14:ligatures w14:val="none"/>
              </w:rPr>
              <w:t>250</w:t>
            </w:r>
          </w:p>
        </w:tc>
        <w:tc>
          <w:tcPr>
            <w:tcW w:w="2068" w:type="dxa"/>
            <w:hideMark/>
          </w:tcPr>
          <w:p w14:paraId="7D88F8F7" w14:textId="77777777" w:rsidR="00153510" w:rsidRPr="00153510" w:rsidRDefault="00153510" w:rsidP="00153510">
            <w:pPr>
              <w:jc w:val="right"/>
              <w:rPr>
                <w:rFonts w:ascii="Aptos Narrow" w:eastAsia="Times New Roman" w:hAnsi="Aptos Narrow" w:cs="Times New Roman"/>
                <w:color w:val="000000"/>
                <w:kern w:val="0"/>
                <w:sz w:val="24"/>
                <w:szCs w:val="24"/>
                <w:lang w:eastAsia="en-IN"/>
                <w14:ligatures w14:val="none"/>
              </w:rPr>
            </w:pPr>
            <w:r w:rsidRPr="00153510">
              <w:rPr>
                <w:rFonts w:ascii="Aptos Narrow" w:eastAsia="Times New Roman" w:hAnsi="Aptos Narrow" w:cs="Times New Roman"/>
                <w:color w:val="000000"/>
                <w:kern w:val="0"/>
                <w:sz w:val="24"/>
                <w:szCs w:val="24"/>
                <w:lang w:eastAsia="en-IN"/>
                <w14:ligatures w14:val="none"/>
              </w:rPr>
              <w:t>1,20,000</w:t>
            </w:r>
          </w:p>
        </w:tc>
        <w:tc>
          <w:tcPr>
            <w:tcW w:w="1962" w:type="dxa"/>
            <w:hideMark/>
          </w:tcPr>
          <w:p w14:paraId="0AC4224E" w14:textId="77777777" w:rsidR="00153510" w:rsidRPr="00153510" w:rsidRDefault="00153510" w:rsidP="00153510">
            <w:pPr>
              <w:jc w:val="right"/>
              <w:rPr>
                <w:rFonts w:ascii="Aptos Narrow" w:eastAsia="Times New Roman" w:hAnsi="Aptos Narrow" w:cs="Times New Roman"/>
                <w:color w:val="000000"/>
                <w:kern w:val="0"/>
                <w:sz w:val="24"/>
                <w:szCs w:val="24"/>
                <w:lang w:eastAsia="en-IN"/>
                <w14:ligatures w14:val="none"/>
              </w:rPr>
            </w:pPr>
            <w:r w:rsidRPr="00153510">
              <w:rPr>
                <w:rFonts w:ascii="Aptos Narrow" w:eastAsia="Times New Roman" w:hAnsi="Aptos Narrow" w:cs="Times New Roman"/>
                <w:color w:val="000000"/>
                <w:kern w:val="0"/>
                <w:sz w:val="24"/>
                <w:szCs w:val="24"/>
                <w:lang w:eastAsia="en-IN"/>
                <w14:ligatures w14:val="none"/>
              </w:rPr>
              <w:t>0</w:t>
            </w:r>
          </w:p>
        </w:tc>
      </w:tr>
    </w:tbl>
    <w:p w14:paraId="294380AD" w14:textId="0CA7D181" w:rsidR="00B81106" w:rsidRDefault="00153510" w:rsidP="00B81106">
      <w:pPr>
        <w:rPr>
          <w:lang w:eastAsia="en-IN"/>
        </w:rPr>
      </w:pPr>
      <w:r>
        <w:rPr>
          <w:noProof/>
        </w:rPr>
        <w:drawing>
          <wp:anchor distT="0" distB="0" distL="114300" distR="114300" simplePos="0" relativeHeight="251658240" behindDoc="0" locked="0" layoutInCell="1" allowOverlap="1" wp14:anchorId="475EE56C" wp14:editId="2E9B878B">
            <wp:simplePos x="0" y="0"/>
            <wp:positionH relativeFrom="column">
              <wp:posOffset>304800</wp:posOffset>
            </wp:positionH>
            <wp:positionV relativeFrom="paragraph">
              <wp:posOffset>-5469890</wp:posOffset>
            </wp:positionV>
            <wp:extent cx="4678680" cy="2461260"/>
            <wp:effectExtent l="0" t="0" r="7620" b="15240"/>
            <wp:wrapTopAndBottom/>
            <wp:docPr id="1514730627" name="Chart 1">
              <a:extLst xmlns:a="http://schemas.openxmlformats.org/drawingml/2006/main">
                <a:ext uri="{FF2B5EF4-FFF2-40B4-BE49-F238E27FC236}">
                  <a16:creationId xmlns:a16="http://schemas.microsoft.com/office/drawing/2014/main" id="{ACAC7BB9-3E23-CEBE-ACE4-56F6788E53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62F37B96" w14:textId="77777777" w:rsidR="00153510" w:rsidRDefault="00153510" w:rsidP="00153510">
      <w:pPr>
        <w:rPr>
          <w:lang w:eastAsia="en-IN"/>
        </w:rPr>
      </w:pPr>
    </w:p>
    <w:p w14:paraId="11FBFC1A" w14:textId="77777777" w:rsidR="00153510" w:rsidRPr="00153510" w:rsidRDefault="00153510" w:rsidP="00153510">
      <w:pPr>
        <w:rPr>
          <w:sz w:val="24"/>
          <w:szCs w:val="24"/>
          <w:lang w:eastAsia="en-IN"/>
        </w:rPr>
      </w:pPr>
      <w:r w:rsidRPr="00153510">
        <w:rPr>
          <w:b/>
          <w:bCs/>
          <w:sz w:val="24"/>
          <w:szCs w:val="24"/>
          <w:lang w:eastAsia="en-IN"/>
        </w:rPr>
        <w:lastRenderedPageBreak/>
        <w:t>Interpretation of Technology and Systems Table</w:t>
      </w:r>
    </w:p>
    <w:p w14:paraId="0B033808" w14:textId="77777777" w:rsidR="00153510" w:rsidRPr="00153510" w:rsidRDefault="00153510" w:rsidP="00153510">
      <w:pPr>
        <w:rPr>
          <w:sz w:val="24"/>
          <w:szCs w:val="24"/>
          <w:lang w:eastAsia="en-IN"/>
        </w:rPr>
      </w:pPr>
      <w:r w:rsidRPr="00153510">
        <w:rPr>
          <w:sz w:val="24"/>
          <w:szCs w:val="24"/>
          <w:lang w:eastAsia="en-IN"/>
        </w:rPr>
        <w:t>The Technology and Systems table provides essential information about various systems used in wealth management operations, including their average uptime, number of users, annual maintenance costs, and security incidents. Here’s a concise interpretation:</w:t>
      </w:r>
    </w:p>
    <w:p w14:paraId="1589426E" w14:textId="77777777" w:rsidR="00153510" w:rsidRPr="00153510" w:rsidRDefault="00153510" w:rsidP="00153510">
      <w:pPr>
        <w:pStyle w:val="ListParagraph"/>
        <w:numPr>
          <w:ilvl w:val="0"/>
          <w:numId w:val="26"/>
        </w:numPr>
        <w:rPr>
          <w:sz w:val="24"/>
          <w:szCs w:val="24"/>
          <w:lang w:eastAsia="en-IN"/>
        </w:rPr>
      </w:pPr>
      <w:r w:rsidRPr="00153510">
        <w:rPr>
          <w:b/>
          <w:bCs/>
          <w:sz w:val="24"/>
          <w:szCs w:val="24"/>
          <w:lang w:eastAsia="en-IN"/>
        </w:rPr>
        <w:t>System Type and Average Uptime</w:t>
      </w:r>
    </w:p>
    <w:p w14:paraId="4DC6404A" w14:textId="77777777" w:rsidR="00153510" w:rsidRPr="00153510" w:rsidRDefault="00153510" w:rsidP="00153510">
      <w:pPr>
        <w:pStyle w:val="ListParagraph"/>
        <w:numPr>
          <w:ilvl w:val="0"/>
          <w:numId w:val="26"/>
        </w:numPr>
        <w:rPr>
          <w:sz w:val="24"/>
          <w:szCs w:val="24"/>
          <w:lang w:eastAsia="en-IN"/>
        </w:rPr>
      </w:pPr>
      <w:r w:rsidRPr="00153510">
        <w:rPr>
          <w:b/>
          <w:bCs/>
          <w:sz w:val="24"/>
          <w:szCs w:val="24"/>
          <w:lang w:eastAsia="en-IN"/>
        </w:rPr>
        <w:t>PMS (Portfolio Management System):</w:t>
      </w:r>
      <w:r w:rsidRPr="00153510">
        <w:rPr>
          <w:sz w:val="24"/>
          <w:szCs w:val="24"/>
          <w:lang w:eastAsia="en-IN"/>
        </w:rPr>
        <w:t xml:space="preserve"> 99.9% average uptime</w:t>
      </w:r>
    </w:p>
    <w:p w14:paraId="499D37EA" w14:textId="77777777" w:rsidR="00153510" w:rsidRPr="00153510" w:rsidRDefault="00153510" w:rsidP="00153510">
      <w:pPr>
        <w:pStyle w:val="ListParagraph"/>
        <w:numPr>
          <w:ilvl w:val="0"/>
          <w:numId w:val="26"/>
        </w:numPr>
        <w:rPr>
          <w:sz w:val="24"/>
          <w:szCs w:val="24"/>
          <w:lang w:eastAsia="en-IN"/>
        </w:rPr>
      </w:pPr>
      <w:r w:rsidRPr="00153510">
        <w:rPr>
          <w:b/>
          <w:bCs/>
          <w:sz w:val="24"/>
          <w:szCs w:val="24"/>
          <w:lang w:eastAsia="en-IN"/>
        </w:rPr>
        <w:t>CRM (Customer Relationship Management):</w:t>
      </w:r>
      <w:r w:rsidRPr="00153510">
        <w:rPr>
          <w:sz w:val="24"/>
          <w:szCs w:val="24"/>
          <w:lang w:eastAsia="en-IN"/>
        </w:rPr>
        <w:t xml:space="preserve"> 99.8% average uptime</w:t>
      </w:r>
    </w:p>
    <w:p w14:paraId="2F76EE77" w14:textId="77777777" w:rsidR="00153510" w:rsidRPr="00153510" w:rsidRDefault="00153510" w:rsidP="00153510">
      <w:pPr>
        <w:pStyle w:val="ListParagraph"/>
        <w:numPr>
          <w:ilvl w:val="0"/>
          <w:numId w:val="26"/>
        </w:numPr>
        <w:rPr>
          <w:sz w:val="24"/>
          <w:szCs w:val="24"/>
          <w:lang w:eastAsia="en-IN"/>
        </w:rPr>
      </w:pPr>
      <w:r w:rsidRPr="00153510">
        <w:rPr>
          <w:b/>
          <w:bCs/>
          <w:sz w:val="24"/>
          <w:szCs w:val="24"/>
          <w:lang w:eastAsia="en-IN"/>
        </w:rPr>
        <w:t>Data Security System:</w:t>
      </w:r>
      <w:r w:rsidRPr="00153510">
        <w:rPr>
          <w:sz w:val="24"/>
          <w:szCs w:val="24"/>
          <w:lang w:eastAsia="en-IN"/>
        </w:rPr>
        <w:t xml:space="preserve"> 99.9% average uptime</w:t>
      </w:r>
    </w:p>
    <w:p w14:paraId="00A718A3" w14:textId="77777777" w:rsidR="00153510" w:rsidRPr="00153510" w:rsidRDefault="00153510" w:rsidP="00153510">
      <w:pPr>
        <w:rPr>
          <w:sz w:val="24"/>
          <w:szCs w:val="24"/>
          <w:lang w:eastAsia="en-IN"/>
        </w:rPr>
      </w:pPr>
      <w:r w:rsidRPr="00153510">
        <w:rPr>
          <w:sz w:val="24"/>
          <w:szCs w:val="24"/>
          <w:lang w:eastAsia="en-IN"/>
        </w:rPr>
        <w:t>These high uptime percentages indicate robust reliability and availability of critical systems, ensuring minimal disruption to operations and client services.</w:t>
      </w:r>
    </w:p>
    <w:p w14:paraId="2568CAAE" w14:textId="77777777" w:rsidR="00153510" w:rsidRPr="00153510" w:rsidRDefault="00153510" w:rsidP="00153510">
      <w:pPr>
        <w:pStyle w:val="ListParagraph"/>
        <w:numPr>
          <w:ilvl w:val="0"/>
          <w:numId w:val="25"/>
        </w:numPr>
        <w:rPr>
          <w:sz w:val="24"/>
          <w:szCs w:val="24"/>
          <w:lang w:eastAsia="en-IN"/>
        </w:rPr>
      </w:pPr>
      <w:r w:rsidRPr="00153510">
        <w:rPr>
          <w:b/>
          <w:bCs/>
          <w:sz w:val="24"/>
          <w:szCs w:val="24"/>
          <w:lang w:eastAsia="en-IN"/>
        </w:rPr>
        <w:t>Number of Users</w:t>
      </w:r>
    </w:p>
    <w:p w14:paraId="40344828" w14:textId="77777777" w:rsidR="00153510" w:rsidRPr="00153510" w:rsidRDefault="00153510" w:rsidP="00153510">
      <w:pPr>
        <w:pStyle w:val="ListParagraph"/>
        <w:numPr>
          <w:ilvl w:val="0"/>
          <w:numId w:val="25"/>
        </w:numPr>
        <w:rPr>
          <w:sz w:val="24"/>
          <w:szCs w:val="24"/>
          <w:lang w:eastAsia="en-IN"/>
        </w:rPr>
      </w:pPr>
      <w:r w:rsidRPr="00153510">
        <w:rPr>
          <w:b/>
          <w:bCs/>
          <w:sz w:val="24"/>
          <w:szCs w:val="24"/>
          <w:lang w:eastAsia="en-IN"/>
        </w:rPr>
        <w:t>PMS:</w:t>
      </w:r>
      <w:r w:rsidRPr="00153510">
        <w:rPr>
          <w:sz w:val="24"/>
          <w:szCs w:val="24"/>
          <w:lang w:eastAsia="en-IN"/>
        </w:rPr>
        <w:t xml:space="preserve"> 200 users</w:t>
      </w:r>
    </w:p>
    <w:p w14:paraId="30C10ECC" w14:textId="77777777" w:rsidR="00153510" w:rsidRPr="00153510" w:rsidRDefault="00153510" w:rsidP="00153510">
      <w:pPr>
        <w:pStyle w:val="ListParagraph"/>
        <w:numPr>
          <w:ilvl w:val="0"/>
          <w:numId w:val="25"/>
        </w:numPr>
        <w:rPr>
          <w:sz w:val="24"/>
          <w:szCs w:val="24"/>
          <w:lang w:eastAsia="en-IN"/>
        </w:rPr>
      </w:pPr>
      <w:r w:rsidRPr="00153510">
        <w:rPr>
          <w:b/>
          <w:bCs/>
          <w:sz w:val="24"/>
          <w:szCs w:val="24"/>
          <w:lang w:eastAsia="en-IN"/>
        </w:rPr>
        <w:t>CRM:</w:t>
      </w:r>
      <w:r w:rsidRPr="00153510">
        <w:rPr>
          <w:sz w:val="24"/>
          <w:szCs w:val="24"/>
          <w:lang w:eastAsia="en-IN"/>
        </w:rPr>
        <w:t xml:space="preserve"> 150 users</w:t>
      </w:r>
    </w:p>
    <w:p w14:paraId="7961653F" w14:textId="77777777" w:rsidR="00153510" w:rsidRPr="00153510" w:rsidRDefault="00153510" w:rsidP="00153510">
      <w:pPr>
        <w:pStyle w:val="ListParagraph"/>
        <w:numPr>
          <w:ilvl w:val="0"/>
          <w:numId w:val="25"/>
        </w:numPr>
        <w:rPr>
          <w:sz w:val="24"/>
          <w:szCs w:val="24"/>
          <w:lang w:eastAsia="en-IN"/>
        </w:rPr>
      </w:pPr>
      <w:r w:rsidRPr="00153510">
        <w:rPr>
          <w:b/>
          <w:bCs/>
          <w:sz w:val="24"/>
          <w:szCs w:val="24"/>
          <w:lang w:eastAsia="en-IN"/>
        </w:rPr>
        <w:t>Data Security System:</w:t>
      </w:r>
      <w:r w:rsidRPr="00153510">
        <w:rPr>
          <w:sz w:val="24"/>
          <w:szCs w:val="24"/>
          <w:lang w:eastAsia="en-IN"/>
        </w:rPr>
        <w:t xml:space="preserve"> 250 users</w:t>
      </w:r>
    </w:p>
    <w:p w14:paraId="28762A7C" w14:textId="77777777" w:rsidR="00153510" w:rsidRPr="00153510" w:rsidRDefault="00153510" w:rsidP="00153510">
      <w:pPr>
        <w:rPr>
          <w:sz w:val="24"/>
          <w:szCs w:val="24"/>
          <w:lang w:eastAsia="en-IN"/>
        </w:rPr>
      </w:pPr>
      <w:r w:rsidRPr="00153510">
        <w:rPr>
          <w:sz w:val="24"/>
          <w:szCs w:val="24"/>
          <w:lang w:eastAsia="en-IN"/>
        </w:rPr>
        <w:t>The number of users reflects the scale and usage of each system within the organization, supporting efficient management of client portfolios, relationships, and data security.</w:t>
      </w:r>
    </w:p>
    <w:p w14:paraId="58488F9E" w14:textId="77777777" w:rsidR="00153510" w:rsidRPr="00153510" w:rsidRDefault="00153510" w:rsidP="00153510">
      <w:pPr>
        <w:pStyle w:val="ListParagraph"/>
        <w:numPr>
          <w:ilvl w:val="0"/>
          <w:numId w:val="24"/>
        </w:numPr>
        <w:rPr>
          <w:sz w:val="24"/>
          <w:szCs w:val="24"/>
          <w:lang w:eastAsia="en-IN"/>
        </w:rPr>
      </w:pPr>
      <w:r w:rsidRPr="00153510">
        <w:rPr>
          <w:b/>
          <w:bCs/>
          <w:sz w:val="24"/>
          <w:szCs w:val="24"/>
          <w:lang w:eastAsia="en-IN"/>
        </w:rPr>
        <w:t>Annual Maintenance Cost (in $)</w:t>
      </w:r>
    </w:p>
    <w:p w14:paraId="72BA7F8E" w14:textId="77777777" w:rsidR="00153510" w:rsidRPr="00153510" w:rsidRDefault="00153510" w:rsidP="00153510">
      <w:pPr>
        <w:pStyle w:val="ListParagraph"/>
        <w:numPr>
          <w:ilvl w:val="0"/>
          <w:numId w:val="24"/>
        </w:numPr>
        <w:rPr>
          <w:sz w:val="24"/>
          <w:szCs w:val="24"/>
          <w:lang w:eastAsia="en-IN"/>
        </w:rPr>
      </w:pPr>
      <w:r w:rsidRPr="00153510">
        <w:rPr>
          <w:b/>
          <w:bCs/>
          <w:sz w:val="24"/>
          <w:szCs w:val="24"/>
          <w:lang w:eastAsia="en-IN"/>
        </w:rPr>
        <w:t>PMS:</w:t>
      </w:r>
      <w:r w:rsidRPr="00153510">
        <w:rPr>
          <w:sz w:val="24"/>
          <w:szCs w:val="24"/>
          <w:lang w:eastAsia="en-IN"/>
        </w:rPr>
        <w:t xml:space="preserve"> $100,000</w:t>
      </w:r>
    </w:p>
    <w:p w14:paraId="77BC5EA6" w14:textId="77777777" w:rsidR="00153510" w:rsidRPr="00153510" w:rsidRDefault="00153510" w:rsidP="00153510">
      <w:pPr>
        <w:pStyle w:val="ListParagraph"/>
        <w:numPr>
          <w:ilvl w:val="0"/>
          <w:numId w:val="24"/>
        </w:numPr>
        <w:rPr>
          <w:sz w:val="24"/>
          <w:szCs w:val="24"/>
          <w:lang w:eastAsia="en-IN"/>
        </w:rPr>
      </w:pPr>
      <w:r w:rsidRPr="00153510">
        <w:rPr>
          <w:b/>
          <w:bCs/>
          <w:sz w:val="24"/>
          <w:szCs w:val="24"/>
          <w:lang w:eastAsia="en-IN"/>
        </w:rPr>
        <w:t>CRM:</w:t>
      </w:r>
      <w:r w:rsidRPr="00153510">
        <w:rPr>
          <w:sz w:val="24"/>
          <w:szCs w:val="24"/>
          <w:lang w:eastAsia="en-IN"/>
        </w:rPr>
        <w:t xml:space="preserve"> $80,000</w:t>
      </w:r>
    </w:p>
    <w:p w14:paraId="1087EE15" w14:textId="77777777" w:rsidR="00153510" w:rsidRPr="00153510" w:rsidRDefault="00153510" w:rsidP="00153510">
      <w:pPr>
        <w:pStyle w:val="ListParagraph"/>
        <w:numPr>
          <w:ilvl w:val="0"/>
          <w:numId w:val="24"/>
        </w:numPr>
        <w:rPr>
          <w:sz w:val="24"/>
          <w:szCs w:val="24"/>
          <w:lang w:eastAsia="en-IN"/>
        </w:rPr>
      </w:pPr>
      <w:r w:rsidRPr="00153510">
        <w:rPr>
          <w:b/>
          <w:bCs/>
          <w:sz w:val="24"/>
          <w:szCs w:val="24"/>
          <w:lang w:eastAsia="en-IN"/>
        </w:rPr>
        <w:t>Data Security System:</w:t>
      </w:r>
      <w:r w:rsidRPr="00153510">
        <w:rPr>
          <w:sz w:val="24"/>
          <w:szCs w:val="24"/>
          <w:lang w:eastAsia="en-IN"/>
        </w:rPr>
        <w:t xml:space="preserve"> $120,000</w:t>
      </w:r>
    </w:p>
    <w:p w14:paraId="49C56522" w14:textId="77777777" w:rsidR="00153510" w:rsidRPr="00153510" w:rsidRDefault="00153510" w:rsidP="00153510">
      <w:pPr>
        <w:rPr>
          <w:sz w:val="24"/>
          <w:szCs w:val="24"/>
          <w:lang w:eastAsia="en-IN"/>
        </w:rPr>
      </w:pPr>
      <w:r w:rsidRPr="00153510">
        <w:rPr>
          <w:sz w:val="24"/>
          <w:szCs w:val="24"/>
          <w:lang w:eastAsia="en-IN"/>
        </w:rPr>
        <w:t>The annual maintenance costs indicate the investment in maintaining and upgrading these systems to ensure optimal performance and security.</w:t>
      </w:r>
    </w:p>
    <w:p w14:paraId="34C5AA76" w14:textId="77777777" w:rsidR="00153510" w:rsidRPr="00153510" w:rsidRDefault="00153510" w:rsidP="00153510">
      <w:pPr>
        <w:pStyle w:val="ListParagraph"/>
        <w:numPr>
          <w:ilvl w:val="0"/>
          <w:numId w:val="23"/>
        </w:numPr>
        <w:rPr>
          <w:sz w:val="24"/>
          <w:szCs w:val="24"/>
          <w:lang w:eastAsia="en-IN"/>
        </w:rPr>
      </w:pPr>
      <w:r w:rsidRPr="00153510">
        <w:rPr>
          <w:b/>
          <w:bCs/>
          <w:sz w:val="24"/>
          <w:szCs w:val="24"/>
          <w:lang w:eastAsia="en-IN"/>
        </w:rPr>
        <w:t>Security Incidents (Annual)</w:t>
      </w:r>
    </w:p>
    <w:p w14:paraId="1E2933EE" w14:textId="77777777" w:rsidR="00153510" w:rsidRPr="00153510" w:rsidRDefault="00153510" w:rsidP="00153510">
      <w:pPr>
        <w:pStyle w:val="ListParagraph"/>
        <w:numPr>
          <w:ilvl w:val="0"/>
          <w:numId w:val="23"/>
        </w:numPr>
        <w:rPr>
          <w:sz w:val="24"/>
          <w:szCs w:val="24"/>
          <w:lang w:eastAsia="en-IN"/>
        </w:rPr>
      </w:pPr>
      <w:r w:rsidRPr="00153510">
        <w:rPr>
          <w:b/>
          <w:bCs/>
          <w:sz w:val="24"/>
          <w:szCs w:val="24"/>
          <w:lang w:eastAsia="en-IN"/>
        </w:rPr>
        <w:t>PMS:</w:t>
      </w:r>
      <w:r w:rsidRPr="00153510">
        <w:rPr>
          <w:sz w:val="24"/>
          <w:szCs w:val="24"/>
          <w:lang w:eastAsia="en-IN"/>
        </w:rPr>
        <w:t xml:space="preserve"> 0 security incidents</w:t>
      </w:r>
    </w:p>
    <w:p w14:paraId="2DB9FABE" w14:textId="77777777" w:rsidR="00153510" w:rsidRPr="00153510" w:rsidRDefault="00153510" w:rsidP="00153510">
      <w:pPr>
        <w:pStyle w:val="ListParagraph"/>
        <w:numPr>
          <w:ilvl w:val="0"/>
          <w:numId w:val="23"/>
        </w:numPr>
        <w:rPr>
          <w:sz w:val="24"/>
          <w:szCs w:val="24"/>
          <w:lang w:eastAsia="en-IN"/>
        </w:rPr>
      </w:pPr>
      <w:r w:rsidRPr="00153510">
        <w:rPr>
          <w:b/>
          <w:bCs/>
          <w:sz w:val="24"/>
          <w:szCs w:val="24"/>
          <w:lang w:eastAsia="en-IN"/>
        </w:rPr>
        <w:t>CRM:</w:t>
      </w:r>
      <w:r w:rsidRPr="00153510">
        <w:rPr>
          <w:sz w:val="24"/>
          <w:szCs w:val="24"/>
          <w:lang w:eastAsia="en-IN"/>
        </w:rPr>
        <w:t xml:space="preserve"> 1 security incident</w:t>
      </w:r>
    </w:p>
    <w:p w14:paraId="52D5173A" w14:textId="77777777" w:rsidR="00153510" w:rsidRPr="00153510" w:rsidRDefault="00153510" w:rsidP="00153510">
      <w:pPr>
        <w:pStyle w:val="ListParagraph"/>
        <w:numPr>
          <w:ilvl w:val="0"/>
          <w:numId w:val="23"/>
        </w:numPr>
        <w:rPr>
          <w:sz w:val="24"/>
          <w:szCs w:val="24"/>
          <w:lang w:eastAsia="en-IN"/>
        </w:rPr>
      </w:pPr>
      <w:r w:rsidRPr="00153510">
        <w:rPr>
          <w:b/>
          <w:bCs/>
          <w:sz w:val="24"/>
          <w:szCs w:val="24"/>
          <w:lang w:eastAsia="en-IN"/>
        </w:rPr>
        <w:t>Data Security System:</w:t>
      </w:r>
      <w:r w:rsidRPr="00153510">
        <w:rPr>
          <w:sz w:val="24"/>
          <w:szCs w:val="24"/>
          <w:lang w:eastAsia="en-IN"/>
        </w:rPr>
        <w:t xml:space="preserve"> 0 security incidents</w:t>
      </w:r>
    </w:p>
    <w:p w14:paraId="53E8DB7E" w14:textId="77777777" w:rsidR="00153510" w:rsidRPr="00153510" w:rsidRDefault="00153510" w:rsidP="00153510">
      <w:pPr>
        <w:rPr>
          <w:sz w:val="24"/>
          <w:szCs w:val="24"/>
          <w:lang w:eastAsia="en-IN"/>
        </w:rPr>
      </w:pPr>
      <w:r w:rsidRPr="00153510">
        <w:rPr>
          <w:sz w:val="24"/>
          <w:szCs w:val="24"/>
          <w:lang w:eastAsia="en-IN"/>
        </w:rPr>
        <w:t>The low number of security incidents (or none in the case of PMS and Data Security System) highlights effective security measures and protocols in place to protect sensitive client information and mitigate cyber risks.</w:t>
      </w:r>
    </w:p>
    <w:p w14:paraId="27395F4B" w14:textId="77777777" w:rsidR="00153510" w:rsidRPr="00153510" w:rsidRDefault="00153510" w:rsidP="00153510">
      <w:pPr>
        <w:rPr>
          <w:sz w:val="24"/>
          <w:szCs w:val="24"/>
          <w:lang w:eastAsia="en-IN"/>
        </w:rPr>
      </w:pPr>
      <w:r w:rsidRPr="00153510">
        <w:rPr>
          <w:b/>
          <w:bCs/>
          <w:sz w:val="24"/>
          <w:szCs w:val="24"/>
          <w:lang w:eastAsia="en-IN"/>
        </w:rPr>
        <w:t>Summary</w:t>
      </w:r>
    </w:p>
    <w:p w14:paraId="5F099703" w14:textId="77777777" w:rsidR="00153510" w:rsidRPr="00153510" w:rsidRDefault="00153510" w:rsidP="00153510">
      <w:pPr>
        <w:rPr>
          <w:sz w:val="24"/>
          <w:szCs w:val="24"/>
          <w:lang w:eastAsia="en-IN"/>
        </w:rPr>
      </w:pPr>
      <w:r w:rsidRPr="00153510">
        <w:rPr>
          <w:sz w:val="24"/>
          <w:szCs w:val="24"/>
          <w:lang w:eastAsia="en-IN"/>
        </w:rPr>
        <w:t>This data underscores the organization’s commitment to reliable technology infrastructure and robust security measures:</w:t>
      </w:r>
    </w:p>
    <w:p w14:paraId="0DF334F8" w14:textId="77777777" w:rsidR="00153510" w:rsidRPr="00153510" w:rsidRDefault="00153510" w:rsidP="00153510">
      <w:pPr>
        <w:pStyle w:val="ListParagraph"/>
        <w:numPr>
          <w:ilvl w:val="0"/>
          <w:numId w:val="22"/>
        </w:numPr>
        <w:rPr>
          <w:sz w:val="24"/>
          <w:szCs w:val="24"/>
          <w:lang w:eastAsia="en-IN"/>
        </w:rPr>
      </w:pPr>
      <w:r w:rsidRPr="00153510">
        <w:rPr>
          <w:b/>
          <w:bCs/>
          <w:sz w:val="24"/>
          <w:szCs w:val="24"/>
          <w:lang w:eastAsia="en-IN"/>
        </w:rPr>
        <w:t>High Uptime:</w:t>
      </w:r>
      <w:r w:rsidRPr="00153510">
        <w:rPr>
          <w:sz w:val="24"/>
          <w:szCs w:val="24"/>
          <w:lang w:eastAsia="en-IN"/>
        </w:rPr>
        <w:t xml:space="preserve"> Ensures continuous operation of critical systems.</w:t>
      </w:r>
    </w:p>
    <w:p w14:paraId="4643D0A1" w14:textId="77777777" w:rsidR="00153510" w:rsidRPr="00153510" w:rsidRDefault="00153510" w:rsidP="00153510">
      <w:pPr>
        <w:pStyle w:val="ListParagraph"/>
        <w:numPr>
          <w:ilvl w:val="0"/>
          <w:numId w:val="22"/>
        </w:numPr>
        <w:rPr>
          <w:sz w:val="24"/>
          <w:szCs w:val="24"/>
          <w:lang w:eastAsia="en-IN"/>
        </w:rPr>
      </w:pPr>
      <w:r w:rsidRPr="00153510">
        <w:rPr>
          <w:b/>
          <w:bCs/>
          <w:sz w:val="24"/>
          <w:szCs w:val="24"/>
          <w:lang w:eastAsia="en-IN"/>
        </w:rPr>
        <w:t>User Scalability:</w:t>
      </w:r>
      <w:r w:rsidRPr="00153510">
        <w:rPr>
          <w:sz w:val="24"/>
          <w:szCs w:val="24"/>
          <w:lang w:eastAsia="en-IN"/>
        </w:rPr>
        <w:t xml:space="preserve"> Supports operational efficiency and client service delivery.</w:t>
      </w:r>
    </w:p>
    <w:p w14:paraId="32A795B8" w14:textId="77777777" w:rsidR="00153510" w:rsidRPr="00153510" w:rsidRDefault="00153510" w:rsidP="00153510">
      <w:pPr>
        <w:pStyle w:val="ListParagraph"/>
        <w:numPr>
          <w:ilvl w:val="0"/>
          <w:numId w:val="22"/>
        </w:numPr>
        <w:rPr>
          <w:sz w:val="24"/>
          <w:szCs w:val="24"/>
          <w:lang w:eastAsia="en-IN"/>
        </w:rPr>
      </w:pPr>
      <w:r w:rsidRPr="00153510">
        <w:rPr>
          <w:b/>
          <w:bCs/>
          <w:sz w:val="24"/>
          <w:szCs w:val="24"/>
          <w:lang w:eastAsia="en-IN"/>
        </w:rPr>
        <w:lastRenderedPageBreak/>
        <w:t>Investment in Maintenance:</w:t>
      </w:r>
      <w:r w:rsidRPr="00153510">
        <w:rPr>
          <w:sz w:val="24"/>
          <w:szCs w:val="24"/>
          <w:lang w:eastAsia="en-IN"/>
        </w:rPr>
        <w:t xml:space="preserve"> Ensures systems are up-to-date and performing optimally.</w:t>
      </w:r>
    </w:p>
    <w:p w14:paraId="62277687" w14:textId="77777777" w:rsidR="00153510" w:rsidRPr="00153510" w:rsidRDefault="00153510" w:rsidP="00153510">
      <w:pPr>
        <w:pStyle w:val="ListParagraph"/>
        <w:numPr>
          <w:ilvl w:val="0"/>
          <w:numId w:val="22"/>
        </w:numPr>
        <w:rPr>
          <w:sz w:val="24"/>
          <w:szCs w:val="24"/>
          <w:lang w:eastAsia="en-IN"/>
        </w:rPr>
      </w:pPr>
      <w:r w:rsidRPr="00153510">
        <w:rPr>
          <w:b/>
          <w:bCs/>
          <w:sz w:val="24"/>
          <w:szCs w:val="24"/>
          <w:lang w:eastAsia="en-IN"/>
        </w:rPr>
        <w:t>Effective Security Measures:</w:t>
      </w:r>
      <w:r w:rsidRPr="00153510">
        <w:rPr>
          <w:sz w:val="24"/>
          <w:szCs w:val="24"/>
          <w:lang w:eastAsia="en-IN"/>
        </w:rPr>
        <w:t xml:space="preserve"> Low incidence of security breaches indicates proactive risk management and data protection strategies.</w:t>
      </w:r>
    </w:p>
    <w:p w14:paraId="1EFB0C36" w14:textId="77777777" w:rsidR="00153510" w:rsidRPr="00153510" w:rsidRDefault="00153510" w:rsidP="00153510">
      <w:pPr>
        <w:rPr>
          <w:sz w:val="24"/>
          <w:szCs w:val="24"/>
          <w:lang w:eastAsia="en-IN"/>
        </w:rPr>
      </w:pPr>
      <w:r w:rsidRPr="00153510">
        <w:rPr>
          <w:sz w:val="24"/>
          <w:szCs w:val="24"/>
          <w:lang w:eastAsia="en-IN"/>
        </w:rPr>
        <w:t>Overall, these systems play a pivotal role in maintaining operational excellence and safeguarding client interests in wealth management operations.</w:t>
      </w:r>
    </w:p>
    <w:p w14:paraId="467BCE92" w14:textId="5B9AF69B" w:rsidR="0039474F" w:rsidRPr="0039474F" w:rsidRDefault="0039474F" w:rsidP="00B81106">
      <w:pPr>
        <w:pStyle w:val="Heading1"/>
        <w:rPr>
          <w:rFonts w:eastAsia="Times New Roman"/>
          <w:lang w:eastAsia="en-IN"/>
        </w:rPr>
      </w:pPr>
      <w:r w:rsidRPr="0039474F">
        <w:rPr>
          <w:rFonts w:eastAsia="Times New Roman"/>
          <w:lang w:eastAsia="en-IN"/>
        </w:rPr>
        <w:t>Conclusion</w:t>
      </w:r>
    </w:p>
    <w:p w14:paraId="16B089D6" w14:textId="77777777" w:rsidR="0039474F" w:rsidRPr="0039474F" w:rsidRDefault="0039474F" w:rsidP="0039474F">
      <w:pPr>
        <w:spacing w:before="100" w:beforeAutospacing="1" w:after="100" w:afterAutospacing="1" w:line="240" w:lineRule="auto"/>
        <w:rPr>
          <w:rFonts w:eastAsia="Times New Roman" w:cs="Times New Roman"/>
          <w:kern w:val="0"/>
          <w:sz w:val="24"/>
          <w:szCs w:val="24"/>
          <w:lang w:eastAsia="en-IN"/>
          <w14:ligatures w14:val="none"/>
        </w:rPr>
      </w:pPr>
      <w:r w:rsidRPr="0039474F">
        <w:rPr>
          <w:rFonts w:eastAsia="Times New Roman" w:cs="Times New Roman"/>
          <w:kern w:val="0"/>
          <w:sz w:val="24"/>
          <w:szCs w:val="24"/>
          <w:lang w:eastAsia="en-IN"/>
          <w14:ligatures w14:val="none"/>
        </w:rPr>
        <w:t>Wealth management operations encompass a wide range of activities that are essential for providing comprehensive financial services to clients. From client onboarding and portfolio management to risk management and regulatory compliance, each component plays a vital role in ensuring that clients receive high-quality, personalized advice and solutions. Effective wealth management operations require a combination of skilled professionals, advanced technology, and robust processes, all working together to achieve the best outcomes for clients. The continuous evolution in product offerings, technological integration, and client education further enhances the value provided to clients, ensuring their financial goals are met efficiently and sustainably.</w:t>
      </w:r>
    </w:p>
    <w:p w14:paraId="0B543E1C" w14:textId="77777777" w:rsidR="008A21E4" w:rsidRDefault="008A21E4"/>
    <w:sectPr w:rsidR="008A21E4" w:rsidSect="00153510">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3DA9"/>
    <w:multiLevelType w:val="hybridMultilevel"/>
    <w:tmpl w:val="9EDC0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D3740"/>
    <w:multiLevelType w:val="hybridMultilevel"/>
    <w:tmpl w:val="80E66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09621F"/>
    <w:multiLevelType w:val="hybridMultilevel"/>
    <w:tmpl w:val="211CB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FD47F3"/>
    <w:multiLevelType w:val="hybridMultilevel"/>
    <w:tmpl w:val="17E4F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0D5FDF"/>
    <w:multiLevelType w:val="multilevel"/>
    <w:tmpl w:val="8BEE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13529"/>
    <w:multiLevelType w:val="multilevel"/>
    <w:tmpl w:val="3A80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A6C47"/>
    <w:multiLevelType w:val="hybridMultilevel"/>
    <w:tmpl w:val="3BAC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0C0D49"/>
    <w:multiLevelType w:val="multilevel"/>
    <w:tmpl w:val="DA8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95AD3"/>
    <w:multiLevelType w:val="hybridMultilevel"/>
    <w:tmpl w:val="4FF62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E266B0"/>
    <w:multiLevelType w:val="hybridMultilevel"/>
    <w:tmpl w:val="58309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244356"/>
    <w:multiLevelType w:val="hybridMultilevel"/>
    <w:tmpl w:val="10168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926C37"/>
    <w:multiLevelType w:val="hybridMultilevel"/>
    <w:tmpl w:val="9AA2B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FA6457"/>
    <w:multiLevelType w:val="hybridMultilevel"/>
    <w:tmpl w:val="45F09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4C48AE"/>
    <w:multiLevelType w:val="hybridMultilevel"/>
    <w:tmpl w:val="FBE88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A10DC4"/>
    <w:multiLevelType w:val="hybridMultilevel"/>
    <w:tmpl w:val="9336E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463D4A"/>
    <w:multiLevelType w:val="hybridMultilevel"/>
    <w:tmpl w:val="FE7A4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C12DCB"/>
    <w:multiLevelType w:val="multilevel"/>
    <w:tmpl w:val="1556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E72EC2"/>
    <w:multiLevelType w:val="hybridMultilevel"/>
    <w:tmpl w:val="11E82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043B3F"/>
    <w:multiLevelType w:val="hybridMultilevel"/>
    <w:tmpl w:val="1A1E5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3533E2"/>
    <w:multiLevelType w:val="hybridMultilevel"/>
    <w:tmpl w:val="633C6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8B00DB"/>
    <w:multiLevelType w:val="hybridMultilevel"/>
    <w:tmpl w:val="F2C4F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F556CF"/>
    <w:multiLevelType w:val="hybridMultilevel"/>
    <w:tmpl w:val="F6C6A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506340"/>
    <w:multiLevelType w:val="multilevel"/>
    <w:tmpl w:val="B4AA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A74C7"/>
    <w:multiLevelType w:val="hybridMultilevel"/>
    <w:tmpl w:val="A0263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D166A9"/>
    <w:multiLevelType w:val="hybridMultilevel"/>
    <w:tmpl w:val="81948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CC7220"/>
    <w:multiLevelType w:val="hybridMultilevel"/>
    <w:tmpl w:val="02BEA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4954746">
    <w:abstractNumId w:val="16"/>
  </w:num>
  <w:num w:numId="2" w16cid:durableId="1248926386">
    <w:abstractNumId w:val="5"/>
  </w:num>
  <w:num w:numId="3" w16cid:durableId="1505634119">
    <w:abstractNumId w:val="22"/>
  </w:num>
  <w:num w:numId="4" w16cid:durableId="1793400787">
    <w:abstractNumId w:val="4"/>
  </w:num>
  <w:num w:numId="5" w16cid:durableId="41248005">
    <w:abstractNumId w:val="7"/>
  </w:num>
  <w:num w:numId="6" w16cid:durableId="1400787787">
    <w:abstractNumId w:val="8"/>
  </w:num>
  <w:num w:numId="7" w16cid:durableId="1327392178">
    <w:abstractNumId w:val="14"/>
  </w:num>
  <w:num w:numId="8" w16cid:durableId="883636299">
    <w:abstractNumId w:val="19"/>
  </w:num>
  <w:num w:numId="9" w16cid:durableId="400949636">
    <w:abstractNumId w:val="20"/>
  </w:num>
  <w:num w:numId="10" w16cid:durableId="983004081">
    <w:abstractNumId w:val="10"/>
  </w:num>
  <w:num w:numId="11" w16cid:durableId="313490807">
    <w:abstractNumId w:val="2"/>
  </w:num>
  <w:num w:numId="12" w16cid:durableId="1918392483">
    <w:abstractNumId w:val="11"/>
  </w:num>
  <w:num w:numId="13" w16cid:durableId="1239362126">
    <w:abstractNumId w:val="17"/>
  </w:num>
  <w:num w:numId="14" w16cid:durableId="774054488">
    <w:abstractNumId w:val="15"/>
  </w:num>
  <w:num w:numId="15" w16cid:durableId="1319385626">
    <w:abstractNumId w:val="18"/>
  </w:num>
  <w:num w:numId="16" w16cid:durableId="538788618">
    <w:abstractNumId w:val="12"/>
  </w:num>
  <w:num w:numId="17" w16cid:durableId="222526187">
    <w:abstractNumId w:val="23"/>
  </w:num>
  <w:num w:numId="18" w16cid:durableId="593560686">
    <w:abstractNumId w:val="9"/>
  </w:num>
  <w:num w:numId="19" w16cid:durableId="2046170099">
    <w:abstractNumId w:val="6"/>
  </w:num>
  <w:num w:numId="20" w16cid:durableId="894244518">
    <w:abstractNumId w:val="1"/>
  </w:num>
  <w:num w:numId="21" w16cid:durableId="1307012620">
    <w:abstractNumId w:val="0"/>
  </w:num>
  <w:num w:numId="22" w16cid:durableId="1773209254">
    <w:abstractNumId w:val="13"/>
  </w:num>
  <w:num w:numId="23" w16cid:durableId="206265752">
    <w:abstractNumId w:val="24"/>
  </w:num>
  <w:num w:numId="24" w16cid:durableId="44836821">
    <w:abstractNumId w:val="21"/>
  </w:num>
  <w:num w:numId="25" w16cid:durableId="524096602">
    <w:abstractNumId w:val="25"/>
  </w:num>
  <w:num w:numId="26" w16cid:durableId="753160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74F"/>
    <w:rsid w:val="00153510"/>
    <w:rsid w:val="00223C1C"/>
    <w:rsid w:val="0039474F"/>
    <w:rsid w:val="0088182B"/>
    <w:rsid w:val="008A21E4"/>
    <w:rsid w:val="00B81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1496"/>
  <w15:chartTrackingRefBased/>
  <w15:docId w15:val="{E32668FA-F87B-4BF6-9FBA-95C44E01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4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4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94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4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4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94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74F"/>
    <w:rPr>
      <w:rFonts w:eastAsiaTheme="majorEastAsia" w:cstheme="majorBidi"/>
      <w:color w:val="272727" w:themeColor="text1" w:themeTint="D8"/>
    </w:rPr>
  </w:style>
  <w:style w:type="paragraph" w:styleId="Title">
    <w:name w:val="Title"/>
    <w:basedOn w:val="Normal"/>
    <w:next w:val="Normal"/>
    <w:link w:val="TitleChar"/>
    <w:uiPriority w:val="10"/>
    <w:qFormat/>
    <w:rsid w:val="00394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74F"/>
    <w:pPr>
      <w:spacing w:before="160"/>
      <w:jc w:val="center"/>
    </w:pPr>
    <w:rPr>
      <w:i/>
      <w:iCs/>
      <w:color w:val="404040" w:themeColor="text1" w:themeTint="BF"/>
    </w:rPr>
  </w:style>
  <w:style w:type="character" w:customStyle="1" w:styleId="QuoteChar">
    <w:name w:val="Quote Char"/>
    <w:basedOn w:val="DefaultParagraphFont"/>
    <w:link w:val="Quote"/>
    <w:uiPriority w:val="29"/>
    <w:rsid w:val="0039474F"/>
    <w:rPr>
      <w:i/>
      <w:iCs/>
      <w:color w:val="404040" w:themeColor="text1" w:themeTint="BF"/>
    </w:rPr>
  </w:style>
  <w:style w:type="paragraph" w:styleId="ListParagraph">
    <w:name w:val="List Paragraph"/>
    <w:basedOn w:val="Normal"/>
    <w:uiPriority w:val="34"/>
    <w:qFormat/>
    <w:rsid w:val="0039474F"/>
    <w:pPr>
      <w:ind w:left="720"/>
      <w:contextualSpacing/>
    </w:pPr>
  </w:style>
  <w:style w:type="character" w:styleId="IntenseEmphasis">
    <w:name w:val="Intense Emphasis"/>
    <w:basedOn w:val="DefaultParagraphFont"/>
    <w:uiPriority w:val="21"/>
    <w:qFormat/>
    <w:rsid w:val="0039474F"/>
    <w:rPr>
      <w:i/>
      <w:iCs/>
      <w:color w:val="0F4761" w:themeColor="accent1" w:themeShade="BF"/>
    </w:rPr>
  </w:style>
  <w:style w:type="paragraph" w:styleId="IntenseQuote">
    <w:name w:val="Intense Quote"/>
    <w:basedOn w:val="Normal"/>
    <w:next w:val="Normal"/>
    <w:link w:val="IntenseQuoteChar"/>
    <w:uiPriority w:val="30"/>
    <w:qFormat/>
    <w:rsid w:val="00394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74F"/>
    <w:rPr>
      <w:i/>
      <w:iCs/>
      <w:color w:val="0F4761" w:themeColor="accent1" w:themeShade="BF"/>
    </w:rPr>
  </w:style>
  <w:style w:type="character" w:styleId="IntenseReference">
    <w:name w:val="Intense Reference"/>
    <w:basedOn w:val="DefaultParagraphFont"/>
    <w:uiPriority w:val="32"/>
    <w:qFormat/>
    <w:rsid w:val="0039474F"/>
    <w:rPr>
      <w:b/>
      <w:bCs/>
      <w:smallCaps/>
      <w:color w:val="0F4761" w:themeColor="accent1" w:themeShade="BF"/>
      <w:spacing w:val="5"/>
    </w:rPr>
  </w:style>
  <w:style w:type="paragraph" w:styleId="NormalWeb">
    <w:name w:val="Normal (Web)"/>
    <w:basedOn w:val="Normal"/>
    <w:uiPriority w:val="99"/>
    <w:semiHidden/>
    <w:unhideWhenUsed/>
    <w:rsid w:val="003947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9474F"/>
    <w:rPr>
      <w:b/>
      <w:bCs/>
    </w:rPr>
  </w:style>
  <w:style w:type="table" w:styleId="TableGrid">
    <w:name w:val="Table Grid"/>
    <w:basedOn w:val="TableNormal"/>
    <w:uiPriority w:val="39"/>
    <w:rsid w:val="00B8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89530">
      <w:bodyDiv w:val="1"/>
      <w:marLeft w:val="0"/>
      <w:marRight w:val="0"/>
      <w:marTop w:val="0"/>
      <w:marBottom w:val="0"/>
      <w:divBdr>
        <w:top w:val="none" w:sz="0" w:space="0" w:color="auto"/>
        <w:left w:val="none" w:sz="0" w:space="0" w:color="auto"/>
        <w:bottom w:val="none" w:sz="0" w:space="0" w:color="auto"/>
        <w:right w:val="none" w:sz="0" w:space="0" w:color="auto"/>
      </w:divBdr>
    </w:div>
    <w:div w:id="223297865">
      <w:bodyDiv w:val="1"/>
      <w:marLeft w:val="0"/>
      <w:marRight w:val="0"/>
      <w:marTop w:val="0"/>
      <w:marBottom w:val="0"/>
      <w:divBdr>
        <w:top w:val="none" w:sz="0" w:space="0" w:color="auto"/>
        <w:left w:val="none" w:sz="0" w:space="0" w:color="auto"/>
        <w:bottom w:val="none" w:sz="0" w:space="0" w:color="auto"/>
        <w:right w:val="none" w:sz="0" w:space="0" w:color="auto"/>
      </w:divBdr>
    </w:div>
    <w:div w:id="230578818">
      <w:bodyDiv w:val="1"/>
      <w:marLeft w:val="0"/>
      <w:marRight w:val="0"/>
      <w:marTop w:val="0"/>
      <w:marBottom w:val="0"/>
      <w:divBdr>
        <w:top w:val="none" w:sz="0" w:space="0" w:color="auto"/>
        <w:left w:val="none" w:sz="0" w:space="0" w:color="auto"/>
        <w:bottom w:val="none" w:sz="0" w:space="0" w:color="auto"/>
        <w:right w:val="none" w:sz="0" w:space="0" w:color="auto"/>
      </w:divBdr>
    </w:div>
    <w:div w:id="264463465">
      <w:bodyDiv w:val="1"/>
      <w:marLeft w:val="0"/>
      <w:marRight w:val="0"/>
      <w:marTop w:val="0"/>
      <w:marBottom w:val="0"/>
      <w:divBdr>
        <w:top w:val="none" w:sz="0" w:space="0" w:color="auto"/>
        <w:left w:val="none" w:sz="0" w:space="0" w:color="auto"/>
        <w:bottom w:val="none" w:sz="0" w:space="0" w:color="auto"/>
        <w:right w:val="none" w:sz="0" w:space="0" w:color="auto"/>
      </w:divBdr>
    </w:div>
    <w:div w:id="567031326">
      <w:bodyDiv w:val="1"/>
      <w:marLeft w:val="0"/>
      <w:marRight w:val="0"/>
      <w:marTop w:val="0"/>
      <w:marBottom w:val="0"/>
      <w:divBdr>
        <w:top w:val="none" w:sz="0" w:space="0" w:color="auto"/>
        <w:left w:val="none" w:sz="0" w:space="0" w:color="auto"/>
        <w:bottom w:val="none" w:sz="0" w:space="0" w:color="auto"/>
        <w:right w:val="none" w:sz="0" w:space="0" w:color="auto"/>
      </w:divBdr>
    </w:div>
    <w:div w:id="595140175">
      <w:bodyDiv w:val="1"/>
      <w:marLeft w:val="0"/>
      <w:marRight w:val="0"/>
      <w:marTop w:val="0"/>
      <w:marBottom w:val="0"/>
      <w:divBdr>
        <w:top w:val="none" w:sz="0" w:space="0" w:color="auto"/>
        <w:left w:val="none" w:sz="0" w:space="0" w:color="auto"/>
        <w:bottom w:val="none" w:sz="0" w:space="0" w:color="auto"/>
        <w:right w:val="none" w:sz="0" w:space="0" w:color="auto"/>
      </w:divBdr>
    </w:div>
    <w:div w:id="653215849">
      <w:bodyDiv w:val="1"/>
      <w:marLeft w:val="0"/>
      <w:marRight w:val="0"/>
      <w:marTop w:val="0"/>
      <w:marBottom w:val="0"/>
      <w:divBdr>
        <w:top w:val="none" w:sz="0" w:space="0" w:color="auto"/>
        <w:left w:val="none" w:sz="0" w:space="0" w:color="auto"/>
        <w:bottom w:val="none" w:sz="0" w:space="0" w:color="auto"/>
        <w:right w:val="none" w:sz="0" w:space="0" w:color="auto"/>
      </w:divBdr>
    </w:div>
    <w:div w:id="725448810">
      <w:bodyDiv w:val="1"/>
      <w:marLeft w:val="0"/>
      <w:marRight w:val="0"/>
      <w:marTop w:val="0"/>
      <w:marBottom w:val="0"/>
      <w:divBdr>
        <w:top w:val="none" w:sz="0" w:space="0" w:color="auto"/>
        <w:left w:val="none" w:sz="0" w:space="0" w:color="auto"/>
        <w:bottom w:val="none" w:sz="0" w:space="0" w:color="auto"/>
        <w:right w:val="none" w:sz="0" w:space="0" w:color="auto"/>
      </w:divBdr>
    </w:div>
    <w:div w:id="927426958">
      <w:bodyDiv w:val="1"/>
      <w:marLeft w:val="0"/>
      <w:marRight w:val="0"/>
      <w:marTop w:val="0"/>
      <w:marBottom w:val="0"/>
      <w:divBdr>
        <w:top w:val="none" w:sz="0" w:space="0" w:color="auto"/>
        <w:left w:val="none" w:sz="0" w:space="0" w:color="auto"/>
        <w:bottom w:val="none" w:sz="0" w:space="0" w:color="auto"/>
        <w:right w:val="none" w:sz="0" w:space="0" w:color="auto"/>
      </w:divBdr>
    </w:div>
    <w:div w:id="943223699">
      <w:bodyDiv w:val="1"/>
      <w:marLeft w:val="0"/>
      <w:marRight w:val="0"/>
      <w:marTop w:val="0"/>
      <w:marBottom w:val="0"/>
      <w:divBdr>
        <w:top w:val="none" w:sz="0" w:space="0" w:color="auto"/>
        <w:left w:val="none" w:sz="0" w:space="0" w:color="auto"/>
        <w:bottom w:val="none" w:sz="0" w:space="0" w:color="auto"/>
        <w:right w:val="none" w:sz="0" w:space="0" w:color="auto"/>
      </w:divBdr>
    </w:div>
    <w:div w:id="1011642327">
      <w:bodyDiv w:val="1"/>
      <w:marLeft w:val="0"/>
      <w:marRight w:val="0"/>
      <w:marTop w:val="0"/>
      <w:marBottom w:val="0"/>
      <w:divBdr>
        <w:top w:val="none" w:sz="0" w:space="0" w:color="auto"/>
        <w:left w:val="none" w:sz="0" w:space="0" w:color="auto"/>
        <w:bottom w:val="none" w:sz="0" w:space="0" w:color="auto"/>
        <w:right w:val="none" w:sz="0" w:space="0" w:color="auto"/>
      </w:divBdr>
    </w:div>
    <w:div w:id="1340348309">
      <w:bodyDiv w:val="1"/>
      <w:marLeft w:val="0"/>
      <w:marRight w:val="0"/>
      <w:marTop w:val="0"/>
      <w:marBottom w:val="0"/>
      <w:divBdr>
        <w:top w:val="none" w:sz="0" w:space="0" w:color="auto"/>
        <w:left w:val="none" w:sz="0" w:space="0" w:color="auto"/>
        <w:bottom w:val="none" w:sz="0" w:space="0" w:color="auto"/>
        <w:right w:val="none" w:sz="0" w:space="0" w:color="auto"/>
      </w:divBdr>
    </w:div>
    <w:div w:id="1912765130">
      <w:bodyDiv w:val="1"/>
      <w:marLeft w:val="0"/>
      <w:marRight w:val="0"/>
      <w:marTop w:val="0"/>
      <w:marBottom w:val="0"/>
      <w:divBdr>
        <w:top w:val="none" w:sz="0" w:space="0" w:color="auto"/>
        <w:left w:val="none" w:sz="0" w:space="0" w:color="auto"/>
        <w:bottom w:val="none" w:sz="0" w:space="0" w:color="auto"/>
        <w:right w:val="none" w:sz="0" w:space="0" w:color="auto"/>
      </w:divBdr>
    </w:div>
    <w:div w:id="1966501268">
      <w:bodyDiv w:val="1"/>
      <w:marLeft w:val="0"/>
      <w:marRight w:val="0"/>
      <w:marTop w:val="0"/>
      <w:marBottom w:val="0"/>
      <w:divBdr>
        <w:top w:val="none" w:sz="0" w:space="0" w:color="auto"/>
        <w:left w:val="none" w:sz="0" w:space="0" w:color="auto"/>
        <w:bottom w:val="none" w:sz="0" w:space="0" w:color="auto"/>
        <w:right w:val="none" w:sz="0" w:space="0" w:color="auto"/>
      </w:divBdr>
    </w:div>
    <w:div w:id="1986855923">
      <w:bodyDiv w:val="1"/>
      <w:marLeft w:val="0"/>
      <w:marRight w:val="0"/>
      <w:marTop w:val="0"/>
      <w:marBottom w:val="0"/>
      <w:divBdr>
        <w:top w:val="none" w:sz="0" w:space="0" w:color="auto"/>
        <w:left w:val="none" w:sz="0" w:space="0" w:color="auto"/>
        <w:bottom w:val="none" w:sz="0" w:space="0" w:color="auto"/>
        <w:right w:val="none" w:sz="0" w:space="0" w:color="auto"/>
      </w:divBdr>
    </w:div>
    <w:div w:id="20918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Compliance and Regulatory Metrics</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Sheet4!$B$3</c:f>
              <c:strCache>
                <c:ptCount val="1"/>
                <c:pt idx="0">
                  <c:v>Number of Audits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Sheet4!$A$4:$A$7</c:f>
              <c:numCache>
                <c:formatCode>General</c:formatCode>
                <c:ptCount val="4"/>
                <c:pt idx="0">
                  <c:v>2020</c:v>
                </c:pt>
                <c:pt idx="1">
                  <c:v>2021</c:v>
                </c:pt>
                <c:pt idx="2">
                  <c:v>2022</c:v>
                </c:pt>
                <c:pt idx="3">
                  <c:v>2023</c:v>
                </c:pt>
              </c:numCache>
            </c:numRef>
          </c:xVal>
          <c:yVal>
            <c:numRef>
              <c:f>Sheet4!$B$4:$B$7</c:f>
              <c:numCache>
                <c:formatCode>General</c:formatCode>
                <c:ptCount val="4"/>
                <c:pt idx="0">
                  <c:v>5</c:v>
                </c:pt>
                <c:pt idx="1">
                  <c:v>6</c:v>
                </c:pt>
                <c:pt idx="2">
                  <c:v>4</c:v>
                </c:pt>
                <c:pt idx="3">
                  <c:v>6</c:v>
                </c:pt>
              </c:numCache>
            </c:numRef>
          </c:yVal>
          <c:smooth val="0"/>
          <c:extLst>
            <c:ext xmlns:c16="http://schemas.microsoft.com/office/drawing/2014/chart" uri="{C3380CC4-5D6E-409C-BE32-E72D297353CC}">
              <c16:uniqueId val="{00000000-50E6-40FD-A5D2-131C093B8332}"/>
            </c:ext>
          </c:extLst>
        </c:ser>
        <c:ser>
          <c:idx val="1"/>
          <c:order val="1"/>
          <c:tx>
            <c:strRef>
              <c:f>Sheet4!$C$3</c:f>
              <c:strCache>
                <c:ptCount val="1"/>
                <c:pt idx="0">
                  <c:v>Number of Non-Compliance Incidents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Sheet4!$A$4:$A$7</c:f>
              <c:numCache>
                <c:formatCode>General</c:formatCode>
                <c:ptCount val="4"/>
                <c:pt idx="0">
                  <c:v>2020</c:v>
                </c:pt>
                <c:pt idx="1">
                  <c:v>2021</c:v>
                </c:pt>
                <c:pt idx="2">
                  <c:v>2022</c:v>
                </c:pt>
                <c:pt idx="3">
                  <c:v>2023</c:v>
                </c:pt>
              </c:numCache>
            </c:numRef>
          </c:xVal>
          <c:yVal>
            <c:numRef>
              <c:f>Sheet4!$C$4:$C$7</c:f>
              <c:numCache>
                <c:formatCode>General</c:formatCode>
                <c:ptCount val="4"/>
                <c:pt idx="0">
                  <c:v>2</c:v>
                </c:pt>
                <c:pt idx="1">
                  <c:v>1</c:v>
                </c:pt>
                <c:pt idx="2">
                  <c:v>3</c:v>
                </c:pt>
                <c:pt idx="3">
                  <c:v>0</c:v>
                </c:pt>
              </c:numCache>
            </c:numRef>
          </c:yVal>
          <c:smooth val="0"/>
          <c:extLst>
            <c:ext xmlns:c16="http://schemas.microsoft.com/office/drawing/2014/chart" uri="{C3380CC4-5D6E-409C-BE32-E72D297353CC}">
              <c16:uniqueId val="{00000001-50E6-40FD-A5D2-131C093B8332}"/>
            </c:ext>
          </c:extLst>
        </c:ser>
        <c:dLbls>
          <c:dLblPos val="t"/>
          <c:showLegendKey val="0"/>
          <c:showVal val="1"/>
          <c:showCatName val="0"/>
          <c:showSerName val="0"/>
          <c:showPercent val="0"/>
          <c:showBubbleSize val="0"/>
        </c:dLbls>
        <c:axId val="101755359"/>
        <c:axId val="101755839"/>
      </c:scatterChart>
      <c:valAx>
        <c:axId val="1017553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55839"/>
        <c:crosses val="autoZero"/>
        <c:crossBetween val="midCat"/>
      </c:valAx>
      <c:valAx>
        <c:axId val="101755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553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Technology and Systems</a:t>
            </a:r>
            <a:r>
              <a:rPr lang="en-IN"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Sheet5!$C$3</c:f>
              <c:strCache>
                <c:ptCount val="1"/>
                <c:pt idx="0">
                  <c:v>Number of Users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Sheet5!$A$4:$A$6</c:f>
              <c:strCache>
                <c:ptCount val="3"/>
                <c:pt idx="0">
                  <c:v>PMS</c:v>
                </c:pt>
                <c:pt idx="1">
                  <c:v>CRM</c:v>
                </c:pt>
                <c:pt idx="2">
                  <c:v>Data Security</c:v>
                </c:pt>
              </c:strCache>
            </c:strRef>
          </c:cat>
          <c:val>
            <c:numRef>
              <c:f>Sheet5!$C$4:$C$6</c:f>
              <c:numCache>
                <c:formatCode>General</c:formatCode>
                <c:ptCount val="3"/>
                <c:pt idx="0">
                  <c:v>200</c:v>
                </c:pt>
                <c:pt idx="1">
                  <c:v>150</c:v>
                </c:pt>
                <c:pt idx="2">
                  <c:v>250</c:v>
                </c:pt>
              </c:numCache>
            </c:numRef>
          </c:val>
          <c:extLst>
            <c:ext xmlns:c16="http://schemas.microsoft.com/office/drawing/2014/chart" uri="{C3380CC4-5D6E-409C-BE32-E72D297353CC}">
              <c16:uniqueId val="{00000000-416F-4DD1-8DD9-A320701D23CB}"/>
            </c:ext>
          </c:extLst>
        </c:ser>
        <c:dLbls>
          <c:dLblPos val="outEnd"/>
          <c:showLegendKey val="0"/>
          <c:showVal val="1"/>
          <c:showCatName val="0"/>
          <c:showSerName val="0"/>
          <c:showPercent val="0"/>
          <c:showBubbleSize val="0"/>
        </c:dLbls>
        <c:gapWidth val="182"/>
        <c:axId val="1562118671"/>
        <c:axId val="1562111471"/>
      </c:barChart>
      <c:catAx>
        <c:axId val="156211867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111471"/>
        <c:crosses val="autoZero"/>
        <c:auto val="1"/>
        <c:lblAlgn val="ctr"/>
        <c:lblOffset val="100"/>
        <c:noMultiLvlLbl val="0"/>
      </c:catAx>
      <c:valAx>
        <c:axId val="15621114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11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3080</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2024-06-19T11:10:00Z</dcterms:created>
  <dcterms:modified xsi:type="dcterms:W3CDTF">2024-06-19T11:50:00Z</dcterms:modified>
</cp:coreProperties>
</file>