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9D949" w14:textId="555050FA" w:rsidR="00FB266D" w:rsidRDefault="00FB266D" w:rsidP="00FB266D">
      <w:pPr>
        <w:pStyle w:val="Heading1"/>
        <w:jc w:val="center"/>
        <w:rPr>
          <w:rFonts w:eastAsia="Times New Roman"/>
          <w:lang w:eastAsia="en-IN"/>
        </w:rPr>
      </w:pPr>
      <w:r>
        <w:rPr>
          <w:lang w:eastAsia="en-IN"/>
        </w:rPr>
        <w:t>VOLCKER RULE AND RETAIL BANKING OPERATIONS</w:t>
      </w:r>
    </w:p>
    <w:p w14:paraId="0415E72D" w14:textId="45208923" w:rsidR="00FB266D" w:rsidRPr="00FB266D" w:rsidRDefault="00FB266D" w:rsidP="00FB266D">
      <w:pPr>
        <w:pStyle w:val="Heading2"/>
        <w:rPr>
          <w:rFonts w:eastAsia="Times New Roman"/>
          <w:lang w:eastAsia="en-IN"/>
        </w:rPr>
      </w:pPr>
      <w:r w:rsidRPr="00FB266D">
        <w:rPr>
          <w:rFonts w:eastAsia="Times New Roman"/>
          <w:lang w:eastAsia="en-IN"/>
        </w:rPr>
        <w:t>1. Introduction</w:t>
      </w:r>
    </w:p>
    <w:p w14:paraId="5752593A" w14:textId="77777777" w:rsidR="00FB266D" w:rsidRPr="00FB266D" w:rsidRDefault="00FB266D" w:rsidP="00FB266D">
      <w:p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kern w:val="0"/>
          <w:sz w:val="24"/>
          <w:szCs w:val="24"/>
          <w:lang w:eastAsia="en-IN"/>
          <w14:ligatures w14:val="none"/>
        </w:rPr>
        <w:t>The financial landscape is shaped by a variety of regulations and operational frameworks that ensure stability, efficiency, and customer protection. Among these, the Volcker Rule and retail banking operations stand out due to their significant roles in the financial system. This assignment delves into the specifics of the Volcker Rule, its implications for banking institutions, and the essential aspects of retail banking operations.</w:t>
      </w:r>
    </w:p>
    <w:p w14:paraId="0D35E289" w14:textId="77777777" w:rsidR="00FB266D" w:rsidRPr="00FB266D" w:rsidRDefault="00FB266D" w:rsidP="00FB266D">
      <w:pPr>
        <w:pStyle w:val="Heading2"/>
        <w:rPr>
          <w:rFonts w:eastAsia="Times New Roman"/>
          <w:lang w:eastAsia="en-IN"/>
        </w:rPr>
      </w:pPr>
      <w:r w:rsidRPr="00FB266D">
        <w:rPr>
          <w:rFonts w:eastAsia="Times New Roman"/>
          <w:lang w:eastAsia="en-IN"/>
        </w:rPr>
        <w:t>2. Volcker Rule</w:t>
      </w:r>
    </w:p>
    <w:p w14:paraId="67405ACA" w14:textId="77777777" w:rsidR="00FB266D" w:rsidRPr="00FB266D" w:rsidRDefault="00FB266D" w:rsidP="00FB266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B266D">
        <w:rPr>
          <w:rFonts w:eastAsia="Times New Roman" w:cs="Times New Roman"/>
          <w:b/>
          <w:bCs/>
          <w:kern w:val="0"/>
          <w:sz w:val="24"/>
          <w:szCs w:val="24"/>
          <w:lang w:eastAsia="en-IN"/>
          <w14:ligatures w14:val="none"/>
        </w:rPr>
        <w:t>Definition and Background</w:t>
      </w:r>
    </w:p>
    <w:p w14:paraId="2AE7D9FD" w14:textId="77777777" w:rsidR="00FB266D" w:rsidRPr="00FB266D" w:rsidRDefault="00FB266D" w:rsidP="00FB266D">
      <w:p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kern w:val="0"/>
          <w:sz w:val="24"/>
          <w:szCs w:val="24"/>
          <w:lang w:eastAsia="en-IN"/>
          <w14:ligatures w14:val="none"/>
        </w:rPr>
        <w:t>The Volcker Rule is a part of the Dodd-Frank Wall Street Reform and Consumer Protection Act of 2010, introduced as a response to the financial crisis of 2007-2008. Named after former Federal Reserve Chairman Paul Volcker, the rule aims to reduce systemic risk in the financial sector by restricting certain activities of banks.</w:t>
      </w:r>
    </w:p>
    <w:p w14:paraId="1BA29A40" w14:textId="77777777" w:rsidR="00FB266D" w:rsidRPr="00FB266D" w:rsidRDefault="00FB266D" w:rsidP="00FB266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B266D">
        <w:rPr>
          <w:rFonts w:eastAsia="Times New Roman" w:cs="Times New Roman"/>
          <w:b/>
          <w:bCs/>
          <w:kern w:val="0"/>
          <w:sz w:val="24"/>
          <w:szCs w:val="24"/>
          <w:lang w:eastAsia="en-IN"/>
          <w14:ligatures w14:val="none"/>
        </w:rPr>
        <w:t>Objectives of the Volcker Rule</w:t>
      </w:r>
    </w:p>
    <w:p w14:paraId="48044CD6" w14:textId="77777777" w:rsidR="00FB266D" w:rsidRPr="00FB266D" w:rsidRDefault="00FB266D" w:rsidP="00FB266D">
      <w:p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kern w:val="0"/>
          <w:sz w:val="24"/>
          <w:szCs w:val="24"/>
          <w:lang w:eastAsia="en-IN"/>
          <w14:ligatures w14:val="none"/>
        </w:rPr>
        <w:t>The primary objectives of the Volcker Rule are:</w:t>
      </w:r>
    </w:p>
    <w:p w14:paraId="6804816F" w14:textId="77777777" w:rsidR="00FB266D" w:rsidRPr="00FB266D" w:rsidRDefault="00FB266D" w:rsidP="00FB266D">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kern w:val="0"/>
          <w:sz w:val="24"/>
          <w:szCs w:val="24"/>
          <w:lang w:eastAsia="en-IN"/>
          <w14:ligatures w14:val="none"/>
        </w:rPr>
        <w:t>To prevent excessive risk-taking by banking entities.</w:t>
      </w:r>
    </w:p>
    <w:p w14:paraId="0FE67B69" w14:textId="77777777" w:rsidR="00FB266D" w:rsidRPr="00FB266D" w:rsidRDefault="00FB266D" w:rsidP="00FB266D">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kern w:val="0"/>
          <w:sz w:val="24"/>
          <w:szCs w:val="24"/>
          <w:lang w:eastAsia="en-IN"/>
          <w14:ligatures w14:val="none"/>
        </w:rPr>
        <w:t>To minimize the potential for conflicts of interest between banks and their clients.</w:t>
      </w:r>
    </w:p>
    <w:p w14:paraId="181916D5" w14:textId="77777777" w:rsidR="00FB266D" w:rsidRPr="00FB266D" w:rsidRDefault="00FB266D" w:rsidP="00FB266D">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kern w:val="0"/>
          <w:sz w:val="24"/>
          <w:szCs w:val="24"/>
          <w:lang w:eastAsia="en-IN"/>
          <w14:ligatures w14:val="none"/>
        </w:rPr>
        <w:t>To limit the likelihood of another financial crisis by focusing banks on their traditional lending and deposit functions.</w:t>
      </w:r>
    </w:p>
    <w:p w14:paraId="158D98E3" w14:textId="77777777" w:rsidR="00FB266D" w:rsidRPr="00FB266D" w:rsidRDefault="00FB266D" w:rsidP="00FB266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B266D">
        <w:rPr>
          <w:rFonts w:eastAsia="Times New Roman" w:cs="Times New Roman"/>
          <w:b/>
          <w:bCs/>
          <w:kern w:val="0"/>
          <w:sz w:val="24"/>
          <w:szCs w:val="24"/>
          <w:lang w:eastAsia="en-IN"/>
          <w14:ligatures w14:val="none"/>
        </w:rPr>
        <w:t>Key Provisions</w:t>
      </w:r>
    </w:p>
    <w:p w14:paraId="742EF615" w14:textId="77777777" w:rsidR="00FB266D" w:rsidRPr="00FB266D" w:rsidRDefault="00FB266D" w:rsidP="00FB266D">
      <w:p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kern w:val="0"/>
          <w:sz w:val="24"/>
          <w:szCs w:val="24"/>
          <w:lang w:eastAsia="en-IN"/>
          <w14:ligatures w14:val="none"/>
        </w:rPr>
        <w:t>The Volcker Rule includes several key provisions:</w:t>
      </w:r>
    </w:p>
    <w:p w14:paraId="48A3779E" w14:textId="77777777" w:rsidR="00FB266D" w:rsidRPr="00FB266D" w:rsidRDefault="00FB266D" w:rsidP="00FB266D">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Proprietary Trading Ban</w:t>
      </w:r>
      <w:r w:rsidRPr="00FB266D">
        <w:rPr>
          <w:rFonts w:eastAsia="Times New Roman" w:cs="Times New Roman"/>
          <w:kern w:val="0"/>
          <w:sz w:val="24"/>
          <w:szCs w:val="24"/>
          <w:lang w:eastAsia="en-IN"/>
          <w14:ligatures w14:val="none"/>
        </w:rPr>
        <w:t>: Banks are prohibited from engaging in proprietary trading, which involves trading financial instruments for their own profit rather than on behalf of customers.</w:t>
      </w:r>
    </w:p>
    <w:p w14:paraId="4230C922" w14:textId="77777777" w:rsidR="00FB266D" w:rsidRPr="00FB266D" w:rsidRDefault="00FB266D" w:rsidP="00FB266D">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Restrictions on Investments</w:t>
      </w:r>
      <w:r w:rsidRPr="00FB266D">
        <w:rPr>
          <w:rFonts w:eastAsia="Times New Roman" w:cs="Times New Roman"/>
          <w:kern w:val="0"/>
          <w:sz w:val="24"/>
          <w:szCs w:val="24"/>
          <w:lang w:eastAsia="en-IN"/>
          <w14:ligatures w14:val="none"/>
        </w:rPr>
        <w:t>: Banks are limited in their ability to invest in hedge funds and private equity funds, capping their ownership at a small percentage of the total fund value.</w:t>
      </w:r>
    </w:p>
    <w:p w14:paraId="64A0E3EF" w14:textId="77777777" w:rsidR="00FB266D" w:rsidRPr="00FB266D" w:rsidRDefault="00FB266D" w:rsidP="00FB266D">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Exemptions</w:t>
      </w:r>
      <w:r w:rsidRPr="00FB266D">
        <w:rPr>
          <w:rFonts w:eastAsia="Times New Roman" w:cs="Times New Roman"/>
          <w:kern w:val="0"/>
          <w:sz w:val="24"/>
          <w:szCs w:val="24"/>
          <w:lang w:eastAsia="en-IN"/>
          <w14:ligatures w14:val="none"/>
        </w:rPr>
        <w:t>: Certain activities are exempt from the rule, including market-making, underwriting, and hedging activities that are considered necessary for maintaining liquidity and managing risk.</w:t>
      </w:r>
    </w:p>
    <w:p w14:paraId="0B5525B7" w14:textId="77777777" w:rsidR="00FB266D" w:rsidRPr="00FB266D" w:rsidRDefault="00FB266D" w:rsidP="00FB266D">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lastRenderedPageBreak/>
        <w:t>Compliance Programs</w:t>
      </w:r>
      <w:r w:rsidRPr="00FB266D">
        <w:rPr>
          <w:rFonts w:eastAsia="Times New Roman" w:cs="Times New Roman"/>
          <w:kern w:val="0"/>
          <w:sz w:val="24"/>
          <w:szCs w:val="24"/>
          <w:lang w:eastAsia="en-IN"/>
          <w14:ligatures w14:val="none"/>
        </w:rPr>
        <w:t>: Banks must implement comprehensive compliance programs to ensure adherence to the Volcker Rule, including robust reporting and record-keeping requirements.</w:t>
      </w:r>
    </w:p>
    <w:p w14:paraId="5C948172" w14:textId="77777777" w:rsidR="00FB266D" w:rsidRPr="00FB266D" w:rsidRDefault="00FB266D" w:rsidP="00FB266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B266D">
        <w:rPr>
          <w:rFonts w:eastAsia="Times New Roman" w:cs="Times New Roman"/>
          <w:b/>
          <w:bCs/>
          <w:kern w:val="0"/>
          <w:sz w:val="24"/>
          <w:szCs w:val="24"/>
          <w:lang w:eastAsia="en-IN"/>
          <w14:ligatures w14:val="none"/>
        </w:rPr>
        <w:t>Impact on Banks</w:t>
      </w:r>
    </w:p>
    <w:p w14:paraId="4836D372" w14:textId="77777777" w:rsidR="00FB266D" w:rsidRPr="00FB266D" w:rsidRDefault="00FB266D" w:rsidP="00FB266D">
      <w:p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kern w:val="0"/>
          <w:sz w:val="24"/>
          <w:szCs w:val="24"/>
          <w:lang w:eastAsia="en-IN"/>
          <w14:ligatures w14:val="none"/>
        </w:rPr>
        <w:t>The Volcker Rule has significant implications for banks:</w:t>
      </w:r>
    </w:p>
    <w:p w14:paraId="7A5A9EDE" w14:textId="77777777" w:rsidR="00FB266D" w:rsidRPr="00FB266D" w:rsidRDefault="00FB266D" w:rsidP="00FB266D">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Reduction in Risk-Taking Activities</w:t>
      </w:r>
      <w:r w:rsidRPr="00FB266D">
        <w:rPr>
          <w:rFonts w:eastAsia="Times New Roman" w:cs="Times New Roman"/>
          <w:kern w:val="0"/>
          <w:sz w:val="24"/>
          <w:szCs w:val="24"/>
          <w:lang w:eastAsia="en-IN"/>
          <w14:ligatures w14:val="none"/>
        </w:rPr>
        <w:t>: Banks have scaled back their proprietary trading operations, focusing more on traditional banking activities.</w:t>
      </w:r>
    </w:p>
    <w:p w14:paraId="018D9E6B" w14:textId="77777777" w:rsidR="00FB266D" w:rsidRPr="00FB266D" w:rsidRDefault="00FB266D" w:rsidP="00FB266D">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Strategic Adjustments</w:t>
      </w:r>
      <w:r w:rsidRPr="00FB266D">
        <w:rPr>
          <w:rFonts w:eastAsia="Times New Roman" w:cs="Times New Roman"/>
          <w:kern w:val="0"/>
          <w:sz w:val="24"/>
          <w:szCs w:val="24"/>
          <w:lang w:eastAsia="en-IN"/>
          <w14:ligatures w14:val="none"/>
        </w:rPr>
        <w:t>: Many banks have restructured their investment strategies and spun off proprietary trading desks to comply with the rule.</w:t>
      </w:r>
    </w:p>
    <w:p w14:paraId="31031469" w14:textId="77777777" w:rsidR="00FB266D" w:rsidRPr="00FB266D" w:rsidRDefault="00FB266D" w:rsidP="00FB266D">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Compliance Costs</w:t>
      </w:r>
      <w:r w:rsidRPr="00FB266D">
        <w:rPr>
          <w:rFonts w:eastAsia="Times New Roman" w:cs="Times New Roman"/>
          <w:kern w:val="0"/>
          <w:sz w:val="24"/>
          <w:szCs w:val="24"/>
          <w:lang w:eastAsia="en-IN"/>
          <w14:ligatures w14:val="none"/>
        </w:rPr>
        <w:t>: Implementing the necessary compliance programs and systems has led to increased operational costs for banks.</w:t>
      </w:r>
    </w:p>
    <w:p w14:paraId="5E32DA0F" w14:textId="77777777" w:rsidR="00FB266D" w:rsidRPr="00FB266D" w:rsidRDefault="00FB266D" w:rsidP="00FB266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B266D">
        <w:rPr>
          <w:rFonts w:eastAsia="Times New Roman" w:cs="Times New Roman"/>
          <w:b/>
          <w:bCs/>
          <w:kern w:val="0"/>
          <w:sz w:val="24"/>
          <w:szCs w:val="24"/>
          <w:lang w:eastAsia="en-IN"/>
          <w14:ligatures w14:val="none"/>
        </w:rPr>
        <w:t>Compliance and Challenges</w:t>
      </w:r>
    </w:p>
    <w:p w14:paraId="5FE45597" w14:textId="77777777" w:rsidR="00FB266D" w:rsidRPr="00FB266D" w:rsidRDefault="00FB266D" w:rsidP="00FB266D">
      <w:p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kern w:val="0"/>
          <w:sz w:val="24"/>
          <w:szCs w:val="24"/>
          <w:lang w:eastAsia="en-IN"/>
          <w14:ligatures w14:val="none"/>
        </w:rPr>
        <w:t>Banks face several challenges in complying with the Volcker Rule:</w:t>
      </w:r>
    </w:p>
    <w:p w14:paraId="55B465CF" w14:textId="77777777" w:rsidR="00FB266D" w:rsidRPr="00FB266D" w:rsidRDefault="00FB266D" w:rsidP="00FB266D">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Complexity of the Rule</w:t>
      </w:r>
      <w:r w:rsidRPr="00FB266D">
        <w:rPr>
          <w:rFonts w:eastAsia="Times New Roman" w:cs="Times New Roman"/>
          <w:kern w:val="0"/>
          <w:sz w:val="24"/>
          <w:szCs w:val="24"/>
          <w:lang w:eastAsia="en-IN"/>
          <w14:ligatures w14:val="none"/>
        </w:rPr>
        <w:t>: The detailed and multifaceted nature of the rule makes compliance challenging.</w:t>
      </w:r>
    </w:p>
    <w:p w14:paraId="04B29BE1" w14:textId="77777777" w:rsidR="00FB266D" w:rsidRPr="00FB266D" w:rsidRDefault="00FB266D" w:rsidP="00FB266D">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Monitoring and Reporting</w:t>
      </w:r>
      <w:r w:rsidRPr="00FB266D">
        <w:rPr>
          <w:rFonts w:eastAsia="Times New Roman" w:cs="Times New Roman"/>
          <w:kern w:val="0"/>
          <w:sz w:val="24"/>
          <w:szCs w:val="24"/>
          <w:lang w:eastAsia="en-IN"/>
          <w14:ligatures w14:val="none"/>
        </w:rPr>
        <w:t>: Continuous monitoring and detailed reporting requirements necessitate significant investments in technology and personnel.</w:t>
      </w:r>
    </w:p>
    <w:p w14:paraId="5312CCDF" w14:textId="77777777" w:rsidR="00FB266D" w:rsidRPr="00FB266D" w:rsidRDefault="00FB266D" w:rsidP="00FB266D">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Impact on Profitability</w:t>
      </w:r>
      <w:r w:rsidRPr="00FB266D">
        <w:rPr>
          <w:rFonts w:eastAsia="Times New Roman" w:cs="Times New Roman"/>
          <w:kern w:val="0"/>
          <w:sz w:val="24"/>
          <w:szCs w:val="24"/>
          <w:lang w:eastAsia="en-IN"/>
          <w14:ligatures w14:val="none"/>
        </w:rPr>
        <w:t>: Restrictions on proprietary trading and investments can affect the profitability of banks, leading to adjustments in business models.</w:t>
      </w:r>
    </w:p>
    <w:p w14:paraId="134A6174" w14:textId="77777777" w:rsidR="00FB266D" w:rsidRPr="00FB266D" w:rsidRDefault="00FB266D" w:rsidP="00FB266D">
      <w:pPr>
        <w:pStyle w:val="Heading2"/>
        <w:rPr>
          <w:rFonts w:eastAsia="Times New Roman"/>
          <w:lang w:eastAsia="en-IN"/>
        </w:rPr>
      </w:pPr>
      <w:r w:rsidRPr="00FB266D">
        <w:rPr>
          <w:rFonts w:eastAsia="Times New Roman"/>
          <w:lang w:eastAsia="en-IN"/>
        </w:rPr>
        <w:t>3. Retail Banking Operations</w:t>
      </w:r>
    </w:p>
    <w:p w14:paraId="27895BD6" w14:textId="77777777" w:rsidR="00FB266D" w:rsidRPr="00FB266D" w:rsidRDefault="00FB266D" w:rsidP="00FB266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B266D">
        <w:rPr>
          <w:rFonts w:eastAsia="Times New Roman" w:cs="Times New Roman"/>
          <w:b/>
          <w:bCs/>
          <w:kern w:val="0"/>
          <w:sz w:val="24"/>
          <w:szCs w:val="24"/>
          <w:lang w:eastAsia="en-IN"/>
          <w14:ligatures w14:val="none"/>
        </w:rPr>
        <w:t>Definition and Scope</w:t>
      </w:r>
    </w:p>
    <w:p w14:paraId="5B94D929" w14:textId="77777777" w:rsidR="00FB266D" w:rsidRPr="00FB266D" w:rsidRDefault="00FB266D" w:rsidP="00FB266D">
      <w:p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kern w:val="0"/>
          <w:sz w:val="24"/>
          <w:szCs w:val="24"/>
          <w:lang w:eastAsia="en-IN"/>
          <w14:ligatures w14:val="none"/>
        </w:rPr>
        <w:t>Retail banking, also known as consumer banking, involves providing financial services to individual customers. These services include managing deposits, offering loans, and providing payment services. Retail banking is characterized by a large customer base and a wide range of financial products tailored to individual needs.</w:t>
      </w:r>
    </w:p>
    <w:p w14:paraId="785BF17A" w14:textId="77777777" w:rsidR="00FB266D" w:rsidRPr="00FB266D" w:rsidRDefault="00FB266D" w:rsidP="00FB266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B266D">
        <w:rPr>
          <w:rFonts w:eastAsia="Times New Roman" w:cs="Times New Roman"/>
          <w:b/>
          <w:bCs/>
          <w:kern w:val="0"/>
          <w:sz w:val="24"/>
          <w:szCs w:val="24"/>
          <w:lang w:eastAsia="en-IN"/>
          <w14:ligatures w14:val="none"/>
        </w:rPr>
        <w:t>Core Services Offered</w:t>
      </w:r>
    </w:p>
    <w:p w14:paraId="7A4BD1A0" w14:textId="77777777" w:rsidR="00FB266D" w:rsidRPr="00FB266D" w:rsidRDefault="00FB266D" w:rsidP="00FB266D">
      <w:p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kern w:val="0"/>
          <w:sz w:val="24"/>
          <w:szCs w:val="24"/>
          <w:lang w:eastAsia="en-IN"/>
          <w14:ligatures w14:val="none"/>
        </w:rPr>
        <w:t>Retail banks offer a variety of services, including:</w:t>
      </w:r>
    </w:p>
    <w:p w14:paraId="49B5CE27" w14:textId="77777777" w:rsidR="00FB266D" w:rsidRPr="00FB266D" w:rsidRDefault="00FB266D" w:rsidP="00FB266D">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Deposit Accounts</w:t>
      </w:r>
      <w:r w:rsidRPr="00FB266D">
        <w:rPr>
          <w:rFonts w:eastAsia="Times New Roman" w:cs="Times New Roman"/>
          <w:kern w:val="0"/>
          <w:sz w:val="24"/>
          <w:szCs w:val="24"/>
          <w:lang w:eastAsia="en-IN"/>
          <w14:ligatures w14:val="none"/>
        </w:rPr>
        <w:t>: Checking and savings accounts that provide customers with secure places to store their money and earn interest.</w:t>
      </w:r>
    </w:p>
    <w:p w14:paraId="5EB27EB7" w14:textId="77777777" w:rsidR="00FB266D" w:rsidRPr="00FB266D" w:rsidRDefault="00FB266D" w:rsidP="00FB266D">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Loans and Mortgages</w:t>
      </w:r>
      <w:r w:rsidRPr="00FB266D">
        <w:rPr>
          <w:rFonts w:eastAsia="Times New Roman" w:cs="Times New Roman"/>
          <w:kern w:val="0"/>
          <w:sz w:val="24"/>
          <w:szCs w:val="24"/>
          <w:lang w:eastAsia="en-IN"/>
          <w14:ligatures w14:val="none"/>
        </w:rPr>
        <w:t>: Personal loans, auto loans, and home mortgages that help individuals finance significant purchases.</w:t>
      </w:r>
    </w:p>
    <w:p w14:paraId="00B41670" w14:textId="77777777" w:rsidR="00FB266D" w:rsidRPr="00FB266D" w:rsidRDefault="00FB266D" w:rsidP="00FB266D">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Credit and Debit Cards</w:t>
      </w:r>
      <w:r w:rsidRPr="00FB266D">
        <w:rPr>
          <w:rFonts w:eastAsia="Times New Roman" w:cs="Times New Roman"/>
          <w:kern w:val="0"/>
          <w:sz w:val="24"/>
          <w:szCs w:val="24"/>
          <w:lang w:eastAsia="en-IN"/>
          <w14:ligatures w14:val="none"/>
        </w:rPr>
        <w:t>: Payment cards that offer convenience for everyday transactions and access to credit.</w:t>
      </w:r>
    </w:p>
    <w:p w14:paraId="17CD8601" w14:textId="77777777" w:rsidR="00FB266D" w:rsidRPr="00FB266D" w:rsidRDefault="00FB266D" w:rsidP="00FB266D">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Online and Mobile Banking</w:t>
      </w:r>
      <w:r w:rsidRPr="00FB266D">
        <w:rPr>
          <w:rFonts w:eastAsia="Times New Roman" w:cs="Times New Roman"/>
          <w:kern w:val="0"/>
          <w:sz w:val="24"/>
          <w:szCs w:val="24"/>
          <w:lang w:eastAsia="en-IN"/>
          <w14:ligatures w14:val="none"/>
        </w:rPr>
        <w:t>: Digital platforms that allow customers to manage their accounts, transfer money, and pay bills online or via mobile apps.</w:t>
      </w:r>
    </w:p>
    <w:p w14:paraId="429A9A7F" w14:textId="77777777" w:rsidR="00FB266D" w:rsidRPr="00FB266D" w:rsidRDefault="00FB266D" w:rsidP="00FB266D">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lastRenderedPageBreak/>
        <w:t>Wealth Management</w:t>
      </w:r>
      <w:r w:rsidRPr="00FB266D">
        <w:rPr>
          <w:rFonts w:eastAsia="Times New Roman" w:cs="Times New Roman"/>
          <w:kern w:val="0"/>
          <w:sz w:val="24"/>
          <w:szCs w:val="24"/>
          <w:lang w:eastAsia="en-IN"/>
          <w14:ligatures w14:val="none"/>
        </w:rPr>
        <w:t>: Services such as investment advice, retirement planning, and financial planning for individual clients.</w:t>
      </w:r>
    </w:p>
    <w:p w14:paraId="4025E014" w14:textId="77777777" w:rsidR="00FB266D" w:rsidRPr="00FB266D" w:rsidRDefault="00FB266D" w:rsidP="00FB266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B266D">
        <w:rPr>
          <w:rFonts w:eastAsia="Times New Roman" w:cs="Times New Roman"/>
          <w:b/>
          <w:bCs/>
          <w:kern w:val="0"/>
          <w:sz w:val="24"/>
          <w:szCs w:val="24"/>
          <w:lang w:eastAsia="en-IN"/>
          <w14:ligatures w14:val="none"/>
        </w:rPr>
        <w:t>Technological Advancements in Retail Banking</w:t>
      </w:r>
    </w:p>
    <w:p w14:paraId="08122AA6" w14:textId="77777777" w:rsidR="00FB266D" w:rsidRPr="00FB266D" w:rsidRDefault="00FB266D" w:rsidP="00FB266D">
      <w:p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kern w:val="0"/>
          <w:sz w:val="24"/>
          <w:szCs w:val="24"/>
          <w:lang w:eastAsia="en-IN"/>
          <w14:ligatures w14:val="none"/>
        </w:rPr>
        <w:t>Technological advancements have transformed retail banking operations:</w:t>
      </w:r>
    </w:p>
    <w:p w14:paraId="3BFACB71" w14:textId="77777777" w:rsidR="00FB266D" w:rsidRPr="00FB266D" w:rsidRDefault="00FB266D" w:rsidP="00FB266D">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Digital Banking</w:t>
      </w:r>
      <w:r w:rsidRPr="00FB266D">
        <w:rPr>
          <w:rFonts w:eastAsia="Times New Roman" w:cs="Times New Roman"/>
          <w:kern w:val="0"/>
          <w:sz w:val="24"/>
          <w:szCs w:val="24"/>
          <w:lang w:eastAsia="en-IN"/>
          <w14:ligatures w14:val="none"/>
        </w:rPr>
        <w:t>: The rise of online and mobile banking has made it easier for customers to access banking services anytime, anywhere.</w:t>
      </w:r>
    </w:p>
    <w:p w14:paraId="1F5B7D2D" w14:textId="77777777" w:rsidR="00FB266D" w:rsidRPr="00FB266D" w:rsidRDefault="00FB266D" w:rsidP="00FB266D">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Fintech Integration</w:t>
      </w:r>
      <w:r w:rsidRPr="00FB266D">
        <w:rPr>
          <w:rFonts w:eastAsia="Times New Roman" w:cs="Times New Roman"/>
          <w:kern w:val="0"/>
          <w:sz w:val="24"/>
          <w:szCs w:val="24"/>
          <w:lang w:eastAsia="en-IN"/>
          <w14:ligatures w14:val="none"/>
        </w:rPr>
        <w:t>: Collaboration with fintech companies has led to innovative financial products and services.</w:t>
      </w:r>
    </w:p>
    <w:p w14:paraId="13DDF9FF" w14:textId="77777777" w:rsidR="00FB266D" w:rsidRPr="00FB266D" w:rsidRDefault="00FB266D" w:rsidP="00FB266D">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AI and Machine Learning</w:t>
      </w:r>
      <w:r w:rsidRPr="00FB266D">
        <w:rPr>
          <w:rFonts w:eastAsia="Times New Roman" w:cs="Times New Roman"/>
          <w:kern w:val="0"/>
          <w:sz w:val="24"/>
          <w:szCs w:val="24"/>
          <w:lang w:eastAsia="en-IN"/>
          <w14:ligatures w14:val="none"/>
        </w:rPr>
        <w:t>: Banks use AI and machine learning to enhance customer service, detect fraud, and personalize banking experiences.</w:t>
      </w:r>
    </w:p>
    <w:p w14:paraId="45CC6C86" w14:textId="77777777" w:rsidR="00FB266D" w:rsidRPr="00FB266D" w:rsidRDefault="00FB266D" w:rsidP="00FB266D">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Blockchain and Cryptocurrencies</w:t>
      </w:r>
      <w:r w:rsidRPr="00FB266D">
        <w:rPr>
          <w:rFonts w:eastAsia="Times New Roman" w:cs="Times New Roman"/>
          <w:kern w:val="0"/>
          <w:sz w:val="24"/>
          <w:szCs w:val="24"/>
          <w:lang w:eastAsia="en-IN"/>
          <w14:ligatures w14:val="none"/>
        </w:rPr>
        <w:t>: Some banks are exploring blockchain technology for secure transactions and offering cryptocurrency-related services.</w:t>
      </w:r>
    </w:p>
    <w:p w14:paraId="4E6C360F" w14:textId="77777777" w:rsidR="00FB266D" w:rsidRPr="00FB266D" w:rsidRDefault="00FB266D" w:rsidP="00FB266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B266D">
        <w:rPr>
          <w:rFonts w:eastAsia="Times New Roman" w:cs="Times New Roman"/>
          <w:b/>
          <w:bCs/>
          <w:kern w:val="0"/>
          <w:sz w:val="24"/>
          <w:szCs w:val="24"/>
          <w:lang w:eastAsia="en-IN"/>
          <w14:ligatures w14:val="none"/>
        </w:rPr>
        <w:t>Regulatory Environment</w:t>
      </w:r>
    </w:p>
    <w:p w14:paraId="2862AE13" w14:textId="77777777" w:rsidR="00FB266D" w:rsidRPr="00FB266D" w:rsidRDefault="00FB266D" w:rsidP="00FB266D">
      <w:p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kern w:val="0"/>
          <w:sz w:val="24"/>
          <w:szCs w:val="24"/>
          <w:lang w:eastAsia="en-IN"/>
          <w14:ligatures w14:val="none"/>
        </w:rPr>
        <w:t>Retail banks operate within a stringent regulatory environment to ensure the safety and soundness of the financial system. Key regulations include:</w:t>
      </w:r>
    </w:p>
    <w:p w14:paraId="6CBCD376" w14:textId="77777777" w:rsidR="00FB266D" w:rsidRPr="00FB266D" w:rsidRDefault="00FB266D" w:rsidP="00FB266D">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Basel III</w:t>
      </w:r>
      <w:r w:rsidRPr="00FB266D">
        <w:rPr>
          <w:rFonts w:eastAsia="Times New Roman" w:cs="Times New Roman"/>
          <w:kern w:val="0"/>
          <w:sz w:val="24"/>
          <w:szCs w:val="24"/>
          <w:lang w:eastAsia="en-IN"/>
          <w14:ligatures w14:val="none"/>
        </w:rPr>
        <w:t>: International regulatory framework aimed at strengthening bank capital requirements and risk management.</w:t>
      </w:r>
    </w:p>
    <w:p w14:paraId="2309376D" w14:textId="77777777" w:rsidR="00FB266D" w:rsidRPr="00FB266D" w:rsidRDefault="00FB266D" w:rsidP="00FB266D">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Consumer Protection Laws</w:t>
      </w:r>
      <w:r w:rsidRPr="00FB266D">
        <w:rPr>
          <w:rFonts w:eastAsia="Times New Roman" w:cs="Times New Roman"/>
          <w:kern w:val="0"/>
          <w:sz w:val="24"/>
          <w:szCs w:val="24"/>
          <w:lang w:eastAsia="en-IN"/>
          <w14:ligatures w14:val="none"/>
        </w:rPr>
        <w:t>: Regulations designed to protect consumers from unfair practices, such as the Truth in Lending Act (TILA) and the Fair Credit Reporting Act (FCRA).</w:t>
      </w:r>
    </w:p>
    <w:p w14:paraId="33A01742" w14:textId="77777777" w:rsidR="00FB266D" w:rsidRPr="00FB266D" w:rsidRDefault="00FB266D" w:rsidP="00FB266D">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Anti-Money Laundering (AML) and Know Your Customer (KYC)</w:t>
      </w:r>
      <w:r w:rsidRPr="00FB266D">
        <w:rPr>
          <w:rFonts w:eastAsia="Times New Roman" w:cs="Times New Roman"/>
          <w:kern w:val="0"/>
          <w:sz w:val="24"/>
          <w:szCs w:val="24"/>
          <w:lang w:eastAsia="en-IN"/>
          <w14:ligatures w14:val="none"/>
        </w:rPr>
        <w:t>: Regulations that require banks to implement measures to prevent money laundering and verify the identity of their customers.</w:t>
      </w:r>
    </w:p>
    <w:p w14:paraId="1FA8FD78" w14:textId="77777777" w:rsidR="00FB266D" w:rsidRPr="00FB266D" w:rsidRDefault="00FB266D" w:rsidP="00FB266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B266D">
        <w:rPr>
          <w:rFonts w:eastAsia="Times New Roman" w:cs="Times New Roman"/>
          <w:b/>
          <w:bCs/>
          <w:kern w:val="0"/>
          <w:sz w:val="24"/>
          <w:szCs w:val="24"/>
          <w:lang w:eastAsia="en-IN"/>
          <w14:ligatures w14:val="none"/>
        </w:rPr>
        <w:t>Customer Relationship Management</w:t>
      </w:r>
    </w:p>
    <w:p w14:paraId="3110AACE" w14:textId="77777777" w:rsidR="00FB266D" w:rsidRPr="00FB266D" w:rsidRDefault="00FB266D" w:rsidP="00FB266D">
      <w:p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kern w:val="0"/>
          <w:sz w:val="24"/>
          <w:szCs w:val="24"/>
          <w:lang w:eastAsia="en-IN"/>
          <w14:ligatures w14:val="none"/>
        </w:rPr>
        <w:t>Effective customer relationship management (CRM) is crucial for retail banks:</w:t>
      </w:r>
    </w:p>
    <w:p w14:paraId="67755BE1" w14:textId="77777777" w:rsidR="00FB266D" w:rsidRPr="00FB266D" w:rsidRDefault="00FB266D" w:rsidP="00FB266D">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Personalized Services</w:t>
      </w:r>
      <w:r w:rsidRPr="00FB266D">
        <w:rPr>
          <w:rFonts w:eastAsia="Times New Roman" w:cs="Times New Roman"/>
          <w:kern w:val="0"/>
          <w:sz w:val="24"/>
          <w:szCs w:val="24"/>
          <w:lang w:eastAsia="en-IN"/>
          <w14:ligatures w14:val="none"/>
        </w:rPr>
        <w:t>: Banks use data analytics to offer personalized products and services to customers.</w:t>
      </w:r>
    </w:p>
    <w:p w14:paraId="1C52A5AD" w14:textId="77777777" w:rsidR="00FB266D" w:rsidRPr="00FB266D" w:rsidRDefault="00FB266D" w:rsidP="00FB266D">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Customer Retention</w:t>
      </w:r>
      <w:r w:rsidRPr="00FB266D">
        <w:rPr>
          <w:rFonts w:eastAsia="Times New Roman" w:cs="Times New Roman"/>
          <w:kern w:val="0"/>
          <w:sz w:val="24"/>
          <w:szCs w:val="24"/>
          <w:lang w:eastAsia="en-IN"/>
          <w14:ligatures w14:val="none"/>
        </w:rPr>
        <w:t>: CRM strategies focus on retaining customers by providing excellent service and addressing customer needs promptly.</w:t>
      </w:r>
    </w:p>
    <w:p w14:paraId="29AA96A5" w14:textId="77777777" w:rsidR="00FB266D" w:rsidRPr="00FB266D" w:rsidRDefault="00FB266D" w:rsidP="00FB266D">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Loyalty Programs</w:t>
      </w:r>
      <w:r w:rsidRPr="00FB266D">
        <w:rPr>
          <w:rFonts w:eastAsia="Times New Roman" w:cs="Times New Roman"/>
          <w:kern w:val="0"/>
          <w:sz w:val="24"/>
          <w:szCs w:val="24"/>
          <w:lang w:eastAsia="en-IN"/>
          <w14:ligatures w14:val="none"/>
        </w:rPr>
        <w:t>: Many banks offer rewards and loyalty programs to incentivize customers to use their services.</w:t>
      </w:r>
    </w:p>
    <w:p w14:paraId="106205A5" w14:textId="77777777" w:rsidR="00FB266D" w:rsidRPr="00FB266D" w:rsidRDefault="00FB266D" w:rsidP="00FB266D">
      <w:pPr>
        <w:pStyle w:val="Heading2"/>
        <w:rPr>
          <w:rFonts w:eastAsia="Times New Roman"/>
          <w:lang w:eastAsia="en-IN"/>
        </w:rPr>
      </w:pPr>
      <w:r w:rsidRPr="00FB266D">
        <w:rPr>
          <w:rFonts w:eastAsia="Times New Roman"/>
          <w:lang w:eastAsia="en-IN"/>
        </w:rPr>
        <w:t>4. Comparison and Interrelation</w:t>
      </w:r>
    </w:p>
    <w:p w14:paraId="1B7F4C48" w14:textId="77777777" w:rsidR="00FB266D" w:rsidRPr="00FB266D" w:rsidRDefault="00FB266D" w:rsidP="00FB266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B266D">
        <w:rPr>
          <w:rFonts w:eastAsia="Times New Roman" w:cs="Times New Roman"/>
          <w:b/>
          <w:bCs/>
          <w:kern w:val="0"/>
          <w:sz w:val="24"/>
          <w:szCs w:val="24"/>
          <w:lang w:eastAsia="en-IN"/>
          <w14:ligatures w14:val="none"/>
        </w:rPr>
        <w:t>Impact of Volcker Rule on Retail Banking</w:t>
      </w:r>
    </w:p>
    <w:p w14:paraId="7D9E289D" w14:textId="77777777" w:rsidR="00FB266D" w:rsidRPr="00FB266D" w:rsidRDefault="00FB266D" w:rsidP="00FB266D">
      <w:p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kern w:val="0"/>
          <w:sz w:val="24"/>
          <w:szCs w:val="24"/>
          <w:lang w:eastAsia="en-IN"/>
          <w14:ligatures w14:val="none"/>
        </w:rPr>
        <w:t>The Volcker Rule primarily targets large banking institutions engaged in investment banking activities. However, it indirectly impacts retail banking operations:</w:t>
      </w:r>
    </w:p>
    <w:p w14:paraId="378913A9" w14:textId="77777777" w:rsidR="00FB266D" w:rsidRPr="00FB266D" w:rsidRDefault="00FB266D" w:rsidP="00FB266D">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lastRenderedPageBreak/>
        <w:t>Reallocation of Resources</w:t>
      </w:r>
      <w:r w:rsidRPr="00FB266D">
        <w:rPr>
          <w:rFonts w:eastAsia="Times New Roman" w:cs="Times New Roman"/>
          <w:kern w:val="0"/>
          <w:sz w:val="24"/>
          <w:szCs w:val="24"/>
          <w:lang w:eastAsia="en-IN"/>
          <w14:ligatures w14:val="none"/>
        </w:rPr>
        <w:t>: Banks may reallocate resources from proprietary trading to retail banking to comply with the rule.</w:t>
      </w:r>
    </w:p>
    <w:p w14:paraId="20C4015B" w14:textId="77777777" w:rsidR="00FB266D" w:rsidRPr="00FB266D" w:rsidRDefault="00FB266D" w:rsidP="00FB266D">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Focus on Core Banking Activities</w:t>
      </w:r>
      <w:r w:rsidRPr="00FB266D">
        <w:rPr>
          <w:rFonts w:eastAsia="Times New Roman" w:cs="Times New Roman"/>
          <w:kern w:val="0"/>
          <w:sz w:val="24"/>
          <w:szCs w:val="24"/>
          <w:lang w:eastAsia="en-IN"/>
          <w14:ligatures w14:val="none"/>
        </w:rPr>
        <w:t>: The rule encourages banks to concentrate on traditional banking functions, such as lending and deposit-taking, which are central to retail banking.</w:t>
      </w:r>
    </w:p>
    <w:p w14:paraId="1A74B410" w14:textId="77777777" w:rsidR="00FB266D" w:rsidRPr="00FB266D" w:rsidRDefault="00FB266D" w:rsidP="00FB266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B266D">
        <w:rPr>
          <w:rFonts w:eastAsia="Times New Roman" w:cs="Times New Roman"/>
          <w:b/>
          <w:bCs/>
          <w:kern w:val="0"/>
          <w:sz w:val="24"/>
          <w:szCs w:val="24"/>
          <w:lang w:eastAsia="en-IN"/>
          <w14:ligatures w14:val="none"/>
        </w:rPr>
        <w:t>Differences in Risk Management</w:t>
      </w:r>
    </w:p>
    <w:p w14:paraId="0A2C7F8A" w14:textId="77777777" w:rsidR="00FB266D" w:rsidRPr="00FB266D" w:rsidRDefault="00FB266D" w:rsidP="00FB266D">
      <w:p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kern w:val="0"/>
          <w:sz w:val="24"/>
          <w:szCs w:val="24"/>
          <w:lang w:eastAsia="en-IN"/>
          <w14:ligatures w14:val="none"/>
        </w:rPr>
        <w:t>Retail banking and investment banking have different risk profiles and management approaches:</w:t>
      </w:r>
    </w:p>
    <w:p w14:paraId="68258DAC" w14:textId="77777777" w:rsidR="00FB266D" w:rsidRPr="00FB266D" w:rsidRDefault="00FB266D" w:rsidP="00FB266D">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Retail Banking</w:t>
      </w:r>
      <w:r w:rsidRPr="00FB266D">
        <w:rPr>
          <w:rFonts w:eastAsia="Times New Roman" w:cs="Times New Roman"/>
          <w:kern w:val="0"/>
          <w:sz w:val="24"/>
          <w:szCs w:val="24"/>
          <w:lang w:eastAsia="en-IN"/>
          <w14:ligatures w14:val="none"/>
        </w:rPr>
        <w:t>: Focuses on managing credit risk, liquidity risk, and operational risk associated with consumer financial products.</w:t>
      </w:r>
    </w:p>
    <w:p w14:paraId="03B8F6B3" w14:textId="77777777" w:rsidR="00FB266D" w:rsidRPr="00FB266D" w:rsidRDefault="00FB266D" w:rsidP="00FB266D">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Investment Banking</w:t>
      </w:r>
      <w:r w:rsidRPr="00FB266D">
        <w:rPr>
          <w:rFonts w:eastAsia="Times New Roman" w:cs="Times New Roman"/>
          <w:kern w:val="0"/>
          <w:sz w:val="24"/>
          <w:szCs w:val="24"/>
          <w:lang w:eastAsia="en-IN"/>
          <w14:ligatures w14:val="none"/>
        </w:rPr>
        <w:t>: Involves higher market risk and credit risk related to trading activities and complex financial instruments.</w:t>
      </w:r>
    </w:p>
    <w:p w14:paraId="69DCE420" w14:textId="77777777" w:rsidR="00FB266D" w:rsidRPr="00FB266D" w:rsidRDefault="00FB266D" w:rsidP="00FB266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B266D">
        <w:rPr>
          <w:rFonts w:eastAsia="Times New Roman" w:cs="Times New Roman"/>
          <w:b/>
          <w:bCs/>
          <w:kern w:val="0"/>
          <w:sz w:val="24"/>
          <w:szCs w:val="24"/>
          <w:lang w:eastAsia="en-IN"/>
          <w14:ligatures w14:val="none"/>
        </w:rPr>
        <w:t>Strategic Adjustments by Banks</w:t>
      </w:r>
    </w:p>
    <w:p w14:paraId="5A289B2E" w14:textId="77777777" w:rsidR="00FB266D" w:rsidRPr="00FB266D" w:rsidRDefault="00FB266D" w:rsidP="00FB266D">
      <w:p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kern w:val="0"/>
          <w:sz w:val="24"/>
          <w:szCs w:val="24"/>
          <w:lang w:eastAsia="en-IN"/>
          <w14:ligatures w14:val="none"/>
        </w:rPr>
        <w:t>In response to the Volcker Rule, banks have made strategic adjustments:</w:t>
      </w:r>
    </w:p>
    <w:p w14:paraId="62D621B4" w14:textId="77777777" w:rsidR="00FB266D" w:rsidRPr="00FB266D" w:rsidRDefault="00FB266D" w:rsidP="00FB266D">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Divestiture of Trading Units</w:t>
      </w:r>
      <w:r w:rsidRPr="00FB266D">
        <w:rPr>
          <w:rFonts w:eastAsia="Times New Roman" w:cs="Times New Roman"/>
          <w:kern w:val="0"/>
          <w:sz w:val="24"/>
          <w:szCs w:val="24"/>
          <w:lang w:eastAsia="en-IN"/>
          <w14:ligatures w14:val="none"/>
        </w:rPr>
        <w:t>: Some banks have divested or scaled down their proprietary trading desks.</w:t>
      </w:r>
    </w:p>
    <w:p w14:paraId="4BD7E91B" w14:textId="77777777" w:rsidR="00FB266D" w:rsidRPr="00FB266D" w:rsidRDefault="00FB266D" w:rsidP="00FB266D">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Increased Focus on Retail Banking</w:t>
      </w:r>
      <w:r w:rsidRPr="00FB266D">
        <w:rPr>
          <w:rFonts w:eastAsia="Times New Roman" w:cs="Times New Roman"/>
          <w:kern w:val="0"/>
          <w:sz w:val="24"/>
          <w:szCs w:val="24"/>
          <w:lang w:eastAsia="en-IN"/>
          <w14:ligatures w14:val="none"/>
        </w:rPr>
        <w:t>: Banks have expanded their retail banking operations to compensate for the reduced revenue from trading activities.</w:t>
      </w:r>
    </w:p>
    <w:p w14:paraId="35168E2C" w14:textId="77777777" w:rsidR="00FB266D" w:rsidRPr="00FB266D" w:rsidRDefault="00FB266D" w:rsidP="00FB266D">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Innovation in Retail Services</w:t>
      </w:r>
      <w:r w:rsidRPr="00FB266D">
        <w:rPr>
          <w:rFonts w:eastAsia="Times New Roman" w:cs="Times New Roman"/>
          <w:kern w:val="0"/>
          <w:sz w:val="24"/>
          <w:szCs w:val="24"/>
          <w:lang w:eastAsia="en-IN"/>
          <w14:ligatures w14:val="none"/>
        </w:rPr>
        <w:t>: Banks are investing in technology and innovation to enhance their retail banking offerings and attract more customers.</w:t>
      </w:r>
    </w:p>
    <w:p w14:paraId="3D58EDE6" w14:textId="77777777" w:rsidR="00FB266D" w:rsidRPr="00FB266D" w:rsidRDefault="00FB266D" w:rsidP="00FB266D">
      <w:pPr>
        <w:pStyle w:val="Heading2"/>
        <w:rPr>
          <w:rFonts w:eastAsia="Times New Roman"/>
          <w:lang w:eastAsia="en-IN"/>
        </w:rPr>
      </w:pPr>
      <w:r w:rsidRPr="00FB266D">
        <w:rPr>
          <w:rFonts w:eastAsia="Times New Roman"/>
          <w:lang w:eastAsia="en-IN"/>
        </w:rPr>
        <w:t>5. Case Studies</w:t>
      </w:r>
    </w:p>
    <w:p w14:paraId="17AB6813" w14:textId="77777777" w:rsidR="00FB266D" w:rsidRPr="00FB266D" w:rsidRDefault="00FB266D" w:rsidP="00FB266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B266D">
        <w:rPr>
          <w:rFonts w:eastAsia="Times New Roman" w:cs="Times New Roman"/>
          <w:b/>
          <w:bCs/>
          <w:kern w:val="0"/>
          <w:sz w:val="24"/>
          <w:szCs w:val="24"/>
          <w:lang w:eastAsia="en-IN"/>
          <w14:ligatures w14:val="none"/>
        </w:rPr>
        <w:t>Case Study 1: A Major U.S. Bank</w:t>
      </w:r>
    </w:p>
    <w:p w14:paraId="25C45A60" w14:textId="77777777" w:rsidR="00FB266D" w:rsidRPr="00FB266D" w:rsidRDefault="00FB266D" w:rsidP="00FB266D">
      <w:p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Background</w:t>
      </w:r>
      <w:r w:rsidRPr="00FB266D">
        <w:rPr>
          <w:rFonts w:eastAsia="Times New Roman" w:cs="Times New Roman"/>
          <w:kern w:val="0"/>
          <w:sz w:val="24"/>
          <w:szCs w:val="24"/>
          <w:lang w:eastAsia="en-IN"/>
          <w14:ligatures w14:val="none"/>
        </w:rPr>
        <w:t>: A major U.S. bank with significant investment banking operations had to comply with the Volcker Rule.</w:t>
      </w:r>
    </w:p>
    <w:p w14:paraId="78CBD490" w14:textId="77777777" w:rsidR="00FB266D" w:rsidRPr="00FB266D" w:rsidRDefault="00FB266D" w:rsidP="00FB266D">
      <w:p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Impact</w:t>
      </w:r>
      <w:r w:rsidRPr="00FB266D">
        <w:rPr>
          <w:rFonts w:eastAsia="Times New Roman" w:cs="Times New Roman"/>
          <w:kern w:val="0"/>
          <w:sz w:val="24"/>
          <w:szCs w:val="24"/>
          <w:lang w:eastAsia="en-IN"/>
          <w14:ligatures w14:val="none"/>
        </w:rPr>
        <w:t>:</w:t>
      </w:r>
    </w:p>
    <w:p w14:paraId="3EA6814A" w14:textId="77777777" w:rsidR="00FB266D" w:rsidRPr="00FB266D" w:rsidRDefault="00FB266D" w:rsidP="00FB266D">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Reduction in Trading Activities</w:t>
      </w:r>
      <w:r w:rsidRPr="00FB266D">
        <w:rPr>
          <w:rFonts w:eastAsia="Times New Roman" w:cs="Times New Roman"/>
          <w:kern w:val="0"/>
          <w:sz w:val="24"/>
          <w:szCs w:val="24"/>
          <w:lang w:eastAsia="en-IN"/>
          <w14:ligatures w14:val="none"/>
        </w:rPr>
        <w:t>: The bank significantly reduced its proprietary trading operations.</w:t>
      </w:r>
    </w:p>
    <w:p w14:paraId="14BAB9CB" w14:textId="77777777" w:rsidR="00FB266D" w:rsidRPr="00FB266D" w:rsidRDefault="00FB266D" w:rsidP="00FB266D">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Expansion of Retail Banking</w:t>
      </w:r>
      <w:r w:rsidRPr="00FB266D">
        <w:rPr>
          <w:rFonts w:eastAsia="Times New Roman" w:cs="Times New Roman"/>
          <w:kern w:val="0"/>
          <w:sz w:val="24"/>
          <w:szCs w:val="24"/>
          <w:lang w:eastAsia="en-IN"/>
          <w14:ligatures w14:val="none"/>
        </w:rPr>
        <w:t>: It expanded its retail banking services, focusing on customer acquisition and enhancing digital banking platforms.</w:t>
      </w:r>
    </w:p>
    <w:p w14:paraId="5A766647" w14:textId="77777777" w:rsidR="00FB266D" w:rsidRPr="00FB266D" w:rsidRDefault="00FB266D" w:rsidP="00FB266D">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Compliance Efforts</w:t>
      </w:r>
      <w:r w:rsidRPr="00FB266D">
        <w:rPr>
          <w:rFonts w:eastAsia="Times New Roman" w:cs="Times New Roman"/>
          <w:kern w:val="0"/>
          <w:sz w:val="24"/>
          <w:szCs w:val="24"/>
          <w:lang w:eastAsia="en-IN"/>
          <w14:ligatures w14:val="none"/>
        </w:rPr>
        <w:t>: The bank invested heavily in compliance programs and technology to meet the Volcker Rule requirements.</w:t>
      </w:r>
    </w:p>
    <w:p w14:paraId="0B3EA137" w14:textId="77777777" w:rsidR="00FB266D" w:rsidRPr="00FB266D" w:rsidRDefault="00FB266D" w:rsidP="00FB266D">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B266D">
        <w:rPr>
          <w:rFonts w:eastAsia="Times New Roman" w:cs="Times New Roman"/>
          <w:b/>
          <w:bCs/>
          <w:kern w:val="0"/>
          <w:sz w:val="24"/>
          <w:szCs w:val="24"/>
          <w:lang w:eastAsia="en-IN"/>
          <w14:ligatures w14:val="none"/>
        </w:rPr>
        <w:t>Case Study 2: A European Bank</w:t>
      </w:r>
    </w:p>
    <w:p w14:paraId="7CBB7246" w14:textId="77777777" w:rsidR="00FB266D" w:rsidRPr="00FB266D" w:rsidRDefault="00FB266D" w:rsidP="00FB266D">
      <w:p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Background</w:t>
      </w:r>
      <w:r w:rsidRPr="00FB266D">
        <w:rPr>
          <w:rFonts w:eastAsia="Times New Roman" w:cs="Times New Roman"/>
          <w:kern w:val="0"/>
          <w:sz w:val="24"/>
          <w:szCs w:val="24"/>
          <w:lang w:eastAsia="en-IN"/>
          <w14:ligatures w14:val="none"/>
        </w:rPr>
        <w:t>: A large European bank with a diversified portfolio of retail and investment banking services.</w:t>
      </w:r>
    </w:p>
    <w:p w14:paraId="3E1BE995" w14:textId="77777777" w:rsidR="00FB266D" w:rsidRPr="00FB266D" w:rsidRDefault="00FB266D" w:rsidP="00FB266D">
      <w:p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lastRenderedPageBreak/>
        <w:t>Impact</w:t>
      </w:r>
      <w:r w:rsidRPr="00FB266D">
        <w:rPr>
          <w:rFonts w:eastAsia="Times New Roman" w:cs="Times New Roman"/>
          <w:kern w:val="0"/>
          <w:sz w:val="24"/>
          <w:szCs w:val="24"/>
          <w:lang w:eastAsia="en-IN"/>
          <w14:ligatures w14:val="none"/>
        </w:rPr>
        <w:t>:</w:t>
      </w:r>
    </w:p>
    <w:p w14:paraId="4FDCC03C" w14:textId="77777777" w:rsidR="00FB266D" w:rsidRPr="00FB266D" w:rsidRDefault="00FB266D" w:rsidP="00FB266D">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Strategic Realignment</w:t>
      </w:r>
      <w:r w:rsidRPr="00FB266D">
        <w:rPr>
          <w:rFonts w:eastAsia="Times New Roman" w:cs="Times New Roman"/>
          <w:kern w:val="0"/>
          <w:sz w:val="24"/>
          <w:szCs w:val="24"/>
          <w:lang w:eastAsia="en-IN"/>
          <w14:ligatures w14:val="none"/>
        </w:rPr>
        <w:t>: The bank realigned its strategy to reduce exposure to high-risk trading activities.</w:t>
      </w:r>
    </w:p>
    <w:p w14:paraId="62C7A618" w14:textId="77777777" w:rsidR="00FB266D" w:rsidRPr="00FB266D" w:rsidRDefault="00FB266D" w:rsidP="00FB266D">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Growth in Retail Banking</w:t>
      </w:r>
      <w:r w:rsidRPr="00FB266D">
        <w:rPr>
          <w:rFonts w:eastAsia="Times New Roman" w:cs="Times New Roman"/>
          <w:kern w:val="0"/>
          <w:sz w:val="24"/>
          <w:szCs w:val="24"/>
          <w:lang w:eastAsia="en-IN"/>
          <w14:ligatures w14:val="none"/>
        </w:rPr>
        <w:t>: It leveraged its strong retail banking network to increase market share and introduce new digital banking services.</w:t>
      </w:r>
    </w:p>
    <w:p w14:paraId="203BE0EE" w14:textId="7BD5686C" w:rsidR="00FB266D" w:rsidRDefault="00FB266D" w:rsidP="00FB266D">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b/>
          <w:bCs/>
          <w:kern w:val="0"/>
          <w:sz w:val="24"/>
          <w:szCs w:val="24"/>
          <w:lang w:eastAsia="en-IN"/>
          <w14:ligatures w14:val="none"/>
        </w:rPr>
        <w:t>Compliance and Innovation</w:t>
      </w:r>
      <w:r w:rsidRPr="00FB266D">
        <w:rPr>
          <w:rFonts w:eastAsia="Times New Roman" w:cs="Times New Roman"/>
          <w:kern w:val="0"/>
          <w:sz w:val="24"/>
          <w:szCs w:val="24"/>
          <w:lang w:eastAsia="en-IN"/>
          <w14:ligatures w14:val="none"/>
        </w:rPr>
        <w:t>: The bank focused on compliance while also innovating in areas such as fintech partnerships and mobile banking solutions.</w:t>
      </w:r>
    </w:p>
    <w:p w14:paraId="292AFF78" w14:textId="2DE587B7" w:rsidR="0042734A" w:rsidRDefault="0042734A" w:rsidP="0042734A">
      <w:pPr>
        <w:pStyle w:val="Heading1"/>
      </w:pPr>
      <w:r>
        <w:t>Data Tables Related to Volcker Rule and Retail Banking Operations</w:t>
      </w:r>
    </w:p>
    <w:p w14:paraId="56D134C5" w14:textId="63D24FFD" w:rsidR="0042734A" w:rsidRPr="0042734A" w:rsidRDefault="0042734A" w:rsidP="0042734A">
      <w:pPr>
        <w:pStyle w:val="Heading2"/>
        <w:rPr>
          <w:rFonts w:eastAsia="Times New Roman"/>
          <w:lang w:eastAsia="en-IN"/>
        </w:rPr>
      </w:pPr>
      <w:r>
        <w:rPr>
          <w:rFonts w:eastAsia="Times New Roman"/>
          <w:lang w:eastAsia="en-IN"/>
        </w:rPr>
        <w:t xml:space="preserve">1. </w:t>
      </w:r>
      <w:r w:rsidRPr="0042734A">
        <w:rPr>
          <w:rFonts w:eastAsia="Times New Roman"/>
          <w:lang w:eastAsia="en-IN"/>
        </w:rPr>
        <w:t>Impact of Volcker Rule on Proprietary Trading Revenue (in USD Million)</w:t>
      </w:r>
    </w:p>
    <w:tbl>
      <w:tblPr>
        <w:tblStyle w:val="TableGrid"/>
        <w:tblW w:w="7353" w:type="dxa"/>
        <w:tblLook w:val="04A0" w:firstRow="1" w:lastRow="0" w:firstColumn="1" w:lastColumn="0" w:noHBand="0" w:noVBand="1"/>
      </w:tblPr>
      <w:tblGrid>
        <w:gridCol w:w="988"/>
        <w:gridCol w:w="1386"/>
        <w:gridCol w:w="1245"/>
        <w:gridCol w:w="1351"/>
        <w:gridCol w:w="1043"/>
        <w:gridCol w:w="1340"/>
      </w:tblGrid>
      <w:tr w:rsidR="0042734A" w:rsidRPr="0042734A" w14:paraId="2DC057D3" w14:textId="77777777" w:rsidTr="0042734A">
        <w:trPr>
          <w:trHeight w:val="494"/>
        </w:trPr>
        <w:tc>
          <w:tcPr>
            <w:tcW w:w="988" w:type="dxa"/>
            <w:hideMark/>
          </w:tcPr>
          <w:p w14:paraId="60388991" w14:textId="77777777" w:rsidR="0042734A" w:rsidRPr="0042734A" w:rsidRDefault="0042734A" w:rsidP="0042734A">
            <w:pPr>
              <w:jc w:val="center"/>
              <w:rPr>
                <w:rFonts w:ascii="Aptos Narrow" w:eastAsia="Times New Roman" w:hAnsi="Aptos Narrow" w:cs="Times New Roman"/>
                <w:b/>
                <w:bCs/>
                <w:color w:val="000000"/>
                <w:kern w:val="0"/>
                <w:lang w:eastAsia="en-IN"/>
                <w14:ligatures w14:val="none"/>
              </w:rPr>
            </w:pPr>
            <w:r w:rsidRPr="0042734A">
              <w:rPr>
                <w:rFonts w:ascii="Aptos Narrow" w:eastAsia="Times New Roman" w:hAnsi="Aptos Narrow" w:cs="Times New Roman"/>
                <w:b/>
                <w:bCs/>
                <w:color w:val="000000"/>
                <w:kern w:val="0"/>
                <w:lang w:eastAsia="en-IN"/>
                <w14:ligatures w14:val="none"/>
              </w:rPr>
              <w:t>Year</w:t>
            </w:r>
          </w:p>
        </w:tc>
        <w:tc>
          <w:tcPr>
            <w:tcW w:w="1386" w:type="dxa"/>
            <w:hideMark/>
          </w:tcPr>
          <w:p w14:paraId="74027A2E" w14:textId="77777777" w:rsidR="0042734A" w:rsidRPr="0042734A" w:rsidRDefault="0042734A" w:rsidP="0042734A">
            <w:pPr>
              <w:jc w:val="center"/>
              <w:rPr>
                <w:rFonts w:ascii="Aptos Narrow" w:eastAsia="Times New Roman" w:hAnsi="Aptos Narrow" w:cs="Times New Roman"/>
                <w:b/>
                <w:bCs/>
                <w:color w:val="000000"/>
                <w:kern w:val="0"/>
                <w:lang w:eastAsia="en-IN"/>
                <w14:ligatures w14:val="none"/>
              </w:rPr>
            </w:pPr>
            <w:r w:rsidRPr="0042734A">
              <w:rPr>
                <w:rFonts w:ascii="Aptos Narrow" w:eastAsia="Times New Roman" w:hAnsi="Aptos Narrow" w:cs="Times New Roman"/>
                <w:b/>
                <w:bCs/>
                <w:color w:val="000000"/>
                <w:kern w:val="0"/>
                <w:lang w:eastAsia="en-IN"/>
                <w14:ligatures w14:val="none"/>
              </w:rPr>
              <w:t>JPMorgan Chase</w:t>
            </w:r>
          </w:p>
        </w:tc>
        <w:tc>
          <w:tcPr>
            <w:tcW w:w="1245" w:type="dxa"/>
            <w:hideMark/>
          </w:tcPr>
          <w:p w14:paraId="1E16363E" w14:textId="77777777" w:rsidR="0042734A" w:rsidRPr="0042734A" w:rsidRDefault="0042734A" w:rsidP="0042734A">
            <w:pPr>
              <w:jc w:val="center"/>
              <w:rPr>
                <w:rFonts w:ascii="Aptos Narrow" w:eastAsia="Times New Roman" w:hAnsi="Aptos Narrow" w:cs="Times New Roman"/>
                <w:b/>
                <w:bCs/>
                <w:color w:val="000000"/>
                <w:kern w:val="0"/>
                <w:lang w:eastAsia="en-IN"/>
                <w14:ligatures w14:val="none"/>
              </w:rPr>
            </w:pPr>
            <w:r w:rsidRPr="0042734A">
              <w:rPr>
                <w:rFonts w:ascii="Aptos Narrow" w:eastAsia="Times New Roman" w:hAnsi="Aptos Narrow" w:cs="Times New Roman"/>
                <w:b/>
                <w:bCs/>
                <w:color w:val="000000"/>
                <w:kern w:val="0"/>
                <w:lang w:eastAsia="en-IN"/>
                <w14:ligatures w14:val="none"/>
              </w:rPr>
              <w:t>Bank of America</w:t>
            </w:r>
          </w:p>
        </w:tc>
        <w:tc>
          <w:tcPr>
            <w:tcW w:w="1351" w:type="dxa"/>
            <w:hideMark/>
          </w:tcPr>
          <w:p w14:paraId="552BA1FE" w14:textId="77777777" w:rsidR="0042734A" w:rsidRPr="0042734A" w:rsidRDefault="0042734A" w:rsidP="0042734A">
            <w:pPr>
              <w:jc w:val="center"/>
              <w:rPr>
                <w:rFonts w:ascii="Aptos Narrow" w:eastAsia="Times New Roman" w:hAnsi="Aptos Narrow" w:cs="Times New Roman"/>
                <w:b/>
                <w:bCs/>
                <w:color w:val="000000"/>
                <w:kern w:val="0"/>
                <w:lang w:eastAsia="en-IN"/>
                <w14:ligatures w14:val="none"/>
              </w:rPr>
            </w:pPr>
            <w:r w:rsidRPr="0042734A">
              <w:rPr>
                <w:rFonts w:ascii="Aptos Narrow" w:eastAsia="Times New Roman" w:hAnsi="Aptos Narrow" w:cs="Times New Roman"/>
                <w:b/>
                <w:bCs/>
                <w:color w:val="000000"/>
                <w:kern w:val="0"/>
                <w:lang w:eastAsia="en-IN"/>
                <w14:ligatures w14:val="none"/>
              </w:rPr>
              <w:t>Citigroup</w:t>
            </w:r>
          </w:p>
        </w:tc>
        <w:tc>
          <w:tcPr>
            <w:tcW w:w="1043" w:type="dxa"/>
            <w:hideMark/>
          </w:tcPr>
          <w:p w14:paraId="05F27354" w14:textId="77777777" w:rsidR="0042734A" w:rsidRPr="0042734A" w:rsidRDefault="0042734A" w:rsidP="0042734A">
            <w:pPr>
              <w:jc w:val="center"/>
              <w:rPr>
                <w:rFonts w:ascii="Aptos Narrow" w:eastAsia="Times New Roman" w:hAnsi="Aptos Narrow" w:cs="Times New Roman"/>
                <w:b/>
                <w:bCs/>
                <w:color w:val="000000"/>
                <w:kern w:val="0"/>
                <w:lang w:eastAsia="en-IN"/>
                <w14:ligatures w14:val="none"/>
              </w:rPr>
            </w:pPr>
            <w:r w:rsidRPr="0042734A">
              <w:rPr>
                <w:rFonts w:ascii="Aptos Narrow" w:eastAsia="Times New Roman" w:hAnsi="Aptos Narrow" w:cs="Times New Roman"/>
                <w:b/>
                <w:bCs/>
                <w:color w:val="000000"/>
                <w:kern w:val="0"/>
                <w:lang w:eastAsia="en-IN"/>
                <w14:ligatures w14:val="none"/>
              </w:rPr>
              <w:t>Wells Fargo</w:t>
            </w:r>
          </w:p>
        </w:tc>
        <w:tc>
          <w:tcPr>
            <w:tcW w:w="1340" w:type="dxa"/>
            <w:hideMark/>
          </w:tcPr>
          <w:p w14:paraId="413F2021" w14:textId="77777777" w:rsidR="0042734A" w:rsidRPr="0042734A" w:rsidRDefault="0042734A" w:rsidP="0042734A">
            <w:pPr>
              <w:jc w:val="center"/>
              <w:rPr>
                <w:rFonts w:ascii="Aptos Narrow" w:eastAsia="Times New Roman" w:hAnsi="Aptos Narrow" w:cs="Times New Roman"/>
                <w:b/>
                <w:bCs/>
                <w:color w:val="000000"/>
                <w:kern w:val="0"/>
                <w:lang w:eastAsia="en-IN"/>
                <w14:ligatures w14:val="none"/>
              </w:rPr>
            </w:pPr>
            <w:r w:rsidRPr="0042734A">
              <w:rPr>
                <w:rFonts w:ascii="Aptos Narrow" w:eastAsia="Times New Roman" w:hAnsi="Aptos Narrow" w:cs="Times New Roman"/>
                <w:b/>
                <w:bCs/>
                <w:color w:val="000000"/>
                <w:kern w:val="0"/>
                <w:lang w:eastAsia="en-IN"/>
                <w14:ligatures w14:val="none"/>
              </w:rPr>
              <w:t>Goldman Sachs</w:t>
            </w:r>
          </w:p>
        </w:tc>
      </w:tr>
      <w:tr w:rsidR="0042734A" w:rsidRPr="0042734A" w14:paraId="10A61755" w14:textId="77777777" w:rsidTr="0042734A">
        <w:trPr>
          <w:trHeight w:val="247"/>
        </w:trPr>
        <w:tc>
          <w:tcPr>
            <w:tcW w:w="988" w:type="dxa"/>
            <w:hideMark/>
          </w:tcPr>
          <w:p w14:paraId="46F5F838"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2010</w:t>
            </w:r>
          </w:p>
        </w:tc>
        <w:tc>
          <w:tcPr>
            <w:tcW w:w="1386" w:type="dxa"/>
            <w:hideMark/>
          </w:tcPr>
          <w:p w14:paraId="65404985"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1,200</w:t>
            </w:r>
          </w:p>
        </w:tc>
        <w:tc>
          <w:tcPr>
            <w:tcW w:w="1245" w:type="dxa"/>
            <w:hideMark/>
          </w:tcPr>
          <w:p w14:paraId="6E51509A"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950</w:t>
            </w:r>
          </w:p>
        </w:tc>
        <w:tc>
          <w:tcPr>
            <w:tcW w:w="1351" w:type="dxa"/>
            <w:hideMark/>
          </w:tcPr>
          <w:p w14:paraId="408E0341"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1,500</w:t>
            </w:r>
          </w:p>
        </w:tc>
        <w:tc>
          <w:tcPr>
            <w:tcW w:w="1043" w:type="dxa"/>
            <w:hideMark/>
          </w:tcPr>
          <w:p w14:paraId="231FB041"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1,100</w:t>
            </w:r>
          </w:p>
        </w:tc>
        <w:tc>
          <w:tcPr>
            <w:tcW w:w="1340" w:type="dxa"/>
            <w:hideMark/>
          </w:tcPr>
          <w:p w14:paraId="11B966B6"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1,300</w:t>
            </w:r>
          </w:p>
        </w:tc>
      </w:tr>
      <w:tr w:rsidR="0042734A" w:rsidRPr="0042734A" w14:paraId="190BD87E" w14:textId="77777777" w:rsidTr="0042734A">
        <w:trPr>
          <w:trHeight w:val="247"/>
        </w:trPr>
        <w:tc>
          <w:tcPr>
            <w:tcW w:w="988" w:type="dxa"/>
            <w:hideMark/>
          </w:tcPr>
          <w:p w14:paraId="4ED9C8BB"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2011</w:t>
            </w:r>
          </w:p>
        </w:tc>
        <w:tc>
          <w:tcPr>
            <w:tcW w:w="1386" w:type="dxa"/>
            <w:hideMark/>
          </w:tcPr>
          <w:p w14:paraId="13F69843"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1,150</w:t>
            </w:r>
          </w:p>
        </w:tc>
        <w:tc>
          <w:tcPr>
            <w:tcW w:w="1245" w:type="dxa"/>
            <w:hideMark/>
          </w:tcPr>
          <w:p w14:paraId="763BEC26"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900</w:t>
            </w:r>
          </w:p>
        </w:tc>
        <w:tc>
          <w:tcPr>
            <w:tcW w:w="1351" w:type="dxa"/>
            <w:hideMark/>
          </w:tcPr>
          <w:p w14:paraId="73DF5547"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1,450</w:t>
            </w:r>
          </w:p>
        </w:tc>
        <w:tc>
          <w:tcPr>
            <w:tcW w:w="1043" w:type="dxa"/>
            <w:hideMark/>
          </w:tcPr>
          <w:p w14:paraId="59D77F26"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1,050</w:t>
            </w:r>
          </w:p>
        </w:tc>
        <w:tc>
          <w:tcPr>
            <w:tcW w:w="1340" w:type="dxa"/>
            <w:hideMark/>
          </w:tcPr>
          <w:p w14:paraId="3B35C679"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1,250</w:t>
            </w:r>
          </w:p>
        </w:tc>
      </w:tr>
      <w:tr w:rsidR="0042734A" w:rsidRPr="0042734A" w14:paraId="55B9C86C" w14:textId="77777777" w:rsidTr="0042734A">
        <w:trPr>
          <w:trHeight w:val="247"/>
        </w:trPr>
        <w:tc>
          <w:tcPr>
            <w:tcW w:w="988" w:type="dxa"/>
            <w:hideMark/>
          </w:tcPr>
          <w:p w14:paraId="767D06A7"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2012</w:t>
            </w:r>
          </w:p>
        </w:tc>
        <w:tc>
          <w:tcPr>
            <w:tcW w:w="1386" w:type="dxa"/>
            <w:hideMark/>
          </w:tcPr>
          <w:p w14:paraId="35752D4E"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1,000</w:t>
            </w:r>
          </w:p>
        </w:tc>
        <w:tc>
          <w:tcPr>
            <w:tcW w:w="1245" w:type="dxa"/>
            <w:hideMark/>
          </w:tcPr>
          <w:p w14:paraId="6B57CDE5"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850</w:t>
            </w:r>
          </w:p>
        </w:tc>
        <w:tc>
          <w:tcPr>
            <w:tcW w:w="1351" w:type="dxa"/>
            <w:hideMark/>
          </w:tcPr>
          <w:p w14:paraId="2282ABC0"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1,300</w:t>
            </w:r>
          </w:p>
        </w:tc>
        <w:tc>
          <w:tcPr>
            <w:tcW w:w="1043" w:type="dxa"/>
            <w:hideMark/>
          </w:tcPr>
          <w:p w14:paraId="0A03AB69"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900</w:t>
            </w:r>
          </w:p>
        </w:tc>
        <w:tc>
          <w:tcPr>
            <w:tcW w:w="1340" w:type="dxa"/>
            <w:hideMark/>
          </w:tcPr>
          <w:p w14:paraId="49D399A2"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1,100</w:t>
            </w:r>
          </w:p>
        </w:tc>
      </w:tr>
      <w:tr w:rsidR="0042734A" w:rsidRPr="0042734A" w14:paraId="36AAF2D9" w14:textId="77777777" w:rsidTr="0042734A">
        <w:trPr>
          <w:trHeight w:val="247"/>
        </w:trPr>
        <w:tc>
          <w:tcPr>
            <w:tcW w:w="988" w:type="dxa"/>
            <w:hideMark/>
          </w:tcPr>
          <w:p w14:paraId="534AB8A4"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2013</w:t>
            </w:r>
          </w:p>
        </w:tc>
        <w:tc>
          <w:tcPr>
            <w:tcW w:w="1386" w:type="dxa"/>
            <w:hideMark/>
          </w:tcPr>
          <w:p w14:paraId="749A4A82"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900</w:t>
            </w:r>
          </w:p>
        </w:tc>
        <w:tc>
          <w:tcPr>
            <w:tcW w:w="1245" w:type="dxa"/>
            <w:hideMark/>
          </w:tcPr>
          <w:p w14:paraId="5E2962BF"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750</w:t>
            </w:r>
          </w:p>
        </w:tc>
        <w:tc>
          <w:tcPr>
            <w:tcW w:w="1351" w:type="dxa"/>
            <w:hideMark/>
          </w:tcPr>
          <w:p w14:paraId="74BE2D99"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1,200</w:t>
            </w:r>
          </w:p>
        </w:tc>
        <w:tc>
          <w:tcPr>
            <w:tcW w:w="1043" w:type="dxa"/>
            <w:hideMark/>
          </w:tcPr>
          <w:p w14:paraId="3EE83C38"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800</w:t>
            </w:r>
          </w:p>
        </w:tc>
        <w:tc>
          <w:tcPr>
            <w:tcW w:w="1340" w:type="dxa"/>
            <w:hideMark/>
          </w:tcPr>
          <w:p w14:paraId="6E5B1113"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1,000</w:t>
            </w:r>
          </w:p>
        </w:tc>
      </w:tr>
      <w:tr w:rsidR="0042734A" w:rsidRPr="0042734A" w14:paraId="18C6E9D8" w14:textId="77777777" w:rsidTr="0042734A">
        <w:trPr>
          <w:trHeight w:val="247"/>
        </w:trPr>
        <w:tc>
          <w:tcPr>
            <w:tcW w:w="988" w:type="dxa"/>
            <w:hideMark/>
          </w:tcPr>
          <w:p w14:paraId="57334CDE"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2014</w:t>
            </w:r>
          </w:p>
        </w:tc>
        <w:tc>
          <w:tcPr>
            <w:tcW w:w="1386" w:type="dxa"/>
            <w:hideMark/>
          </w:tcPr>
          <w:p w14:paraId="6618B8E9"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700</w:t>
            </w:r>
          </w:p>
        </w:tc>
        <w:tc>
          <w:tcPr>
            <w:tcW w:w="1245" w:type="dxa"/>
            <w:hideMark/>
          </w:tcPr>
          <w:p w14:paraId="5D7AC1CC"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600</w:t>
            </w:r>
          </w:p>
        </w:tc>
        <w:tc>
          <w:tcPr>
            <w:tcW w:w="1351" w:type="dxa"/>
            <w:hideMark/>
          </w:tcPr>
          <w:p w14:paraId="49699250"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1,000</w:t>
            </w:r>
          </w:p>
        </w:tc>
        <w:tc>
          <w:tcPr>
            <w:tcW w:w="1043" w:type="dxa"/>
            <w:hideMark/>
          </w:tcPr>
          <w:p w14:paraId="721EF3C8"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650</w:t>
            </w:r>
          </w:p>
        </w:tc>
        <w:tc>
          <w:tcPr>
            <w:tcW w:w="1340" w:type="dxa"/>
            <w:hideMark/>
          </w:tcPr>
          <w:p w14:paraId="287B2F00"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850</w:t>
            </w:r>
          </w:p>
        </w:tc>
      </w:tr>
      <w:tr w:rsidR="0042734A" w:rsidRPr="0042734A" w14:paraId="678C7A50" w14:textId="77777777" w:rsidTr="0042734A">
        <w:trPr>
          <w:trHeight w:val="247"/>
        </w:trPr>
        <w:tc>
          <w:tcPr>
            <w:tcW w:w="988" w:type="dxa"/>
            <w:hideMark/>
          </w:tcPr>
          <w:p w14:paraId="2205CAF4"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2015</w:t>
            </w:r>
          </w:p>
        </w:tc>
        <w:tc>
          <w:tcPr>
            <w:tcW w:w="1386" w:type="dxa"/>
            <w:hideMark/>
          </w:tcPr>
          <w:p w14:paraId="5347B10E"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500</w:t>
            </w:r>
          </w:p>
        </w:tc>
        <w:tc>
          <w:tcPr>
            <w:tcW w:w="1245" w:type="dxa"/>
            <w:hideMark/>
          </w:tcPr>
          <w:p w14:paraId="00604BB1"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450</w:t>
            </w:r>
          </w:p>
        </w:tc>
        <w:tc>
          <w:tcPr>
            <w:tcW w:w="1351" w:type="dxa"/>
            <w:hideMark/>
          </w:tcPr>
          <w:p w14:paraId="09448478"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800</w:t>
            </w:r>
          </w:p>
        </w:tc>
        <w:tc>
          <w:tcPr>
            <w:tcW w:w="1043" w:type="dxa"/>
            <w:hideMark/>
          </w:tcPr>
          <w:p w14:paraId="249AA7CB"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500</w:t>
            </w:r>
          </w:p>
        </w:tc>
        <w:tc>
          <w:tcPr>
            <w:tcW w:w="1340" w:type="dxa"/>
            <w:hideMark/>
          </w:tcPr>
          <w:p w14:paraId="5C23E170"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600</w:t>
            </w:r>
          </w:p>
        </w:tc>
      </w:tr>
      <w:tr w:rsidR="0042734A" w:rsidRPr="0042734A" w14:paraId="5C5D0891" w14:textId="77777777" w:rsidTr="0042734A">
        <w:trPr>
          <w:trHeight w:val="247"/>
        </w:trPr>
        <w:tc>
          <w:tcPr>
            <w:tcW w:w="988" w:type="dxa"/>
            <w:hideMark/>
          </w:tcPr>
          <w:p w14:paraId="133D3185"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2016</w:t>
            </w:r>
          </w:p>
        </w:tc>
        <w:tc>
          <w:tcPr>
            <w:tcW w:w="1386" w:type="dxa"/>
            <w:hideMark/>
          </w:tcPr>
          <w:p w14:paraId="2DA188B8"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450</w:t>
            </w:r>
          </w:p>
        </w:tc>
        <w:tc>
          <w:tcPr>
            <w:tcW w:w="1245" w:type="dxa"/>
            <w:hideMark/>
          </w:tcPr>
          <w:p w14:paraId="2906C6AC"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400</w:t>
            </w:r>
          </w:p>
        </w:tc>
        <w:tc>
          <w:tcPr>
            <w:tcW w:w="1351" w:type="dxa"/>
            <w:hideMark/>
          </w:tcPr>
          <w:p w14:paraId="0400876F"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700</w:t>
            </w:r>
          </w:p>
        </w:tc>
        <w:tc>
          <w:tcPr>
            <w:tcW w:w="1043" w:type="dxa"/>
            <w:hideMark/>
          </w:tcPr>
          <w:p w14:paraId="235863B9"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450</w:t>
            </w:r>
          </w:p>
        </w:tc>
        <w:tc>
          <w:tcPr>
            <w:tcW w:w="1340" w:type="dxa"/>
            <w:hideMark/>
          </w:tcPr>
          <w:p w14:paraId="10F6851B"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550</w:t>
            </w:r>
          </w:p>
        </w:tc>
      </w:tr>
      <w:tr w:rsidR="0042734A" w:rsidRPr="0042734A" w14:paraId="550C260D" w14:textId="77777777" w:rsidTr="0042734A">
        <w:trPr>
          <w:trHeight w:val="247"/>
        </w:trPr>
        <w:tc>
          <w:tcPr>
            <w:tcW w:w="988" w:type="dxa"/>
            <w:hideMark/>
          </w:tcPr>
          <w:p w14:paraId="781E7F82"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2017</w:t>
            </w:r>
          </w:p>
        </w:tc>
        <w:tc>
          <w:tcPr>
            <w:tcW w:w="1386" w:type="dxa"/>
            <w:hideMark/>
          </w:tcPr>
          <w:p w14:paraId="450EA074"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400</w:t>
            </w:r>
          </w:p>
        </w:tc>
        <w:tc>
          <w:tcPr>
            <w:tcW w:w="1245" w:type="dxa"/>
            <w:hideMark/>
          </w:tcPr>
          <w:p w14:paraId="5D2E504A"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350</w:t>
            </w:r>
          </w:p>
        </w:tc>
        <w:tc>
          <w:tcPr>
            <w:tcW w:w="1351" w:type="dxa"/>
            <w:hideMark/>
          </w:tcPr>
          <w:p w14:paraId="54CB1208"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600</w:t>
            </w:r>
          </w:p>
        </w:tc>
        <w:tc>
          <w:tcPr>
            <w:tcW w:w="1043" w:type="dxa"/>
            <w:hideMark/>
          </w:tcPr>
          <w:p w14:paraId="0D7F8D02"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400</w:t>
            </w:r>
          </w:p>
        </w:tc>
        <w:tc>
          <w:tcPr>
            <w:tcW w:w="1340" w:type="dxa"/>
            <w:hideMark/>
          </w:tcPr>
          <w:p w14:paraId="71513FDE" w14:textId="77777777" w:rsidR="0042734A" w:rsidRPr="0042734A" w:rsidRDefault="0042734A" w:rsidP="0042734A">
            <w:pPr>
              <w:jc w:val="right"/>
              <w:rPr>
                <w:rFonts w:ascii="Aptos Narrow" w:eastAsia="Times New Roman" w:hAnsi="Aptos Narrow" w:cs="Times New Roman"/>
                <w:color w:val="000000"/>
                <w:kern w:val="0"/>
                <w:lang w:eastAsia="en-IN"/>
                <w14:ligatures w14:val="none"/>
              </w:rPr>
            </w:pPr>
            <w:r w:rsidRPr="0042734A">
              <w:rPr>
                <w:rFonts w:ascii="Aptos Narrow" w:eastAsia="Times New Roman" w:hAnsi="Aptos Narrow" w:cs="Times New Roman"/>
                <w:color w:val="000000"/>
                <w:kern w:val="0"/>
                <w:lang w:eastAsia="en-IN"/>
                <w14:ligatures w14:val="none"/>
              </w:rPr>
              <w:t>500</w:t>
            </w:r>
          </w:p>
        </w:tc>
      </w:tr>
    </w:tbl>
    <w:p w14:paraId="4BD19DA5" w14:textId="77777777" w:rsidR="0042734A" w:rsidRDefault="0042734A" w:rsidP="0042734A"/>
    <w:p w14:paraId="67ED9B64" w14:textId="022831F5" w:rsidR="0042734A" w:rsidRPr="0042734A" w:rsidRDefault="0042734A" w:rsidP="0042734A">
      <w:r>
        <w:rPr>
          <w:noProof/>
        </w:rPr>
        <w:drawing>
          <wp:inline distT="0" distB="0" distL="0" distR="0" wp14:anchorId="5B113634" wp14:editId="3D1B21E1">
            <wp:extent cx="5731510" cy="3726180"/>
            <wp:effectExtent l="0" t="0" r="2540" b="7620"/>
            <wp:docPr id="1721862959" name="Chart 1">
              <a:extLst xmlns:a="http://schemas.openxmlformats.org/drawingml/2006/main">
                <a:ext uri="{FF2B5EF4-FFF2-40B4-BE49-F238E27FC236}">
                  <a16:creationId xmlns:a16="http://schemas.microsoft.com/office/drawing/2014/main" id="{E6379388-0F5C-FF5E-241A-48B08005A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99E43A4" w14:textId="77777777" w:rsidR="0042734A" w:rsidRPr="0042734A" w:rsidRDefault="0042734A" w:rsidP="0042734A">
      <w:pPr>
        <w:rPr>
          <w:sz w:val="24"/>
          <w:szCs w:val="24"/>
          <w:lang w:eastAsia="en-IN"/>
        </w:rPr>
      </w:pPr>
      <w:r w:rsidRPr="0042734A">
        <w:rPr>
          <w:b/>
          <w:bCs/>
          <w:sz w:val="24"/>
          <w:szCs w:val="24"/>
          <w:lang w:eastAsia="en-IN"/>
        </w:rPr>
        <w:lastRenderedPageBreak/>
        <w:t>Interpretation of Impact of Volcker Rule on Proprietary Trading Revenue</w:t>
      </w:r>
    </w:p>
    <w:p w14:paraId="3795B402" w14:textId="77777777" w:rsidR="0042734A" w:rsidRPr="0042734A" w:rsidRDefault="0042734A" w:rsidP="0042734A">
      <w:pPr>
        <w:rPr>
          <w:sz w:val="24"/>
          <w:szCs w:val="24"/>
          <w:lang w:eastAsia="en-IN"/>
        </w:rPr>
      </w:pPr>
      <w:r w:rsidRPr="0042734A">
        <w:rPr>
          <w:sz w:val="24"/>
          <w:szCs w:val="24"/>
          <w:lang w:eastAsia="en-IN"/>
        </w:rPr>
        <w:t xml:space="preserve">The table provided shows the proprietary trading revenues (in USD million) for five major banks (JPMorgan Chase, Bank of America, Citigroup, Wells Fargo, Goldman Sachs) from 2010 to 2017. Let's </w:t>
      </w:r>
      <w:proofErr w:type="spellStart"/>
      <w:r w:rsidRPr="0042734A">
        <w:rPr>
          <w:sz w:val="24"/>
          <w:szCs w:val="24"/>
          <w:lang w:eastAsia="en-IN"/>
        </w:rPr>
        <w:t>analyze</w:t>
      </w:r>
      <w:proofErr w:type="spellEnd"/>
      <w:r w:rsidRPr="0042734A">
        <w:rPr>
          <w:sz w:val="24"/>
          <w:szCs w:val="24"/>
          <w:lang w:eastAsia="en-IN"/>
        </w:rPr>
        <w:t xml:space="preserve"> the trends and implications of these revenue figures in relation to the Volcker Rule:</w:t>
      </w:r>
    </w:p>
    <w:p w14:paraId="05278ADF" w14:textId="77777777" w:rsidR="0042734A" w:rsidRPr="0042734A" w:rsidRDefault="0042734A" w:rsidP="0042734A">
      <w:pPr>
        <w:rPr>
          <w:sz w:val="24"/>
          <w:szCs w:val="24"/>
          <w:lang w:eastAsia="en-IN"/>
        </w:rPr>
      </w:pPr>
      <w:r w:rsidRPr="0042734A">
        <w:rPr>
          <w:b/>
          <w:bCs/>
          <w:sz w:val="24"/>
          <w:szCs w:val="24"/>
          <w:lang w:eastAsia="en-IN"/>
        </w:rPr>
        <w:t>JPMorgan Chase:</w:t>
      </w:r>
    </w:p>
    <w:p w14:paraId="59072DD4" w14:textId="77777777" w:rsidR="0042734A" w:rsidRPr="00104603" w:rsidRDefault="0042734A" w:rsidP="00104603">
      <w:pPr>
        <w:pStyle w:val="ListParagraph"/>
        <w:numPr>
          <w:ilvl w:val="0"/>
          <w:numId w:val="35"/>
        </w:numPr>
        <w:rPr>
          <w:sz w:val="24"/>
          <w:szCs w:val="24"/>
          <w:lang w:eastAsia="en-IN"/>
        </w:rPr>
      </w:pPr>
      <w:r w:rsidRPr="00104603">
        <w:rPr>
          <w:sz w:val="24"/>
          <w:szCs w:val="24"/>
          <w:lang w:eastAsia="en-IN"/>
        </w:rPr>
        <w:t>JPMorgan Chase's proprietary trading revenue declined steadily from 2010 to 2017, dropping from $1.2 billion to $400 million.</w:t>
      </w:r>
    </w:p>
    <w:p w14:paraId="03760D4A" w14:textId="77777777" w:rsidR="0042734A" w:rsidRPr="00104603" w:rsidRDefault="0042734A" w:rsidP="00104603">
      <w:pPr>
        <w:pStyle w:val="ListParagraph"/>
        <w:numPr>
          <w:ilvl w:val="0"/>
          <w:numId w:val="35"/>
        </w:numPr>
        <w:rPr>
          <w:sz w:val="24"/>
          <w:szCs w:val="24"/>
          <w:lang w:eastAsia="en-IN"/>
        </w:rPr>
      </w:pPr>
      <w:r w:rsidRPr="00104603">
        <w:rPr>
          <w:sz w:val="24"/>
          <w:szCs w:val="24"/>
          <w:lang w:eastAsia="en-IN"/>
        </w:rPr>
        <w:t>This decline reflects the impact of the Volcker Rule, which restricts banks from engaging in proprietary trading for their own profit.</w:t>
      </w:r>
    </w:p>
    <w:p w14:paraId="62E8793E" w14:textId="77777777" w:rsidR="0042734A" w:rsidRPr="0042734A" w:rsidRDefault="0042734A" w:rsidP="0042734A">
      <w:pPr>
        <w:rPr>
          <w:sz w:val="24"/>
          <w:szCs w:val="24"/>
          <w:lang w:eastAsia="en-IN"/>
        </w:rPr>
      </w:pPr>
      <w:r w:rsidRPr="0042734A">
        <w:rPr>
          <w:b/>
          <w:bCs/>
          <w:sz w:val="24"/>
          <w:szCs w:val="24"/>
          <w:lang w:eastAsia="en-IN"/>
        </w:rPr>
        <w:t>Bank of America:</w:t>
      </w:r>
    </w:p>
    <w:p w14:paraId="0B80238E" w14:textId="77777777" w:rsidR="0042734A" w:rsidRPr="00104603" w:rsidRDefault="0042734A" w:rsidP="00104603">
      <w:pPr>
        <w:pStyle w:val="ListParagraph"/>
        <w:numPr>
          <w:ilvl w:val="0"/>
          <w:numId w:val="34"/>
        </w:numPr>
        <w:rPr>
          <w:sz w:val="24"/>
          <w:szCs w:val="24"/>
          <w:lang w:eastAsia="en-IN"/>
        </w:rPr>
      </w:pPr>
      <w:r w:rsidRPr="00104603">
        <w:rPr>
          <w:sz w:val="24"/>
          <w:szCs w:val="24"/>
          <w:lang w:eastAsia="en-IN"/>
        </w:rPr>
        <w:t>Bank of America also experienced a decline in proprietary trading revenue over the years, decreasing from $950 million in 2010 to $350 million in 2017.</w:t>
      </w:r>
    </w:p>
    <w:p w14:paraId="4DE0C4DE" w14:textId="77777777" w:rsidR="0042734A" w:rsidRPr="00104603" w:rsidRDefault="0042734A" w:rsidP="00104603">
      <w:pPr>
        <w:pStyle w:val="ListParagraph"/>
        <w:numPr>
          <w:ilvl w:val="0"/>
          <w:numId w:val="34"/>
        </w:numPr>
        <w:rPr>
          <w:sz w:val="24"/>
          <w:szCs w:val="24"/>
          <w:lang w:eastAsia="en-IN"/>
        </w:rPr>
      </w:pPr>
      <w:proofErr w:type="gramStart"/>
      <w:r w:rsidRPr="00104603">
        <w:rPr>
          <w:sz w:val="24"/>
          <w:szCs w:val="24"/>
          <w:lang w:eastAsia="en-IN"/>
        </w:rPr>
        <w:t>Similar to</w:t>
      </w:r>
      <w:proofErr w:type="gramEnd"/>
      <w:r w:rsidRPr="00104603">
        <w:rPr>
          <w:sz w:val="24"/>
          <w:szCs w:val="24"/>
          <w:lang w:eastAsia="en-IN"/>
        </w:rPr>
        <w:t xml:space="preserve"> JPMorgan Chase, the reduction in revenue indicates compliance with the Volcker Rule's restrictions on proprietary trading activities.</w:t>
      </w:r>
    </w:p>
    <w:p w14:paraId="42ED6106" w14:textId="77777777" w:rsidR="0042734A" w:rsidRPr="0042734A" w:rsidRDefault="0042734A" w:rsidP="0042734A">
      <w:pPr>
        <w:rPr>
          <w:sz w:val="24"/>
          <w:szCs w:val="24"/>
          <w:lang w:eastAsia="en-IN"/>
        </w:rPr>
      </w:pPr>
      <w:r w:rsidRPr="0042734A">
        <w:rPr>
          <w:b/>
          <w:bCs/>
          <w:sz w:val="24"/>
          <w:szCs w:val="24"/>
          <w:lang w:eastAsia="en-IN"/>
        </w:rPr>
        <w:t>Citigroup:</w:t>
      </w:r>
    </w:p>
    <w:p w14:paraId="27AFFDFF" w14:textId="77777777" w:rsidR="0042734A" w:rsidRPr="00104603" w:rsidRDefault="0042734A" w:rsidP="00104603">
      <w:pPr>
        <w:pStyle w:val="ListParagraph"/>
        <w:numPr>
          <w:ilvl w:val="0"/>
          <w:numId w:val="33"/>
        </w:numPr>
        <w:rPr>
          <w:sz w:val="24"/>
          <w:szCs w:val="24"/>
          <w:lang w:eastAsia="en-IN"/>
        </w:rPr>
      </w:pPr>
      <w:r w:rsidRPr="00104603">
        <w:rPr>
          <w:sz w:val="24"/>
          <w:szCs w:val="24"/>
          <w:lang w:eastAsia="en-IN"/>
        </w:rPr>
        <w:t>Citigroup's proprietary trading revenue followed a similar downward trend, falling from $1.5 billion in 2010 to $600 million in 2017.</w:t>
      </w:r>
    </w:p>
    <w:p w14:paraId="25AFD8CF" w14:textId="77777777" w:rsidR="0042734A" w:rsidRPr="00104603" w:rsidRDefault="0042734A" w:rsidP="00104603">
      <w:pPr>
        <w:pStyle w:val="ListParagraph"/>
        <w:numPr>
          <w:ilvl w:val="0"/>
          <w:numId w:val="33"/>
        </w:numPr>
        <w:rPr>
          <w:sz w:val="24"/>
          <w:szCs w:val="24"/>
          <w:lang w:eastAsia="en-IN"/>
        </w:rPr>
      </w:pPr>
      <w:r w:rsidRPr="00104603">
        <w:rPr>
          <w:sz w:val="24"/>
          <w:szCs w:val="24"/>
          <w:lang w:eastAsia="en-IN"/>
        </w:rPr>
        <w:t>The decrease illustrates Citigroup's adjustment to the regulatory environment under the Volcker Rule.</w:t>
      </w:r>
    </w:p>
    <w:p w14:paraId="661D4760" w14:textId="77777777" w:rsidR="0042734A" w:rsidRPr="0042734A" w:rsidRDefault="0042734A" w:rsidP="0042734A">
      <w:pPr>
        <w:rPr>
          <w:sz w:val="24"/>
          <w:szCs w:val="24"/>
          <w:lang w:eastAsia="en-IN"/>
        </w:rPr>
      </w:pPr>
      <w:r w:rsidRPr="0042734A">
        <w:rPr>
          <w:b/>
          <w:bCs/>
          <w:sz w:val="24"/>
          <w:szCs w:val="24"/>
          <w:lang w:eastAsia="en-IN"/>
        </w:rPr>
        <w:t>Wells Fargo:</w:t>
      </w:r>
    </w:p>
    <w:p w14:paraId="0C482756" w14:textId="77777777" w:rsidR="0042734A" w:rsidRPr="00104603" w:rsidRDefault="0042734A" w:rsidP="00104603">
      <w:pPr>
        <w:pStyle w:val="ListParagraph"/>
        <w:numPr>
          <w:ilvl w:val="0"/>
          <w:numId w:val="32"/>
        </w:numPr>
        <w:rPr>
          <w:sz w:val="24"/>
          <w:szCs w:val="24"/>
          <w:lang w:eastAsia="en-IN"/>
        </w:rPr>
      </w:pPr>
      <w:r w:rsidRPr="00104603">
        <w:rPr>
          <w:sz w:val="24"/>
          <w:szCs w:val="24"/>
          <w:lang w:eastAsia="en-IN"/>
        </w:rPr>
        <w:t>Wells Fargo's proprietary trading revenue decreased from $1.1 billion in 2010 to $400 million in 2017.</w:t>
      </w:r>
    </w:p>
    <w:p w14:paraId="4719D294" w14:textId="77777777" w:rsidR="0042734A" w:rsidRPr="00104603" w:rsidRDefault="0042734A" w:rsidP="00104603">
      <w:pPr>
        <w:pStyle w:val="ListParagraph"/>
        <w:numPr>
          <w:ilvl w:val="0"/>
          <w:numId w:val="32"/>
        </w:numPr>
        <w:rPr>
          <w:sz w:val="24"/>
          <w:szCs w:val="24"/>
          <w:lang w:eastAsia="en-IN"/>
        </w:rPr>
      </w:pPr>
      <w:r w:rsidRPr="00104603">
        <w:rPr>
          <w:sz w:val="24"/>
          <w:szCs w:val="24"/>
          <w:lang w:eastAsia="en-IN"/>
        </w:rPr>
        <w:t>The decline suggests Wells Fargo's adherence to the Volcker Rule's limitations on trading activities.</w:t>
      </w:r>
    </w:p>
    <w:p w14:paraId="44B0446B" w14:textId="77777777" w:rsidR="0042734A" w:rsidRPr="0042734A" w:rsidRDefault="0042734A" w:rsidP="0042734A">
      <w:pPr>
        <w:rPr>
          <w:sz w:val="24"/>
          <w:szCs w:val="24"/>
          <w:lang w:eastAsia="en-IN"/>
        </w:rPr>
      </w:pPr>
      <w:r w:rsidRPr="0042734A">
        <w:rPr>
          <w:b/>
          <w:bCs/>
          <w:sz w:val="24"/>
          <w:szCs w:val="24"/>
          <w:lang w:eastAsia="en-IN"/>
        </w:rPr>
        <w:t>Goldman Sachs:</w:t>
      </w:r>
    </w:p>
    <w:p w14:paraId="393D8FBE" w14:textId="77777777" w:rsidR="0042734A" w:rsidRPr="00104603" w:rsidRDefault="0042734A" w:rsidP="00104603">
      <w:pPr>
        <w:pStyle w:val="ListParagraph"/>
        <w:numPr>
          <w:ilvl w:val="0"/>
          <w:numId w:val="31"/>
        </w:numPr>
        <w:rPr>
          <w:sz w:val="24"/>
          <w:szCs w:val="24"/>
          <w:lang w:eastAsia="en-IN"/>
        </w:rPr>
      </w:pPr>
      <w:r w:rsidRPr="00104603">
        <w:rPr>
          <w:sz w:val="24"/>
          <w:szCs w:val="24"/>
          <w:lang w:eastAsia="en-IN"/>
        </w:rPr>
        <w:t>Goldman Sachs also saw a decline in proprietary trading revenue, dropping from $1.3 billion in 2010 to $500 million in 2017.</w:t>
      </w:r>
    </w:p>
    <w:p w14:paraId="09C041D2" w14:textId="77777777" w:rsidR="0042734A" w:rsidRPr="00104603" w:rsidRDefault="0042734A" w:rsidP="00104603">
      <w:pPr>
        <w:pStyle w:val="ListParagraph"/>
        <w:numPr>
          <w:ilvl w:val="0"/>
          <w:numId w:val="31"/>
        </w:numPr>
        <w:rPr>
          <w:sz w:val="24"/>
          <w:szCs w:val="24"/>
          <w:lang w:eastAsia="en-IN"/>
        </w:rPr>
      </w:pPr>
      <w:r w:rsidRPr="00104603">
        <w:rPr>
          <w:sz w:val="24"/>
          <w:szCs w:val="24"/>
          <w:lang w:eastAsia="en-IN"/>
        </w:rPr>
        <w:t>This reduction reflects Goldman Sachs' strategic shifts away from proprietary trading in compliance with regulatory requirements.</w:t>
      </w:r>
    </w:p>
    <w:p w14:paraId="2FA9C7F1" w14:textId="77777777" w:rsidR="0042734A" w:rsidRPr="0042734A" w:rsidRDefault="0042734A" w:rsidP="0042734A">
      <w:pPr>
        <w:rPr>
          <w:sz w:val="24"/>
          <w:szCs w:val="24"/>
          <w:lang w:eastAsia="en-IN"/>
        </w:rPr>
      </w:pPr>
      <w:r w:rsidRPr="0042734A">
        <w:rPr>
          <w:b/>
          <w:bCs/>
          <w:sz w:val="24"/>
          <w:szCs w:val="24"/>
          <w:lang w:eastAsia="en-IN"/>
        </w:rPr>
        <w:t>Key Takeaways:</w:t>
      </w:r>
    </w:p>
    <w:p w14:paraId="1F683A4D" w14:textId="77777777" w:rsidR="0042734A" w:rsidRPr="00104603" w:rsidRDefault="0042734A" w:rsidP="00104603">
      <w:pPr>
        <w:pStyle w:val="ListParagraph"/>
        <w:numPr>
          <w:ilvl w:val="0"/>
          <w:numId w:val="30"/>
        </w:numPr>
        <w:rPr>
          <w:sz w:val="24"/>
          <w:szCs w:val="24"/>
          <w:lang w:eastAsia="en-IN"/>
        </w:rPr>
      </w:pPr>
      <w:r w:rsidRPr="00104603">
        <w:rPr>
          <w:b/>
          <w:bCs/>
          <w:sz w:val="24"/>
          <w:szCs w:val="24"/>
          <w:lang w:eastAsia="en-IN"/>
        </w:rPr>
        <w:t>Impact of the Volcker Rule</w:t>
      </w:r>
      <w:r w:rsidRPr="00104603">
        <w:rPr>
          <w:sz w:val="24"/>
          <w:szCs w:val="24"/>
          <w:lang w:eastAsia="en-IN"/>
        </w:rPr>
        <w:t>: The Volcker Rule has significantly impacted the proprietary trading activities of major banks, leading to substantial reductions in revenue over the years.</w:t>
      </w:r>
    </w:p>
    <w:p w14:paraId="7C9155F7" w14:textId="77777777" w:rsidR="0042734A" w:rsidRPr="00104603" w:rsidRDefault="0042734A" w:rsidP="00104603">
      <w:pPr>
        <w:pStyle w:val="ListParagraph"/>
        <w:numPr>
          <w:ilvl w:val="0"/>
          <w:numId w:val="30"/>
        </w:numPr>
        <w:rPr>
          <w:sz w:val="24"/>
          <w:szCs w:val="24"/>
          <w:lang w:eastAsia="en-IN"/>
        </w:rPr>
      </w:pPr>
      <w:r w:rsidRPr="00104603">
        <w:rPr>
          <w:b/>
          <w:bCs/>
          <w:sz w:val="24"/>
          <w:szCs w:val="24"/>
          <w:lang w:eastAsia="en-IN"/>
        </w:rPr>
        <w:t>Strategic Adjustments</w:t>
      </w:r>
      <w:r w:rsidRPr="00104603">
        <w:rPr>
          <w:sz w:val="24"/>
          <w:szCs w:val="24"/>
          <w:lang w:eastAsia="en-IN"/>
        </w:rPr>
        <w:t>: Banks have adjusted their business models and reduced their exposure to proprietary trading to comply with regulatory changes aimed at reducing systemic risk.</w:t>
      </w:r>
    </w:p>
    <w:p w14:paraId="6E9BD532" w14:textId="77777777" w:rsidR="0042734A" w:rsidRPr="00104603" w:rsidRDefault="0042734A" w:rsidP="00104603">
      <w:pPr>
        <w:pStyle w:val="ListParagraph"/>
        <w:numPr>
          <w:ilvl w:val="0"/>
          <w:numId w:val="30"/>
        </w:numPr>
        <w:rPr>
          <w:sz w:val="24"/>
          <w:szCs w:val="24"/>
          <w:lang w:eastAsia="en-IN"/>
        </w:rPr>
      </w:pPr>
      <w:r w:rsidRPr="00104603">
        <w:rPr>
          <w:b/>
          <w:bCs/>
          <w:sz w:val="24"/>
          <w:szCs w:val="24"/>
          <w:lang w:eastAsia="en-IN"/>
        </w:rPr>
        <w:lastRenderedPageBreak/>
        <w:t>Financial Implications</w:t>
      </w:r>
      <w:r w:rsidRPr="00104603">
        <w:rPr>
          <w:sz w:val="24"/>
          <w:szCs w:val="24"/>
          <w:lang w:eastAsia="en-IN"/>
        </w:rPr>
        <w:t>: The decline in proprietary trading revenue underscores the broader regulatory landscape's influence on banks' revenue streams and risk management practices.</w:t>
      </w:r>
    </w:p>
    <w:p w14:paraId="6B4ED1BA" w14:textId="77777777" w:rsidR="0042734A" w:rsidRPr="0042734A" w:rsidRDefault="0042734A" w:rsidP="0042734A">
      <w:pPr>
        <w:rPr>
          <w:sz w:val="24"/>
          <w:szCs w:val="24"/>
          <w:lang w:eastAsia="en-IN"/>
        </w:rPr>
      </w:pPr>
      <w:r w:rsidRPr="0042734A">
        <w:rPr>
          <w:sz w:val="24"/>
          <w:szCs w:val="24"/>
          <w:lang w:eastAsia="en-IN"/>
        </w:rPr>
        <w:t xml:space="preserve">These interpretations highlight how regulatory frameworks like the Volcker Rule have reshaped the financial strategies of banks, </w:t>
      </w:r>
      <w:proofErr w:type="gramStart"/>
      <w:r w:rsidRPr="0042734A">
        <w:rPr>
          <w:sz w:val="24"/>
          <w:szCs w:val="24"/>
          <w:lang w:eastAsia="en-IN"/>
        </w:rPr>
        <w:t>emphasizing</w:t>
      </w:r>
      <w:proofErr w:type="gramEnd"/>
      <w:r w:rsidRPr="0042734A">
        <w:rPr>
          <w:sz w:val="24"/>
          <w:szCs w:val="24"/>
          <w:lang w:eastAsia="en-IN"/>
        </w:rPr>
        <w:t xml:space="preserve"> stability and reducing speculative trading activities.</w:t>
      </w:r>
    </w:p>
    <w:p w14:paraId="3C62050D" w14:textId="1768953F" w:rsidR="0042734A" w:rsidRPr="0042734A" w:rsidRDefault="0042734A" w:rsidP="0042734A">
      <w:pPr>
        <w:pStyle w:val="Heading2"/>
        <w:rPr>
          <w:rFonts w:eastAsia="Times New Roman"/>
          <w:lang w:eastAsia="en-IN"/>
        </w:rPr>
      </w:pPr>
      <w:r>
        <w:rPr>
          <w:lang w:eastAsia="en-IN"/>
        </w:rPr>
        <w:t xml:space="preserve">2. </w:t>
      </w:r>
      <w:r w:rsidRPr="0042734A">
        <w:rPr>
          <w:rFonts w:eastAsia="Times New Roman"/>
          <w:lang w:eastAsia="en-IN"/>
        </w:rPr>
        <w:t>Retail Banking Revenue by Product Category (in USD Million)</w:t>
      </w:r>
    </w:p>
    <w:tbl>
      <w:tblPr>
        <w:tblStyle w:val="TableGrid"/>
        <w:tblW w:w="7496" w:type="dxa"/>
        <w:tblLook w:val="04A0" w:firstRow="1" w:lastRow="0" w:firstColumn="1" w:lastColumn="0" w:noHBand="0" w:noVBand="1"/>
      </w:tblPr>
      <w:tblGrid>
        <w:gridCol w:w="1042"/>
        <w:gridCol w:w="1334"/>
        <w:gridCol w:w="1102"/>
        <w:gridCol w:w="1118"/>
        <w:gridCol w:w="1822"/>
        <w:gridCol w:w="1078"/>
      </w:tblGrid>
      <w:tr w:rsidR="0042734A" w:rsidRPr="0042734A" w14:paraId="7F5E6390" w14:textId="77777777" w:rsidTr="0042734A">
        <w:trPr>
          <w:trHeight w:val="602"/>
        </w:trPr>
        <w:tc>
          <w:tcPr>
            <w:tcW w:w="1042" w:type="dxa"/>
            <w:hideMark/>
          </w:tcPr>
          <w:p w14:paraId="4B3E02B5" w14:textId="77777777" w:rsidR="0042734A" w:rsidRPr="0042734A" w:rsidRDefault="0042734A" w:rsidP="0042734A">
            <w:pPr>
              <w:jc w:val="center"/>
              <w:rPr>
                <w:rFonts w:ascii="Aptos Narrow" w:eastAsia="Times New Roman" w:hAnsi="Aptos Narrow" w:cs="Times New Roman"/>
                <w:b/>
                <w:bCs/>
                <w:color w:val="000000"/>
                <w:kern w:val="0"/>
                <w:sz w:val="24"/>
                <w:szCs w:val="24"/>
                <w:lang w:eastAsia="en-IN"/>
                <w14:ligatures w14:val="none"/>
              </w:rPr>
            </w:pPr>
            <w:r w:rsidRPr="0042734A">
              <w:rPr>
                <w:rFonts w:ascii="Aptos Narrow" w:eastAsia="Times New Roman" w:hAnsi="Aptos Narrow" w:cs="Times New Roman"/>
                <w:b/>
                <w:bCs/>
                <w:color w:val="000000"/>
                <w:kern w:val="0"/>
                <w:sz w:val="24"/>
                <w:szCs w:val="24"/>
                <w:lang w:eastAsia="en-IN"/>
                <w14:ligatures w14:val="none"/>
              </w:rPr>
              <w:t>Year</w:t>
            </w:r>
          </w:p>
        </w:tc>
        <w:tc>
          <w:tcPr>
            <w:tcW w:w="1334" w:type="dxa"/>
            <w:hideMark/>
          </w:tcPr>
          <w:p w14:paraId="24FAC2BB" w14:textId="77777777" w:rsidR="0042734A" w:rsidRPr="0042734A" w:rsidRDefault="0042734A" w:rsidP="0042734A">
            <w:pPr>
              <w:jc w:val="center"/>
              <w:rPr>
                <w:rFonts w:ascii="Aptos Narrow" w:eastAsia="Times New Roman" w:hAnsi="Aptos Narrow" w:cs="Times New Roman"/>
                <w:b/>
                <w:bCs/>
                <w:color w:val="000000"/>
                <w:kern w:val="0"/>
                <w:sz w:val="24"/>
                <w:szCs w:val="24"/>
                <w:lang w:eastAsia="en-IN"/>
                <w14:ligatures w14:val="none"/>
              </w:rPr>
            </w:pPr>
            <w:r w:rsidRPr="0042734A">
              <w:rPr>
                <w:rFonts w:ascii="Aptos Narrow" w:eastAsia="Times New Roman" w:hAnsi="Aptos Narrow" w:cs="Times New Roman"/>
                <w:b/>
                <w:bCs/>
                <w:color w:val="000000"/>
                <w:kern w:val="0"/>
                <w:sz w:val="24"/>
                <w:szCs w:val="24"/>
                <w:lang w:eastAsia="en-IN"/>
                <w14:ligatures w14:val="none"/>
              </w:rPr>
              <w:t>Deposits</w:t>
            </w:r>
          </w:p>
        </w:tc>
        <w:tc>
          <w:tcPr>
            <w:tcW w:w="1102" w:type="dxa"/>
            <w:hideMark/>
          </w:tcPr>
          <w:p w14:paraId="430D45C4" w14:textId="77777777" w:rsidR="0042734A" w:rsidRPr="0042734A" w:rsidRDefault="0042734A" w:rsidP="0042734A">
            <w:pPr>
              <w:jc w:val="center"/>
              <w:rPr>
                <w:rFonts w:ascii="Aptos Narrow" w:eastAsia="Times New Roman" w:hAnsi="Aptos Narrow" w:cs="Times New Roman"/>
                <w:b/>
                <w:bCs/>
                <w:color w:val="000000"/>
                <w:kern w:val="0"/>
                <w:sz w:val="24"/>
                <w:szCs w:val="24"/>
                <w:lang w:eastAsia="en-IN"/>
                <w14:ligatures w14:val="none"/>
              </w:rPr>
            </w:pPr>
            <w:r w:rsidRPr="0042734A">
              <w:rPr>
                <w:rFonts w:ascii="Aptos Narrow" w:eastAsia="Times New Roman" w:hAnsi="Aptos Narrow" w:cs="Times New Roman"/>
                <w:b/>
                <w:bCs/>
                <w:color w:val="000000"/>
                <w:kern w:val="0"/>
                <w:sz w:val="24"/>
                <w:szCs w:val="24"/>
                <w:lang w:eastAsia="en-IN"/>
                <w14:ligatures w14:val="none"/>
              </w:rPr>
              <w:t>Loans</w:t>
            </w:r>
          </w:p>
        </w:tc>
        <w:tc>
          <w:tcPr>
            <w:tcW w:w="1118" w:type="dxa"/>
            <w:hideMark/>
          </w:tcPr>
          <w:p w14:paraId="6F3A5521" w14:textId="77777777" w:rsidR="0042734A" w:rsidRPr="0042734A" w:rsidRDefault="0042734A" w:rsidP="0042734A">
            <w:pPr>
              <w:jc w:val="center"/>
              <w:rPr>
                <w:rFonts w:ascii="Aptos Narrow" w:eastAsia="Times New Roman" w:hAnsi="Aptos Narrow" w:cs="Times New Roman"/>
                <w:b/>
                <w:bCs/>
                <w:color w:val="000000"/>
                <w:kern w:val="0"/>
                <w:sz w:val="24"/>
                <w:szCs w:val="24"/>
                <w:lang w:eastAsia="en-IN"/>
                <w14:ligatures w14:val="none"/>
              </w:rPr>
            </w:pPr>
            <w:r w:rsidRPr="0042734A">
              <w:rPr>
                <w:rFonts w:ascii="Aptos Narrow" w:eastAsia="Times New Roman" w:hAnsi="Aptos Narrow" w:cs="Times New Roman"/>
                <w:b/>
                <w:bCs/>
                <w:color w:val="000000"/>
                <w:kern w:val="0"/>
                <w:sz w:val="24"/>
                <w:szCs w:val="24"/>
                <w:lang w:eastAsia="en-IN"/>
                <w14:ligatures w14:val="none"/>
              </w:rPr>
              <w:t>Credit Cards</w:t>
            </w:r>
          </w:p>
        </w:tc>
        <w:tc>
          <w:tcPr>
            <w:tcW w:w="1822" w:type="dxa"/>
            <w:hideMark/>
          </w:tcPr>
          <w:p w14:paraId="2BE0C687" w14:textId="77777777" w:rsidR="0042734A" w:rsidRPr="0042734A" w:rsidRDefault="0042734A" w:rsidP="0042734A">
            <w:pPr>
              <w:jc w:val="center"/>
              <w:rPr>
                <w:rFonts w:ascii="Aptos Narrow" w:eastAsia="Times New Roman" w:hAnsi="Aptos Narrow" w:cs="Times New Roman"/>
                <w:b/>
                <w:bCs/>
                <w:color w:val="000000"/>
                <w:kern w:val="0"/>
                <w:sz w:val="24"/>
                <w:szCs w:val="24"/>
                <w:lang w:eastAsia="en-IN"/>
                <w14:ligatures w14:val="none"/>
              </w:rPr>
            </w:pPr>
            <w:r w:rsidRPr="0042734A">
              <w:rPr>
                <w:rFonts w:ascii="Aptos Narrow" w:eastAsia="Times New Roman" w:hAnsi="Aptos Narrow" w:cs="Times New Roman"/>
                <w:b/>
                <w:bCs/>
                <w:color w:val="000000"/>
                <w:kern w:val="0"/>
                <w:sz w:val="24"/>
                <w:szCs w:val="24"/>
                <w:lang w:eastAsia="en-IN"/>
                <w14:ligatures w14:val="none"/>
              </w:rPr>
              <w:t>Wealth Management</w:t>
            </w:r>
          </w:p>
        </w:tc>
        <w:tc>
          <w:tcPr>
            <w:tcW w:w="1078" w:type="dxa"/>
            <w:hideMark/>
          </w:tcPr>
          <w:p w14:paraId="692D067A" w14:textId="77777777" w:rsidR="0042734A" w:rsidRPr="0042734A" w:rsidRDefault="0042734A" w:rsidP="0042734A">
            <w:pPr>
              <w:jc w:val="center"/>
              <w:rPr>
                <w:rFonts w:ascii="Aptos Narrow" w:eastAsia="Times New Roman" w:hAnsi="Aptos Narrow" w:cs="Times New Roman"/>
                <w:b/>
                <w:bCs/>
                <w:color w:val="000000"/>
                <w:kern w:val="0"/>
                <w:sz w:val="24"/>
                <w:szCs w:val="24"/>
                <w:lang w:eastAsia="en-IN"/>
                <w14:ligatures w14:val="none"/>
              </w:rPr>
            </w:pPr>
            <w:r w:rsidRPr="0042734A">
              <w:rPr>
                <w:rFonts w:ascii="Aptos Narrow" w:eastAsia="Times New Roman" w:hAnsi="Aptos Narrow" w:cs="Times New Roman"/>
                <w:b/>
                <w:bCs/>
                <w:color w:val="000000"/>
                <w:kern w:val="0"/>
                <w:sz w:val="24"/>
                <w:szCs w:val="24"/>
                <w:lang w:eastAsia="en-IN"/>
                <w14:ligatures w14:val="none"/>
              </w:rPr>
              <w:t>Total</w:t>
            </w:r>
          </w:p>
        </w:tc>
      </w:tr>
      <w:tr w:rsidR="0042734A" w:rsidRPr="0042734A" w14:paraId="462B9DC2" w14:textId="77777777" w:rsidTr="0042734A">
        <w:trPr>
          <w:trHeight w:val="312"/>
        </w:trPr>
        <w:tc>
          <w:tcPr>
            <w:tcW w:w="1042" w:type="dxa"/>
            <w:hideMark/>
          </w:tcPr>
          <w:p w14:paraId="631E8512"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2010</w:t>
            </w:r>
          </w:p>
        </w:tc>
        <w:tc>
          <w:tcPr>
            <w:tcW w:w="1334" w:type="dxa"/>
            <w:hideMark/>
          </w:tcPr>
          <w:p w14:paraId="24E3E3D3"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500</w:t>
            </w:r>
          </w:p>
        </w:tc>
        <w:tc>
          <w:tcPr>
            <w:tcW w:w="1102" w:type="dxa"/>
            <w:hideMark/>
          </w:tcPr>
          <w:p w14:paraId="55A7D8C9"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600</w:t>
            </w:r>
          </w:p>
        </w:tc>
        <w:tc>
          <w:tcPr>
            <w:tcW w:w="1118" w:type="dxa"/>
            <w:hideMark/>
          </w:tcPr>
          <w:p w14:paraId="23348DA2"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200</w:t>
            </w:r>
          </w:p>
        </w:tc>
        <w:tc>
          <w:tcPr>
            <w:tcW w:w="1822" w:type="dxa"/>
            <w:hideMark/>
          </w:tcPr>
          <w:p w14:paraId="322A47EF"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150</w:t>
            </w:r>
          </w:p>
        </w:tc>
        <w:tc>
          <w:tcPr>
            <w:tcW w:w="1078" w:type="dxa"/>
            <w:hideMark/>
          </w:tcPr>
          <w:p w14:paraId="1B166BA0"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1,450</w:t>
            </w:r>
          </w:p>
        </w:tc>
      </w:tr>
      <w:tr w:rsidR="0042734A" w:rsidRPr="0042734A" w14:paraId="27EBEB6E" w14:textId="77777777" w:rsidTr="0042734A">
        <w:trPr>
          <w:trHeight w:val="312"/>
        </w:trPr>
        <w:tc>
          <w:tcPr>
            <w:tcW w:w="1042" w:type="dxa"/>
            <w:hideMark/>
          </w:tcPr>
          <w:p w14:paraId="12500401"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2011</w:t>
            </w:r>
          </w:p>
        </w:tc>
        <w:tc>
          <w:tcPr>
            <w:tcW w:w="1334" w:type="dxa"/>
            <w:hideMark/>
          </w:tcPr>
          <w:p w14:paraId="22B65CC0"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550</w:t>
            </w:r>
          </w:p>
        </w:tc>
        <w:tc>
          <w:tcPr>
            <w:tcW w:w="1102" w:type="dxa"/>
            <w:hideMark/>
          </w:tcPr>
          <w:p w14:paraId="4911090B"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650</w:t>
            </w:r>
          </w:p>
        </w:tc>
        <w:tc>
          <w:tcPr>
            <w:tcW w:w="1118" w:type="dxa"/>
            <w:hideMark/>
          </w:tcPr>
          <w:p w14:paraId="2D94B5ED"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220</w:t>
            </w:r>
          </w:p>
        </w:tc>
        <w:tc>
          <w:tcPr>
            <w:tcW w:w="1822" w:type="dxa"/>
            <w:hideMark/>
          </w:tcPr>
          <w:p w14:paraId="3D141126"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160</w:t>
            </w:r>
          </w:p>
        </w:tc>
        <w:tc>
          <w:tcPr>
            <w:tcW w:w="1078" w:type="dxa"/>
            <w:hideMark/>
          </w:tcPr>
          <w:p w14:paraId="45E2C6A8"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1,580</w:t>
            </w:r>
          </w:p>
        </w:tc>
      </w:tr>
      <w:tr w:rsidR="0042734A" w:rsidRPr="0042734A" w14:paraId="25A4F864" w14:textId="77777777" w:rsidTr="0042734A">
        <w:trPr>
          <w:trHeight w:val="312"/>
        </w:trPr>
        <w:tc>
          <w:tcPr>
            <w:tcW w:w="1042" w:type="dxa"/>
            <w:hideMark/>
          </w:tcPr>
          <w:p w14:paraId="20B3B0FB"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2012</w:t>
            </w:r>
          </w:p>
        </w:tc>
        <w:tc>
          <w:tcPr>
            <w:tcW w:w="1334" w:type="dxa"/>
            <w:hideMark/>
          </w:tcPr>
          <w:p w14:paraId="289954BE"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600</w:t>
            </w:r>
          </w:p>
        </w:tc>
        <w:tc>
          <w:tcPr>
            <w:tcW w:w="1102" w:type="dxa"/>
            <w:hideMark/>
          </w:tcPr>
          <w:p w14:paraId="1D54C269"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700</w:t>
            </w:r>
          </w:p>
        </w:tc>
        <w:tc>
          <w:tcPr>
            <w:tcW w:w="1118" w:type="dxa"/>
            <w:hideMark/>
          </w:tcPr>
          <w:p w14:paraId="57B2F143"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240</w:t>
            </w:r>
          </w:p>
        </w:tc>
        <w:tc>
          <w:tcPr>
            <w:tcW w:w="1822" w:type="dxa"/>
            <w:hideMark/>
          </w:tcPr>
          <w:p w14:paraId="06DE7D3F"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170</w:t>
            </w:r>
          </w:p>
        </w:tc>
        <w:tc>
          <w:tcPr>
            <w:tcW w:w="1078" w:type="dxa"/>
            <w:hideMark/>
          </w:tcPr>
          <w:p w14:paraId="20778E90"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1,710</w:t>
            </w:r>
          </w:p>
        </w:tc>
      </w:tr>
      <w:tr w:rsidR="0042734A" w:rsidRPr="0042734A" w14:paraId="29F690A0" w14:textId="77777777" w:rsidTr="0042734A">
        <w:trPr>
          <w:trHeight w:val="312"/>
        </w:trPr>
        <w:tc>
          <w:tcPr>
            <w:tcW w:w="1042" w:type="dxa"/>
            <w:hideMark/>
          </w:tcPr>
          <w:p w14:paraId="44D9D225"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2013</w:t>
            </w:r>
          </w:p>
        </w:tc>
        <w:tc>
          <w:tcPr>
            <w:tcW w:w="1334" w:type="dxa"/>
            <w:hideMark/>
          </w:tcPr>
          <w:p w14:paraId="735FA9A8"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650</w:t>
            </w:r>
          </w:p>
        </w:tc>
        <w:tc>
          <w:tcPr>
            <w:tcW w:w="1102" w:type="dxa"/>
            <w:hideMark/>
          </w:tcPr>
          <w:p w14:paraId="37FC9887"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750</w:t>
            </w:r>
          </w:p>
        </w:tc>
        <w:tc>
          <w:tcPr>
            <w:tcW w:w="1118" w:type="dxa"/>
            <w:hideMark/>
          </w:tcPr>
          <w:p w14:paraId="70744EAD"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260</w:t>
            </w:r>
          </w:p>
        </w:tc>
        <w:tc>
          <w:tcPr>
            <w:tcW w:w="1822" w:type="dxa"/>
            <w:hideMark/>
          </w:tcPr>
          <w:p w14:paraId="38FB48AC"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180</w:t>
            </w:r>
          </w:p>
        </w:tc>
        <w:tc>
          <w:tcPr>
            <w:tcW w:w="1078" w:type="dxa"/>
            <w:hideMark/>
          </w:tcPr>
          <w:p w14:paraId="1B1FB1D9"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1,840</w:t>
            </w:r>
          </w:p>
        </w:tc>
      </w:tr>
      <w:tr w:rsidR="0042734A" w:rsidRPr="0042734A" w14:paraId="730B7D46" w14:textId="77777777" w:rsidTr="0042734A">
        <w:trPr>
          <w:trHeight w:val="312"/>
        </w:trPr>
        <w:tc>
          <w:tcPr>
            <w:tcW w:w="1042" w:type="dxa"/>
            <w:hideMark/>
          </w:tcPr>
          <w:p w14:paraId="731705D7"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2014</w:t>
            </w:r>
          </w:p>
        </w:tc>
        <w:tc>
          <w:tcPr>
            <w:tcW w:w="1334" w:type="dxa"/>
            <w:hideMark/>
          </w:tcPr>
          <w:p w14:paraId="55480064"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700</w:t>
            </w:r>
          </w:p>
        </w:tc>
        <w:tc>
          <w:tcPr>
            <w:tcW w:w="1102" w:type="dxa"/>
            <w:hideMark/>
          </w:tcPr>
          <w:p w14:paraId="4643DCC3"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800</w:t>
            </w:r>
          </w:p>
        </w:tc>
        <w:tc>
          <w:tcPr>
            <w:tcW w:w="1118" w:type="dxa"/>
            <w:hideMark/>
          </w:tcPr>
          <w:p w14:paraId="3478F5EA"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280</w:t>
            </w:r>
          </w:p>
        </w:tc>
        <w:tc>
          <w:tcPr>
            <w:tcW w:w="1822" w:type="dxa"/>
            <w:hideMark/>
          </w:tcPr>
          <w:p w14:paraId="1F7EDA04"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200</w:t>
            </w:r>
          </w:p>
        </w:tc>
        <w:tc>
          <w:tcPr>
            <w:tcW w:w="1078" w:type="dxa"/>
            <w:hideMark/>
          </w:tcPr>
          <w:p w14:paraId="607E9448"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1,980</w:t>
            </w:r>
          </w:p>
        </w:tc>
      </w:tr>
      <w:tr w:rsidR="0042734A" w:rsidRPr="0042734A" w14:paraId="024062B5" w14:textId="77777777" w:rsidTr="0042734A">
        <w:trPr>
          <w:trHeight w:val="312"/>
        </w:trPr>
        <w:tc>
          <w:tcPr>
            <w:tcW w:w="1042" w:type="dxa"/>
            <w:hideMark/>
          </w:tcPr>
          <w:p w14:paraId="1AD1CE95"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2015</w:t>
            </w:r>
          </w:p>
        </w:tc>
        <w:tc>
          <w:tcPr>
            <w:tcW w:w="1334" w:type="dxa"/>
            <w:hideMark/>
          </w:tcPr>
          <w:p w14:paraId="7DEEF02F"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750</w:t>
            </w:r>
          </w:p>
        </w:tc>
        <w:tc>
          <w:tcPr>
            <w:tcW w:w="1102" w:type="dxa"/>
            <w:hideMark/>
          </w:tcPr>
          <w:p w14:paraId="528134E8"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850</w:t>
            </w:r>
          </w:p>
        </w:tc>
        <w:tc>
          <w:tcPr>
            <w:tcW w:w="1118" w:type="dxa"/>
            <w:hideMark/>
          </w:tcPr>
          <w:p w14:paraId="41D78F9C"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300</w:t>
            </w:r>
          </w:p>
        </w:tc>
        <w:tc>
          <w:tcPr>
            <w:tcW w:w="1822" w:type="dxa"/>
            <w:hideMark/>
          </w:tcPr>
          <w:p w14:paraId="05AD19A9"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220</w:t>
            </w:r>
          </w:p>
        </w:tc>
        <w:tc>
          <w:tcPr>
            <w:tcW w:w="1078" w:type="dxa"/>
            <w:hideMark/>
          </w:tcPr>
          <w:p w14:paraId="5CBE0E88"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2,120</w:t>
            </w:r>
          </w:p>
        </w:tc>
      </w:tr>
      <w:tr w:rsidR="0042734A" w:rsidRPr="0042734A" w14:paraId="6390C975" w14:textId="77777777" w:rsidTr="0042734A">
        <w:trPr>
          <w:trHeight w:val="312"/>
        </w:trPr>
        <w:tc>
          <w:tcPr>
            <w:tcW w:w="1042" w:type="dxa"/>
            <w:hideMark/>
          </w:tcPr>
          <w:p w14:paraId="7B17716C"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2016</w:t>
            </w:r>
          </w:p>
        </w:tc>
        <w:tc>
          <w:tcPr>
            <w:tcW w:w="1334" w:type="dxa"/>
            <w:hideMark/>
          </w:tcPr>
          <w:p w14:paraId="4D673ADD"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800</w:t>
            </w:r>
          </w:p>
        </w:tc>
        <w:tc>
          <w:tcPr>
            <w:tcW w:w="1102" w:type="dxa"/>
            <w:hideMark/>
          </w:tcPr>
          <w:p w14:paraId="0C4A2028"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900</w:t>
            </w:r>
          </w:p>
        </w:tc>
        <w:tc>
          <w:tcPr>
            <w:tcW w:w="1118" w:type="dxa"/>
            <w:hideMark/>
          </w:tcPr>
          <w:p w14:paraId="12C05947"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320</w:t>
            </w:r>
          </w:p>
        </w:tc>
        <w:tc>
          <w:tcPr>
            <w:tcW w:w="1822" w:type="dxa"/>
            <w:hideMark/>
          </w:tcPr>
          <w:p w14:paraId="782DBBDA"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240</w:t>
            </w:r>
          </w:p>
        </w:tc>
        <w:tc>
          <w:tcPr>
            <w:tcW w:w="1078" w:type="dxa"/>
            <w:hideMark/>
          </w:tcPr>
          <w:p w14:paraId="0D8C89D8"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2,260</w:t>
            </w:r>
          </w:p>
        </w:tc>
      </w:tr>
      <w:tr w:rsidR="0042734A" w:rsidRPr="0042734A" w14:paraId="5FF0521B" w14:textId="77777777" w:rsidTr="0042734A">
        <w:trPr>
          <w:trHeight w:val="312"/>
        </w:trPr>
        <w:tc>
          <w:tcPr>
            <w:tcW w:w="1042" w:type="dxa"/>
            <w:hideMark/>
          </w:tcPr>
          <w:p w14:paraId="448D6ADD"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2017</w:t>
            </w:r>
          </w:p>
        </w:tc>
        <w:tc>
          <w:tcPr>
            <w:tcW w:w="1334" w:type="dxa"/>
            <w:hideMark/>
          </w:tcPr>
          <w:p w14:paraId="00498691"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850</w:t>
            </w:r>
          </w:p>
        </w:tc>
        <w:tc>
          <w:tcPr>
            <w:tcW w:w="1102" w:type="dxa"/>
            <w:hideMark/>
          </w:tcPr>
          <w:p w14:paraId="1FBC19D5"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950</w:t>
            </w:r>
          </w:p>
        </w:tc>
        <w:tc>
          <w:tcPr>
            <w:tcW w:w="1118" w:type="dxa"/>
            <w:hideMark/>
          </w:tcPr>
          <w:p w14:paraId="0E37B9DB"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340</w:t>
            </w:r>
          </w:p>
        </w:tc>
        <w:tc>
          <w:tcPr>
            <w:tcW w:w="1822" w:type="dxa"/>
            <w:hideMark/>
          </w:tcPr>
          <w:p w14:paraId="0AE1AE46"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260</w:t>
            </w:r>
          </w:p>
        </w:tc>
        <w:tc>
          <w:tcPr>
            <w:tcW w:w="1078" w:type="dxa"/>
            <w:hideMark/>
          </w:tcPr>
          <w:p w14:paraId="0EE77140"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2,400</w:t>
            </w:r>
          </w:p>
        </w:tc>
      </w:tr>
    </w:tbl>
    <w:p w14:paraId="06E4226E" w14:textId="0C74F203" w:rsidR="0042734A" w:rsidRDefault="0042734A" w:rsidP="0042734A">
      <w:pPr>
        <w:rPr>
          <w:lang w:eastAsia="en-IN"/>
        </w:rPr>
      </w:pPr>
      <w:r>
        <w:rPr>
          <w:noProof/>
        </w:rPr>
        <w:drawing>
          <wp:inline distT="0" distB="0" distL="0" distR="0" wp14:anchorId="7D751FB3" wp14:editId="17D2A18B">
            <wp:extent cx="6050280" cy="4732020"/>
            <wp:effectExtent l="0" t="0" r="7620" b="11430"/>
            <wp:docPr id="1425690183" name="Chart 1">
              <a:extLst xmlns:a="http://schemas.openxmlformats.org/drawingml/2006/main">
                <a:ext uri="{FF2B5EF4-FFF2-40B4-BE49-F238E27FC236}">
                  <a16:creationId xmlns:a16="http://schemas.microsoft.com/office/drawing/2014/main" id="{260C2B5D-F40F-8D13-30B5-622875907A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C079F7D" w14:textId="77777777" w:rsidR="0042734A" w:rsidRPr="0042734A" w:rsidRDefault="0042734A" w:rsidP="0042734A">
      <w:pPr>
        <w:rPr>
          <w:sz w:val="24"/>
          <w:szCs w:val="24"/>
          <w:lang w:eastAsia="en-IN"/>
        </w:rPr>
      </w:pPr>
      <w:r w:rsidRPr="0042734A">
        <w:rPr>
          <w:b/>
          <w:bCs/>
          <w:sz w:val="24"/>
          <w:szCs w:val="24"/>
          <w:lang w:eastAsia="en-IN"/>
        </w:rPr>
        <w:t>Interpretation of Retail Banking Revenue by Product Category</w:t>
      </w:r>
    </w:p>
    <w:p w14:paraId="1B7E4585" w14:textId="77777777" w:rsidR="0042734A" w:rsidRPr="0042734A" w:rsidRDefault="0042734A" w:rsidP="0042734A">
      <w:pPr>
        <w:rPr>
          <w:sz w:val="24"/>
          <w:szCs w:val="24"/>
          <w:lang w:eastAsia="en-IN"/>
        </w:rPr>
      </w:pPr>
      <w:r w:rsidRPr="0042734A">
        <w:rPr>
          <w:b/>
          <w:bCs/>
          <w:sz w:val="24"/>
          <w:szCs w:val="24"/>
          <w:lang w:eastAsia="en-IN"/>
        </w:rPr>
        <w:lastRenderedPageBreak/>
        <w:t>Deposits:</w:t>
      </w:r>
    </w:p>
    <w:p w14:paraId="563DC141" w14:textId="77777777" w:rsidR="0042734A" w:rsidRPr="00104603" w:rsidRDefault="0042734A" w:rsidP="00104603">
      <w:pPr>
        <w:pStyle w:val="ListParagraph"/>
        <w:numPr>
          <w:ilvl w:val="0"/>
          <w:numId w:val="29"/>
        </w:numPr>
        <w:rPr>
          <w:sz w:val="24"/>
          <w:szCs w:val="24"/>
          <w:lang w:eastAsia="en-IN"/>
        </w:rPr>
      </w:pPr>
      <w:r w:rsidRPr="00104603">
        <w:rPr>
          <w:b/>
          <w:bCs/>
          <w:sz w:val="24"/>
          <w:szCs w:val="24"/>
          <w:lang w:eastAsia="en-IN"/>
        </w:rPr>
        <w:t>Steady Growth</w:t>
      </w:r>
      <w:r w:rsidRPr="00104603">
        <w:rPr>
          <w:sz w:val="24"/>
          <w:szCs w:val="24"/>
          <w:lang w:eastAsia="en-IN"/>
        </w:rPr>
        <w:t>: Revenue from deposits increased from $500 million in 2010 to $850 million in 2017, reflecting consistent customer savings and transactional balances.</w:t>
      </w:r>
    </w:p>
    <w:p w14:paraId="1A2BAE76" w14:textId="77777777" w:rsidR="0042734A" w:rsidRPr="0042734A" w:rsidRDefault="0042734A" w:rsidP="0042734A">
      <w:pPr>
        <w:rPr>
          <w:sz w:val="24"/>
          <w:szCs w:val="24"/>
          <w:lang w:eastAsia="en-IN"/>
        </w:rPr>
      </w:pPr>
      <w:r w:rsidRPr="0042734A">
        <w:rPr>
          <w:b/>
          <w:bCs/>
          <w:sz w:val="24"/>
          <w:szCs w:val="24"/>
          <w:lang w:eastAsia="en-IN"/>
        </w:rPr>
        <w:t>Loans:</w:t>
      </w:r>
    </w:p>
    <w:p w14:paraId="18D0A229" w14:textId="77777777" w:rsidR="0042734A" w:rsidRPr="00104603" w:rsidRDefault="0042734A" w:rsidP="00104603">
      <w:pPr>
        <w:pStyle w:val="ListParagraph"/>
        <w:numPr>
          <w:ilvl w:val="0"/>
          <w:numId w:val="28"/>
        </w:numPr>
        <w:rPr>
          <w:sz w:val="24"/>
          <w:szCs w:val="24"/>
          <w:lang w:eastAsia="en-IN"/>
        </w:rPr>
      </w:pPr>
      <w:r w:rsidRPr="00104603">
        <w:rPr>
          <w:b/>
          <w:bCs/>
          <w:sz w:val="24"/>
          <w:szCs w:val="24"/>
          <w:lang w:eastAsia="en-IN"/>
        </w:rPr>
        <w:t>Continuous Increase</w:t>
      </w:r>
      <w:r w:rsidRPr="00104603">
        <w:rPr>
          <w:sz w:val="24"/>
          <w:szCs w:val="24"/>
          <w:lang w:eastAsia="en-IN"/>
        </w:rPr>
        <w:t>: Revenue from loans grew steadily from $600 million in 2010 to $950 million in 2017, driven by interest income from personal, mortgage, and commercial loans.</w:t>
      </w:r>
    </w:p>
    <w:p w14:paraId="16E9C8B4" w14:textId="77777777" w:rsidR="0042734A" w:rsidRPr="0042734A" w:rsidRDefault="0042734A" w:rsidP="0042734A">
      <w:pPr>
        <w:rPr>
          <w:sz w:val="24"/>
          <w:szCs w:val="24"/>
          <w:lang w:eastAsia="en-IN"/>
        </w:rPr>
      </w:pPr>
      <w:r w:rsidRPr="0042734A">
        <w:rPr>
          <w:b/>
          <w:bCs/>
          <w:sz w:val="24"/>
          <w:szCs w:val="24"/>
          <w:lang w:eastAsia="en-IN"/>
        </w:rPr>
        <w:t>Credit Cards:</w:t>
      </w:r>
    </w:p>
    <w:p w14:paraId="21C551A6" w14:textId="77777777" w:rsidR="0042734A" w:rsidRPr="00104603" w:rsidRDefault="0042734A" w:rsidP="00104603">
      <w:pPr>
        <w:pStyle w:val="ListParagraph"/>
        <w:numPr>
          <w:ilvl w:val="0"/>
          <w:numId w:val="27"/>
        </w:numPr>
        <w:rPr>
          <w:sz w:val="24"/>
          <w:szCs w:val="24"/>
          <w:lang w:eastAsia="en-IN"/>
        </w:rPr>
      </w:pPr>
      <w:r w:rsidRPr="00104603">
        <w:rPr>
          <w:b/>
          <w:bCs/>
          <w:sz w:val="24"/>
          <w:szCs w:val="24"/>
          <w:lang w:eastAsia="en-IN"/>
        </w:rPr>
        <w:t>Gradual Growth</w:t>
      </w:r>
      <w:r w:rsidRPr="00104603">
        <w:rPr>
          <w:sz w:val="24"/>
          <w:szCs w:val="24"/>
          <w:lang w:eastAsia="en-IN"/>
        </w:rPr>
        <w:t>: Revenue from credit cards rose from $200 million in 2010 to $340 million in 2017, driven by interest on balances, fees, and transaction volumes.</w:t>
      </w:r>
    </w:p>
    <w:p w14:paraId="29D9FFE2" w14:textId="77777777" w:rsidR="0042734A" w:rsidRPr="0042734A" w:rsidRDefault="0042734A" w:rsidP="0042734A">
      <w:pPr>
        <w:rPr>
          <w:sz w:val="24"/>
          <w:szCs w:val="24"/>
          <w:lang w:eastAsia="en-IN"/>
        </w:rPr>
      </w:pPr>
      <w:r w:rsidRPr="0042734A">
        <w:rPr>
          <w:b/>
          <w:bCs/>
          <w:sz w:val="24"/>
          <w:szCs w:val="24"/>
          <w:lang w:eastAsia="en-IN"/>
        </w:rPr>
        <w:t>Wealth Management:</w:t>
      </w:r>
    </w:p>
    <w:p w14:paraId="2B3A4BE2" w14:textId="77777777" w:rsidR="0042734A" w:rsidRPr="00104603" w:rsidRDefault="0042734A" w:rsidP="00104603">
      <w:pPr>
        <w:pStyle w:val="ListParagraph"/>
        <w:numPr>
          <w:ilvl w:val="0"/>
          <w:numId w:val="26"/>
        </w:numPr>
        <w:rPr>
          <w:sz w:val="24"/>
          <w:szCs w:val="24"/>
          <w:lang w:eastAsia="en-IN"/>
        </w:rPr>
      </w:pPr>
      <w:r w:rsidRPr="00104603">
        <w:rPr>
          <w:b/>
          <w:bCs/>
          <w:sz w:val="24"/>
          <w:szCs w:val="24"/>
          <w:lang w:eastAsia="en-IN"/>
        </w:rPr>
        <w:t>Steady Expansion</w:t>
      </w:r>
      <w:r w:rsidRPr="00104603">
        <w:rPr>
          <w:sz w:val="24"/>
          <w:szCs w:val="24"/>
          <w:lang w:eastAsia="en-IN"/>
        </w:rPr>
        <w:t>: Revenue from wealth management services increased from $150 million in 2010 to $260 million in 2017, reflecting growth in fees from asset management and advisory services.</w:t>
      </w:r>
    </w:p>
    <w:p w14:paraId="767DDB37" w14:textId="77777777" w:rsidR="0042734A" w:rsidRPr="0042734A" w:rsidRDefault="0042734A" w:rsidP="0042734A">
      <w:pPr>
        <w:rPr>
          <w:sz w:val="24"/>
          <w:szCs w:val="24"/>
          <w:lang w:eastAsia="en-IN"/>
        </w:rPr>
      </w:pPr>
      <w:r w:rsidRPr="0042734A">
        <w:rPr>
          <w:b/>
          <w:bCs/>
          <w:sz w:val="24"/>
          <w:szCs w:val="24"/>
          <w:lang w:eastAsia="en-IN"/>
        </w:rPr>
        <w:t>Total Revenue:</w:t>
      </w:r>
    </w:p>
    <w:p w14:paraId="554FBD12" w14:textId="77777777" w:rsidR="0042734A" w:rsidRPr="00104603" w:rsidRDefault="0042734A" w:rsidP="00104603">
      <w:pPr>
        <w:pStyle w:val="ListParagraph"/>
        <w:numPr>
          <w:ilvl w:val="0"/>
          <w:numId w:val="26"/>
        </w:numPr>
        <w:rPr>
          <w:sz w:val="24"/>
          <w:szCs w:val="24"/>
          <w:lang w:eastAsia="en-IN"/>
        </w:rPr>
      </w:pPr>
      <w:r w:rsidRPr="00104603">
        <w:rPr>
          <w:b/>
          <w:bCs/>
          <w:sz w:val="24"/>
          <w:szCs w:val="24"/>
          <w:lang w:eastAsia="en-IN"/>
        </w:rPr>
        <w:t>Overall Growth</w:t>
      </w:r>
      <w:r w:rsidRPr="00104603">
        <w:rPr>
          <w:sz w:val="24"/>
          <w:szCs w:val="24"/>
          <w:lang w:eastAsia="en-IN"/>
        </w:rPr>
        <w:t>: Total retail banking revenue increased from $1,450 million in 2010 to $2,400 million in 2017, driven by growth across deposits, loans, credit cards, and wealth management services.</w:t>
      </w:r>
    </w:p>
    <w:p w14:paraId="6F15518C" w14:textId="77777777" w:rsidR="0042734A" w:rsidRPr="0042734A" w:rsidRDefault="0042734A" w:rsidP="0042734A">
      <w:pPr>
        <w:rPr>
          <w:sz w:val="24"/>
          <w:szCs w:val="24"/>
          <w:lang w:eastAsia="en-IN"/>
        </w:rPr>
      </w:pPr>
      <w:r w:rsidRPr="0042734A">
        <w:rPr>
          <w:b/>
          <w:bCs/>
          <w:sz w:val="24"/>
          <w:szCs w:val="24"/>
          <w:lang w:eastAsia="en-IN"/>
        </w:rPr>
        <w:t>Key Points:</w:t>
      </w:r>
    </w:p>
    <w:p w14:paraId="1FE66B49" w14:textId="77777777" w:rsidR="0042734A" w:rsidRPr="00104603" w:rsidRDefault="0042734A" w:rsidP="00104603">
      <w:pPr>
        <w:pStyle w:val="ListParagraph"/>
        <w:numPr>
          <w:ilvl w:val="0"/>
          <w:numId w:val="25"/>
        </w:numPr>
        <w:rPr>
          <w:sz w:val="24"/>
          <w:szCs w:val="24"/>
          <w:lang w:eastAsia="en-IN"/>
        </w:rPr>
      </w:pPr>
      <w:r w:rsidRPr="00104603">
        <w:rPr>
          <w:b/>
          <w:bCs/>
          <w:sz w:val="24"/>
          <w:szCs w:val="24"/>
          <w:lang w:eastAsia="en-IN"/>
        </w:rPr>
        <w:t>Diverse Revenue Streams</w:t>
      </w:r>
      <w:r w:rsidRPr="00104603">
        <w:rPr>
          <w:sz w:val="24"/>
          <w:szCs w:val="24"/>
          <w:lang w:eastAsia="en-IN"/>
        </w:rPr>
        <w:t>: The data shows banks' reliance on diversified revenue sources, reducing dependency on any single product category.</w:t>
      </w:r>
    </w:p>
    <w:p w14:paraId="65AE9A12" w14:textId="77777777" w:rsidR="0042734A" w:rsidRPr="00104603" w:rsidRDefault="0042734A" w:rsidP="00104603">
      <w:pPr>
        <w:pStyle w:val="ListParagraph"/>
        <w:numPr>
          <w:ilvl w:val="0"/>
          <w:numId w:val="25"/>
        </w:numPr>
        <w:rPr>
          <w:sz w:val="24"/>
          <w:szCs w:val="24"/>
          <w:lang w:eastAsia="en-IN"/>
        </w:rPr>
      </w:pPr>
      <w:r w:rsidRPr="00104603">
        <w:rPr>
          <w:b/>
          <w:bCs/>
          <w:sz w:val="24"/>
          <w:szCs w:val="24"/>
          <w:lang w:eastAsia="en-IN"/>
        </w:rPr>
        <w:t>Customer Engagement</w:t>
      </w:r>
      <w:r w:rsidRPr="00104603">
        <w:rPr>
          <w:sz w:val="24"/>
          <w:szCs w:val="24"/>
          <w:lang w:eastAsia="en-IN"/>
        </w:rPr>
        <w:t>: Products like loans and credit cards not only generate revenue but also deepen customer relationships through ongoing transactions and financial services.</w:t>
      </w:r>
    </w:p>
    <w:p w14:paraId="76599A79" w14:textId="77777777" w:rsidR="0042734A" w:rsidRPr="00104603" w:rsidRDefault="0042734A" w:rsidP="00104603">
      <w:pPr>
        <w:pStyle w:val="ListParagraph"/>
        <w:numPr>
          <w:ilvl w:val="0"/>
          <w:numId w:val="25"/>
        </w:numPr>
        <w:rPr>
          <w:sz w:val="24"/>
          <w:szCs w:val="24"/>
          <w:lang w:eastAsia="en-IN"/>
        </w:rPr>
      </w:pPr>
      <w:r w:rsidRPr="00104603">
        <w:rPr>
          <w:b/>
          <w:bCs/>
          <w:sz w:val="24"/>
          <w:szCs w:val="24"/>
          <w:lang w:eastAsia="en-IN"/>
        </w:rPr>
        <w:t>Strategic Focus</w:t>
      </w:r>
      <w:r w:rsidRPr="00104603">
        <w:rPr>
          <w:sz w:val="24"/>
          <w:szCs w:val="24"/>
          <w:lang w:eastAsia="en-IN"/>
        </w:rPr>
        <w:t>: Growth in wealth management highlights banks' efforts to cater to affluent clients and expand fee-based income streams.</w:t>
      </w:r>
    </w:p>
    <w:p w14:paraId="66881069" w14:textId="77777777" w:rsidR="0042734A" w:rsidRPr="0042734A" w:rsidRDefault="0042734A" w:rsidP="0042734A">
      <w:pPr>
        <w:rPr>
          <w:sz w:val="24"/>
          <w:szCs w:val="24"/>
          <w:lang w:eastAsia="en-IN"/>
        </w:rPr>
      </w:pPr>
      <w:r w:rsidRPr="0042734A">
        <w:rPr>
          <w:sz w:val="24"/>
          <w:szCs w:val="24"/>
          <w:lang w:eastAsia="en-IN"/>
        </w:rPr>
        <w:t>This concise interpretation highlights the growth and strategic focus areas within retail banking, emphasizing revenue diversification and customer-centric financial services.</w:t>
      </w:r>
    </w:p>
    <w:p w14:paraId="41C3ED6D" w14:textId="6AB53267" w:rsidR="0042734A" w:rsidRDefault="0042734A">
      <w:pPr>
        <w:rPr>
          <w:lang w:eastAsia="en-IN"/>
        </w:rPr>
      </w:pPr>
      <w:r>
        <w:rPr>
          <w:lang w:eastAsia="en-IN"/>
        </w:rPr>
        <w:br w:type="page"/>
      </w:r>
    </w:p>
    <w:p w14:paraId="3167AD8E" w14:textId="7179E7D7" w:rsidR="0042734A" w:rsidRPr="0042734A" w:rsidRDefault="0042734A" w:rsidP="0042734A">
      <w:pPr>
        <w:pStyle w:val="Heading2"/>
        <w:rPr>
          <w:rFonts w:eastAsia="Times New Roman"/>
          <w:lang w:eastAsia="en-IN"/>
        </w:rPr>
      </w:pPr>
      <w:r>
        <w:rPr>
          <w:lang w:eastAsia="en-IN"/>
        </w:rPr>
        <w:lastRenderedPageBreak/>
        <w:t xml:space="preserve">3. </w:t>
      </w:r>
      <w:r w:rsidRPr="0042734A">
        <w:rPr>
          <w:rFonts w:eastAsia="Times New Roman"/>
          <w:lang w:eastAsia="en-IN"/>
        </w:rPr>
        <w:t>Compliance Costs Related to Volcker Rule (in USD Million)</w:t>
      </w:r>
    </w:p>
    <w:tbl>
      <w:tblPr>
        <w:tblStyle w:val="TableGrid"/>
        <w:tblW w:w="7495" w:type="dxa"/>
        <w:tblLook w:val="04A0" w:firstRow="1" w:lastRow="0" w:firstColumn="1" w:lastColumn="0" w:noHBand="0" w:noVBand="1"/>
      </w:tblPr>
      <w:tblGrid>
        <w:gridCol w:w="885"/>
        <w:gridCol w:w="1467"/>
        <w:gridCol w:w="1315"/>
        <w:gridCol w:w="1428"/>
        <w:gridCol w:w="982"/>
        <w:gridCol w:w="1418"/>
      </w:tblGrid>
      <w:tr w:rsidR="0042734A" w:rsidRPr="0042734A" w14:paraId="5C624FB2" w14:textId="77777777" w:rsidTr="0042734A">
        <w:trPr>
          <w:trHeight w:val="773"/>
        </w:trPr>
        <w:tc>
          <w:tcPr>
            <w:tcW w:w="885" w:type="dxa"/>
            <w:hideMark/>
          </w:tcPr>
          <w:p w14:paraId="09799DCA" w14:textId="77777777" w:rsidR="0042734A" w:rsidRPr="0042734A" w:rsidRDefault="0042734A" w:rsidP="0042734A">
            <w:pPr>
              <w:jc w:val="center"/>
              <w:rPr>
                <w:rFonts w:ascii="Aptos Narrow" w:eastAsia="Times New Roman" w:hAnsi="Aptos Narrow" w:cs="Times New Roman"/>
                <w:b/>
                <w:bCs/>
                <w:color w:val="000000"/>
                <w:kern w:val="0"/>
                <w:sz w:val="24"/>
                <w:szCs w:val="24"/>
                <w:lang w:eastAsia="en-IN"/>
                <w14:ligatures w14:val="none"/>
              </w:rPr>
            </w:pPr>
            <w:r w:rsidRPr="0042734A">
              <w:rPr>
                <w:rFonts w:ascii="Aptos Narrow" w:eastAsia="Times New Roman" w:hAnsi="Aptos Narrow" w:cs="Times New Roman"/>
                <w:b/>
                <w:bCs/>
                <w:color w:val="000000"/>
                <w:kern w:val="0"/>
                <w:sz w:val="24"/>
                <w:szCs w:val="24"/>
                <w:lang w:eastAsia="en-IN"/>
                <w14:ligatures w14:val="none"/>
              </w:rPr>
              <w:t>Year</w:t>
            </w:r>
          </w:p>
        </w:tc>
        <w:tc>
          <w:tcPr>
            <w:tcW w:w="1467" w:type="dxa"/>
            <w:hideMark/>
          </w:tcPr>
          <w:p w14:paraId="19A6F1D4" w14:textId="77777777" w:rsidR="0042734A" w:rsidRPr="0042734A" w:rsidRDefault="0042734A" w:rsidP="0042734A">
            <w:pPr>
              <w:jc w:val="center"/>
              <w:rPr>
                <w:rFonts w:ascii="Aptos Narrow" w:eastAsia="Times New Roman" w:hAnsi="Aptos Narrow" w:cs="Times New Roman"/>
                <w:b/>
                <w:bCs/>
                <w:color w:val="000000"/>
                <w:kern w:val="0"/>
                <w:sz w:val="24"/>
                <w:szCs w:val="24"/>
                <w:lang w:eastAsia="en-IN"/>
                <w14:ligatures w14:val="none"/>
              </w:rPr>
            </w:pPr>
            <w:r w:rsidRPr="0042734A">
              <w:rPr>
                <w:rFonts w:ascii="Aptos Narrow" w:eastAsia="Times New Roman" w:hAnsi="Aptos Narrow" w:cs="Times New Roman"/>
                <w:b/>
                <w:bCs/>
                <w:color w:val="000000"/>
                <w:kern w:val="0"/>
                <w:sz w:val="24"/>
                <w:szCs w:val="24"/>
                <w:lang w:eastAsia="en-IN"/>
                <w14:ligatures w14:val="none"/>
              </w:rPr>
              <w:t>JPMorgan Chase</w:t>
            </w:r>
          </w:p>
        </w:tc>
        <w:tc>
          <w:tcPr>
            <w:tcW w:w="1315" w:type="dxa"/>
            <w:hideMark/>
          </w:tcPr>
          <w:p w14:paraId="34980245" w14:textId="77777777" w:rsidR="0042734A" w:rsidRPr="0042734A" w:rsidRDefault="0042734A" w:rsidP="0042734A">
            <w:pPr>
              <w:jc w:val="center"/>
              <w:rPr>
                <w:rFonts w:ascii="Aptos Narrow" w:eastAsia="Times New Roman" w:hAnsi="Aptos Narrow" w:cs="Times New Roman"/>
                <w:b/>
                <w:bCs/>
                <w:color w:val="000000"/>
                <w:kern w:val="0"/>
                <w:sz w:val="24"/>
                <w:szCs w:val="24"/>
                <w:lang w:eastAsia="en-IN"/>
                <w14:ligatures w14:val="none"/>
              </w:rPr>
            </w:pPr>
            <w:r w:rsidRPr="0042734A">
              <w:rPr>
                <w:rFonts w:ascii="Aptos Narrow" w:eastAsia="Times New Roman" w:hAnsi="Aptos Narrow" w:cs="Times New Roman"/>
                <w:b/>
                <w:bCs/>
                <w:color w:val="000000"/>
                <w:kern w:val="0"/>
                <w:sz w:val="24"/>
                <w:szCs w:val="24"/>
                <w:lang w:eastAsia="en-IN"/>
                <w14:ligatures w14:val="none"/>
              </w:rPr>
              <w:t>Bank of America</w:t>
            </w:r>
          </w:p>
        </w:tc>
        <w:tc>
          <w:tcPr>
            <w:tcW w:w="1428" w:type="dxa"/>
            <w:hideMark/>
          </w:tcPr>
          <w:p w14:paraId="469BEA02" w14:textId="77777777" w:rsidR="0042734A" w:rsidRPr="0042734A" w:rsidRDefault="0042734A" w:rsidP="0042734A">
            <w:pPr>
              <w:jc w:val="center"/>
              <w:rPr>
                <w:rFonts w:ascii="Aptos Narrow" w:eastAsia="Times New Roman" w:hAnsi="Aptos Narrow" w:cs="Times New Roman"/>
                <w:b/>
                <w:bCs/>
                <w:color w:val="000000"/>
                <w:kern w:val="0"/>
                <w:sz w:val="24"/>
                <w:szCs w:val="24"/>
                <w:lang w:eastAsia="en-IN"/>
                <w14:ligatures w14:val="none"/>
              </w:rPr>
            </w:pPr>
            <w:r w:rsidRPr="0042734A">
              <w:rPr>
                <w:rFonts w:ascii="Aptos Narrow" w:eastAsia="Times New Roman" w:hAnsi="Aptos Narrow" w:cs="Times New Roman"/>
                <w:b/>
                <w:bCs/>
                <w:color w:val="000000"/>
                <w:kern w:val="0"/>
                <w:sz w:val="24"/>
                <w:szCs w:val="24"/>
                <w:lang w:eastAsia="en-IN"/>
                <w14:ligatures w14:val="none"/>
              </w:rPr>
              <w:t>Citigroup</w:t>
            </w:r>
          </w:p>
        </w:tc>
        <w:tc>
          <w:tcPr>
            <w:tcW w:w="982" w:type="dxa"/>
            <w:hideMark/>
          </w:tcPr>
          <w:p w14:paraId="666D1981" w14:textId="77777777" w:rsidR="0042734A" w:rsidRPr="0042734A" w:rsidRDefault="0042734A" w:rsidP="0042734A">
            <w:pPr>
              <w:jc w:val="center"/>
              <w:rPr>
                <w:rFonts w:ascii="Aptos Narrow" w:eastAsia="Times New Roman" w:hAnsi="Aptos Narrow" w:cs="Times New Roman"/>
                <w:b/>
                <w:bCs/>
                <w:color w:val="000000"/>
                <w:kern w:val="0"/>
                <w:sz w:val="24"/>
                <w:szCs w:val="24"/>
                <w:lang w:eastAsia="en-IN"/>
                <w14:ligatures w14:val="none"/>
              </w:rPr>
            </w:pPr>
            <w:r w:rsidRPr="0042734A">
              <w:rPr>
                <w:rFonts w:ascii="Aptos Narrow" w:eastAsia="Times New Roman" w:hAnsi="Aptos Narrow" w:cs="Times New Roman"/>
                <w:b/>
                <w:bCs/>
                <w:color w:val="000000"/>
                <w:kern w:val="0"/>
                <w:sz w:val="24"/>
                <w:szCs w:val="24"/>
                <w:lang w:eastAsia="en-IN"/>
                <w14:ligatures w14:val="none"/>
              </w:rPr>
              <w:t>Wells Fargo</w:t>
            </w:r>
          </w:p>
        </w:tc>
        <w:tc>
          <w:tcPr>
            <w:tcW w:w="1418" w:type="dxa"/>
            <w:hideMark/>
          </w:tcPr>
          <w:p w14:paraId="02784E59" w14:textId="77777777" w:rsidR="0042734A" w:rsidRPr="0042734A" w:rsidRDefault="0042734A" w:rsidP="0042734A">
            <w:pPr>
              <w:jc w:val="center"/>
              <w:rPr>
                <w:rFonts w:ascii="Aptos Narrow" w:eastAsia="Times New Roman" w:hAnsi="Aptos Narrow" w:cs="Times New Roman"/>
                <w:b/>
                <w:bCs/>
                <w:color w:val="000000"/>
                <w:kern w:val="0"/>
                <w:sz w:val="24"/>
                <w:szCs w:val="24"/>
                <w:lang w:eastAsia="en-IN"/>
                <w14:ligatures w14:val="none"/>
              </w:rPr>
            </w:pPr>
            <w:r w:rsidRPr="0042734A">
              <w:rPr>
                <w:rFonts w:ascii="Aptos Narrow" w:eastAsia="Times New Roman" w:hAnsi="Aptos Narrow" w:cs="Times New Roman"/>
                <w:b/>
                <w:bCs/>
                <w:color w:val="000000"/>
                <w:kern w:val="0"/>
                <w:sz w:val="24"/>
                <w:szCs w:val="24"/>
                <w:lang w:eastAsia="en-IN"/>
                <w14:ligatures w14:val="none"/>
              </w:rPr>
              <w:t>Goldman Sachs</w:t>
            </w:r>
          </w:p>
        </w:tc>
      </w:tr>
      <w:tr w:rsidR="0042734A" w:rsidRPr="0042734A" w14:paraId="208AEC46" w14:textId="77777777" w:rsidTr="0042734A">
        <w:trPr>
          <w:trHeight w:val="386"/>
        </w:trPr>
        <w:tc>
          <w:tcPr>
            <w:tcW w:w="885" w:type="dxa"/>
            <w:hideMark/>
          </w:tcPr>
          <w:p w14:paraId="429855AE"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2010</w:t>
            </w:r>
          </w:p>
        </w:tc>
        <w:tc>
          <w:tcPr>
            <w:tcW w:w="1467" w:type="dxa"/>
            <w:hideMark/>
          </w:tcPr>
          <w:p w14:paraId="691BC1E9"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50</w:t>
            </w:r>
          </w:p>
        </w:tc>
        <w:tc>
          <w:tcPr>
            <w:tcW w:w="1315" w:type="dxa"/>
            <w:hideMark/>
          </w:tcPr>
          <w:p w14:paraId="68EAEF58"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45</w:t>
            </w:r>
          </w:p>
        </w:tc>
        <w:tc>
          <w:tcPr>
            <w:tcW w:w="1428" w:type="dxa"/>
            <w:hideMark/>
          </w:tcPr>
          <w:p w14:paraId="17ECEBCC"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60</w:t>
            </w:r>
          </w:p>
        </w:tc>
        <w:tc>
          <w:tcPr>
            <w:tcW w:w="982" w:type="dxa"/>
            <w:hideMark/>
          </w:tcPr>
          <w:p w14:paraId="771EA901"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55</w:t>
            </w:r>
          </w:p>
        </w:tc>
        <w:tc>
          <w:tcPr>
            <w:tcW w:w="1418" w:type="dxa"/>
            <w:hideMark/>
          </w:tcPr>
          <w:p w14:paraId="6E467888"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50</w:t>
            </w:r>
          </w:p>
        </w:tc>
      </w:tr>
      <w:tr w:rsidR="0042734A" w:rsidRPr="0042734A" w14:paraId="7C8C4F0B" w14:textId="77777777" w:rsidTr="0042734A">
        <w:trPr>
          <w:trHeight w:val="386"/>
        </w:trPr>
        <w:tc>
          <w:tcPr>
            <w:tcW w:w="885" w:type="dxa"/>
            <w:hideMark/>
          </w:tcPr>
          <w:p w14:paraId="0C96FE71"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2011</w:t>
            </w:r>
          </w:p>
        </w:tc>
        <w:tc>
          <w:tcPr>
            <w:tcW w:w="1467" w:type="dxa"/>
            <w:hideMark/>
          </w:tcPr>
          <w:p w14:paraId="17ABF3B2"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55</w:t>
            </w:r>
          </w:p>
        </w:tc>
        <w:tc>
          <w:tcPr>
            <w:tcW w:w="1315" w:type="dxa"/>
            <w:hideMark/>
          </w:tcPr>
          <w:p w14:paraId="3AB0A172"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50</w:t>
            </w:r>
          </w:p>
        </w:tc>
        <w:tc>
          <w:tcPr>
            <w:tcW w:w="1428" w:type="dxa"/>
            <w:hideMark/>
          </w:tcPr>
          <w:p w14:paraId="252E6B95"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65</w:t>
            </w:r>
          </w:p>
        </w:tc>
        <w:tc>
          <w:tcPr>
            <w:tcW w:w="982" w:type="dxa"/>
            <w:hideMark/>
          </w:tcPr>
          <w:p w14:paraId="00E1EC74"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60</w:t>
            </w:r>
          </w:p>
        </w:tc>
        <w:tc>
          <w:tcPr>
            <w:tcW w:w="1418" w:type="dxa"/>
            <w:hideMark/>
          </w:tcPr>
          <w:p w14:paraId="7638CFE4"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55</w:t>
            </w:r>
          </w:p>
        </w:tc>
      </w:tr>
      <w:tr w:rsidR="0042734A" w:rsidRPr="0042734A" w14:paraId="4676482E" w14:textId="77777777" w:rsidTr="0042734A">
        <w:trPr>
          <w:trHeight w:val="386"/>
        </w:trPr>
        <w:tc>
          <w:tcPr>
            <w:tcW w:w="885" w:type="dxa"/>
            <w:hideMark/>
          </w:tcPr>
          <w:p w14:paraId="2DC1500F"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2012</w:t>
            </w:r>
          </w:p>
        </w:tc>
        <w:tc>
          <w:tcPr>
            <w:tcW w:w="1467" w:type="dxa"/>
            <w:hideMark/>
          </w:tcPr>
          <w:p w14:paraId="6C291B0D"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60</w:t>
            </w:r>
          </w:p>
        </w:tc>
        <w:tc>
          <w:tcPr>
            <w:tcW w:w="1315" w:type="dxa"/>
            <w:hideMark/>
          </w:tcPr>
          <w:p w14:paraId="7FFFA61F"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55</w:t>
            </w:r>
          </w:p>
        </w:tc>
        <w:tc>
          <w:tcPr>
            <w:tcW w:w="1428" w:type="dxa"/>
            <w:hideMark/>
          </w:tcPr>
          <w:p w14:paraId="0D9502C1"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70</w:t>
            </w:r>
          </w:p>
        </w:tc>
        <w:tc>
          <w:tcPr>
            <w:tcW w:w="982" w:type="dxa"/>
            <w:hideMark/>
          </w:tcPr>
          <w:p w14:paraId="28975399"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65</w:t>
            </w:r>
          </w:p>
        </w:tc>
        <w:tc>
          <w:tcPr>
            <w:tcW w:w="1418" w:type="dxa"/>
            <w:hideMark/>
          </w:tcPr>
          <w:p w14:paraId="506ED1DF"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60</w:t>
            </w:r>
          </w:p>
        </w:tc>
      </w:tr>
      <w:tr w:rsidR="0042734A" w:rsidRPr="0042734A" w14:paraId="5243D55F" w14:textId="77777777" w:rsidTr="0042734A">
        <w:trPr>
          <w:trHeight w:val="386"/>
        </w:trPr>
        <w:tc>
          <w:tcPr>
            <w:tcW w:w="885" w:type="dxa"/>
            <w:hideMark/>
          </w:tcPr>
          <w:p w14:paraId="42BBE354"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2013</w:t>
            </w:r>
          </w:p>
        </w:tc>
        <w:tc>
          <w:tcPr>
            <w:tcW w:w="1467" w:type="dxa"/>
            <w:hideMark/>
          </w:tcPr>
          <w:p w14:paraId="3D0CE675"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65</w:t>
            </w:r>
          </w:p>
        </w:tc>
        <w:tc>
          <w:tcPr>
            <w:tcW w:w="1315" w:type="dxa"/>
            <w:hideMark/>
          </w:tcPr>
          <w:p w14:paraId="32F1E149"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60</w:t>
            </w:r>
          </w:p>
        </w:tc>
        <w:tc>
          <w:tcPr>
            <w:tcW w:w="1428" w:type="dxa"/>
            <w:hideMark/>
          </w:tcPr>
          <w:p w14:paraId="045C6BA4"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75</w:t>
            </w:r>
          </w:p>
        </w:tc>
        <w:tc>
          <w:tcPr>
            <w:tcW w:w="982" w:type="dxa"/>
            <w:hideMark/>
          </w:tcPr>
          <w:p w14:paraId="689A15F1"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70</w:t>
            </w:r>
          </w:p>
        </w:tc>
        <w:tc>
          <w:tcPr>
            <w:tcW w:w="1418" w:type="dxa"/>
            <w:hideMark/>
          </w:tcPr>
          <w:p w14:paraId="7A48B48F"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65</w:t>
            </w:r>
          </w:p>
        </w:tc>
      </w:tr>
      <w:tr w:rsidR="0042734A" w:rsidRPr="0042734A" w14:paraId="6BA5FF9B" w14:textId="77777777" w:rsidTr="0042734A">
        <w:trPr>
          <w:trHeight w:val="386"/>
        </w:trPr>
        <w:tc>
          <w:tcPr>
            <w:tcW w:w="885" w:type="dxa"/>
            <w:hideMark/>
          </w:tcPr>
          <w:p w14:paraId="0F5D8E6F"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2014</w:t>
            </w:r>
          </w:p>
        </w:tc>
        <w:tc>
          <w:tcPr>
            <w:tcW w:w="1467" w:type="dxa"/>
            <w:hideMark/>
          </w:tcPr>
          <w:p w14:paraId="132DE18A"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70</w:t>
            </w:r>
          </w:p>
        </w:tc>
        <w:tc>
          <w:tcPr>
            <w:tcW w:w="1315" w:type="dxa"/>
            <w:hideMark/>
          </w:tcPr>
          <w:p w14:paraId="62321ADC"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65</w:t>
            </w:r>
          </w:p>
        </w:tc>
        <w:tc>
          <w:tcPr>
            <w:tcW w:w="1428" w:type="dxa"/>
            <w:hideMark/>
          </w:tcPr>
          <w:p w14:paraId="373D5ED0"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80</w:t>
            </w:r>
          </w:p>
        </w:tc>
        <w:tc>
          <w:tcPr>
            <w:tcW w:w="982" w:type="dxa"/>
            <w:hideMark/>
          </w:tcPr>
          <w:p w14:paraId="486B12D3"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75</w:t>
            </w:r>
          </w:p>
        </w:tc>
        <w:tc>
          <w:tcPr>
            <w:tcW w:w="1418" w:type="dxa"/>
            <w:hideMark/>
          </w:tcPr>
          <w:p w14:paraId="4EBE0A82"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70</w:t>
            </w:r>
          </w:p>
        </w:tc>
      </w:tr>
      <w:tr w:rsidR="0042734A" w:rsidRPr="0042734A" w14:paraId="15FE7E40" w14:textId="77777777" w:rsidTr="0042734A">
        <w:trPr>
          <w:trHeight w:val="386"/>
        </w:trPr>
        <w:tc>
          <w:tcPr>
            <w:tcW w:w="885" w:type="dxa"/>
            <w:hideMark/>
          </w:tcPr>
          <w:p w14:paraId="5A4BCA1A"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2015</w:t>
            </w:r>
          </w:p>
        </w:tc>
        <w:tc>
          <w:tcPr>
            <w:tcW w:w="1467" w:type="dxa"/>
            <w:hideMark/>
          </w:tcPr>
          <w:p w14:paraId="28953DC2"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75</w:t>
            </w:r>
          </w:p>
        </w:tc>
        <w:tc>
          <w:tcPr>
            <w:tcW w:w="1315" w:type="dxa"/>
            <w:hideMark/>
          </w:tcPr>
          <w:p w14:paraId="006F0E0D"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70</w:t>
            </w:r>
          </w:p>
        </w:tc>
        <w:tc>
          <w:tcPr>
            <w:tcW w:w="1428" w:type="dxa"/>
            <w:hideMark/>
          </w:tcPr>
          <w:p w14:paraId="3F7AC2A5"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85</w:t>
            </w:r>
          </w:p>
        </w:tc>
        <w:tc>
          <w:tcPr>
            <w:tcW w:w="982" w:type="dxa"/>
            <w:hideMark/>
          </w:tcPr>
          <w:p w14:paraId="6389F714"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80</w:t>
            </w:r>
          </w:p>
        </w:tc>
        <w:tc>
          <w:tcPr>
            <w:tcW w:w="1418" w:type="dxa"/>
            <w:hideMark/>
          </w:tcPr>
          <w:p w14:paraId="3ED895FA"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75</w:t>
            </w:r>
          </w:p>
        </w:tc>
      </w:tr>
      <w:tr w:rsidR="0042734A" w:rsidRPr="0042734A" w14:paraId="54AC2259" w14:textId="77777777" w:rsidTr="0042734A">
        <w:trPr>
          <w:trHeight w:val="386"/>
        </w:trPr>
        <w:tc>
          <w:tcPr>
            <w:tcW w:w="885" w:type="dxa"/>
            <w:hideMark/>
          </w:tcPr>
          <w:p w14:paraId="5F3E1C57"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2016</w:t>
            </w:r>
          </w:p>
        </w:tc>
        <w:tc>
          <w:tcPr>
            <w:tcW w:w="1467" w:type="dxa"/>
            <w:hideMark/>
          </w:tcPr>
          <w:p w14:paraId="6CD20D32"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80</w:t>
            </w:r>
          </w:p>
        </w:tc>
        <w:tc>
          <w:tcPr>
            <w:tcW w:w="1315" w:type="dxa"/>
            <w:hideMark/>
          </w:tcPr>
          <w:p w14:paraId="51511DF7"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75</w:t>
            </w:r>
          </w:p>
        </w:tc>
        <w:tc>
          <w:tcPr>
            <w:tcW w:w="1428" w:type="dxa"/>
            <w:hideMark/>
          </w:tcPr>
          <w:p w14:paraId="2FF76EAA"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90</w:t>
            </w:r>
          </w:p>
        </w:tc>
        <w:tc>
          <w:tcPr>
            <w:tcW w:w="982" w:type="dxa"/>
            <w:hideMark/>
          </w:tcPr>
          <w:p w14:paraId="425D32BE"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85</w:t>
            </w:r>
          </w:p>
        </w:tc>
        <w:tc>
          <w:tcPr>
            <w:tcW w:w="1418" w:type="dxa"/>
            <w:hideMark/>
          </w:tcPr>
          <w:p w14:paraId="0C708BB4"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80</w:t>
            </w:r>
          </w:p>
        </w:tc>
      </w:tr>
      <w:tr w:rsidR="0042734A" w:rsidRPr="0042734A" w14:paraId="2DD55F54" w14:textId="77777777" w:rsidTr="0042734A">
        <w:trPr>
          <w:trHeight w:val="386"/>
        </w:trPr>
        <w:tc>
          <w:tcPr>
            <w:tcW w:w="885" w:type="dxa"/>
            <w:hideMark/>
          </w:tcPr>
          <w:p w14:paraId="6AAEA5BE"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2017</w:t>
            </w:r>
          </w:p>
        </w:tc>
        <w:tc>
          <w:tcPr>
            <w:tcW w:w="1467" w:type="dxa"/>
            <w:hideMark/>
          </w:tcPr>
          <w:p w14:paraId="49195C10"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85</w:t>
            </w:r>
          </w:p>
        </w:tc>
        <w:tc>
          <w:tcPr>
            <w:tcW w:w="1315" w:type="dxa"/>
            <w:hideMark/>
          </w:tcPr>
          <w:p w14:paraId="6CEDBD2F"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80</w:t>
            </w:r>
          </w:p>
        </w:tc>
        <w:tc>
          <w:tcPr>
            <w:tcW w:w="1428" w:type="dxa"/>
            <w:hideMark/>
          </w:tcPr>
          <w:p w14:paraId="777F9913"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95</w:t>
            </w:r>
          </w:p>
        </w:tc>
        <w:tc>
          <w:tcPr>
            <w:tcW w:w="982" w:type="dxa"/>
            <w:hideMark/>
          </w:tcPr>
          <w:p w14:paraId="75206868"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90</w:t>
            </w:r>
          </w:p>
        </w:tc>
        <w:tc>
          <w:tcPr>
            <w:tcW w:w="1418" w:type="dxa"/>
            <w:hideMark/>
          </w:tcPr>
          <w:p w14:paraId="77525D62" w14:textId="77777777" w:rsidR="0042734A" w:rsidRPr="0042734A" w:rsidRDefault="0042734A" w:rsidP="0042734A">
            <w:pPr>
              <w:jc w:val="right"/>
              <w:rPr>
                <w:rFonts w:ascii="Aptos Narrow" w:eastAsia="Times New Roman" w:hAnsi="Aptos Narrow" w:cs="Times New Roman"/>
                <w:color w:val="000000"/>
                <w:kern w:val="0"/>
                <w:sz w:val="24"/>
                <w:szCs w:val="24"/>
                <w:lang w:eastAsia="en-IN"/>
                <w14:ligatures w14:val="none"/>
              </w:rPr>
            </w:pPr>
            <w:r w:rsidRPr="0042734A">
              <w:rPr>
                <w:rFonts w:ascii="Aptos Narrow" w:eastAsia="Times New Roman" w:hAnsi="Aptos Narrow" w:cs="Times New Roman"/>
                <w:color w:val="000000"/>
                <w:kern w:val="0"/>
                <w:sz w:val="24"/>
                <w:szCs w:val="24"/>
                <w:lang w:eastAsia="en-IN"/>
                <w14:ligatures w14:val="none"/>
              </w:rPr>
              <w:t>85</w:t>
            </w:r>
          </w:p>
        </w:tc>
      </w:tr>
    </w:tbl>
    <w:p w14:paraId="445B8371" w14:textId="56C5DD71" w:rsidR="0042734A" w:rsidRDefault="0042734A" w:rsidP="0042734A">
      <w:pPr>
        <w:rPr>
          <w:lang w:eastAsia="en-IN"/>
        </w:rPr>
      </w:pPr>
      <w:r>
        <w:rPr>
          <w:noProof/>
        </w:rPr>
        <w:drawing>
          <wp:inline distT="0" distB="0" distL="0" distR="0" wp14:anchorId="7FCD0BD1" wp14:editId="78BF345F">
            <wp:extent cx="5882640" cy="5311140"/>
            <wp:effectExtent l="0" t="0" r="3810" b="3810"/>
            <wp:docPr id="1903303753" name="Chart 1">
              <a:extLst xmlns:a="http://schemas.openxmlformats.org/drawingml/2006/main">
                <a:ext uri="{FF2B5EF4-FFF2-40B4-BE49-F238E27FC236}">
                  <a16:creationId xmlns:a16="http://schemas.microsoft.com/office/drawing/2014/main" id="{A96DA8C0-3974-9B54-2DC5-06AFFCE8CE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5CA220" w14:textId="77777777" w:rsidR="0042734A" w:rsidRDefault="0042734A" w:rsidP="0042734A">
      <w:pPr>
        <w:rPr>
          <w:lang w:eastAsia="en-IN"/>
        </w:rPr>
      </w:pPr>
    </w:p>
    <w:p w14:paraId="3B25AD53" w14:textId="77777777" w:rsidR="0042734A" w:rsidRDefault="0042734A" w:rsidP="0042734A">
      <w:pPr>
        <w:rPr>
          <w:lang w:eastAsia="en-IN"/>
        </w:rPr>
      </w:pPr>
    </w:p>
    <w:p w14:paraId="67AE04C7" w14:textId="77777777" w:rsidR="0042734A" w:rsidRPr="0042734A" w:rsidRDefault="0042734A" w:rsidP="0042734A">
      <w:pPr>
        <w:rPr>
          <w:sz w:val="24"/>
          <w:szCs w:val="24"/>
          <w:lang w:eastAsia="en-IN"/>
        </w:rPr>
      </w:pPr>
      <w:r w:rsidRPr="0042734A">
        <w:rPr>
          <w:b/>
          <w:bCs/>
          <w:sz w:val="24"/>
          <w:szCs w:val="24"/>
          <w:lang w:eastAsia="en-IN"/>
        </w:rPr>
        <w:lastRenderedPageBreak/>
        <w:t>Interpretation of Compliance Costs Related to Volcker Rule</w:t>
      </w:r>
    </w:p>
    <w:p w14:paraId="19FA25FB" w14:textId="77777777" w:rsidR="0042734A" w:rsidRPr="0042734A" w:rsidRDefault="0042734A" w:rsidP="0042734A">
      <w:pPr>
        <w:rPr>
          <w:sz w:val="24"/>
          <w:szCs w:val="24"/>
          <w:lang w:eastAsia="en-IN"/>
        </w:rPr>
      </w:pPr>
      <w:r w:rsidRPr="0042734A">
        <w:rPr>
          <w:sz w:val="24"/>
          <w:szCs w:val="24"/>
          <w:lang w:eastAsia="en-IN"/>
        </w:rPr>
        <w:t xml:space="preserve">The table provided shows the compliance costs (in USD million) associated with adhering to the Volcker Rule for five major banks (JPMorgan Chase, Bank of America, Citigroup, Wells Fargo, Goldman Sachs) from 2010 to 2017. Let's </w:t>
      </w:r>
      <w:proofErr w:type="spellStart"/>
      <w:r w:rsidRPr="0042734A">
        <w:rPr>
          <w:sz w:val="24"/>
          <w:szCs w:val="24"/>
          <w:lang w:eastAsia="en-IN"/>
        </w:rPr>
        <w:t>analyze</w:t>
      </w:r>
      <w:proofErr w:type="spellEnd"/>
      <w:r w:rsidRPr="0042734A">
        <w:rPr>
          <w:sz w:val="24"/>
          <w:szCs w:val="24"/>
          <w:lang w:eastAsia="en-IN"/>
        </w:rPr>
        <w:t xml:space="preserve"> the trends and implications of these costs:</w:t>
      </w:r>
    </w:p>
    <w:p w14:paraId="2C8FBFF0" w14:textId="77777777" w:rsidR="0042734A" w:rsidRPr="0042734A" w:rsidRDefault="0042734A" w:rsidP="0042734A">
      <w:pPr>
        <w:rPr>
          <w:sz w:val="24"/>
          <w:szCs w:val="24"/>
          <w:lang w:eastAsia="en-IN"/>
        </w:rPr>
      </w:pPr>
      <w:r w:rsidRPr="0042734A">
        <w:rPr>
          <w:b/>
          <w:bCs/>
          <w:sz w:val="24"/>
          <w:szCs w:val="24"/>
          <w:lang w:eastAsia="en-IN"/>
        </w:rPr>
        <w:t>JPMorgan Chase:</w:t>
      </w:r>
    </w:p>
    <w:p w14:paraId="21C3250B" w14:textId="77777777" w:rsidR="0042734A" w:rsidRPr="00104603" w:rsidRDefault="0042734A" w:rsidP="00104603">
      <w:pPr>
        <w:pStyle w:val="ListParagraph"/>
        <w:numPr>
          <w:ilvl w:val="0"/>
          <w:numId w:val="23"/>
        </w:numPr>
        <w:rPr>
          <w:sz w:val="24"/>
          <w:szCs w:val="24"/>
          <w:lang w:eastAsia="en-IN"/>
        </w:rPr>
      </w:pPr>
      <w:r w:rsidRPr="00104603">
        <w:rPr>
          <w:b/>
          <w:bCs/>
          <w:sz w:val="24"/>
          <w:szCs w:val="24"/>
          <w:lang w:eastAsia="en-IN"/>
        </w:rPr>
        <w:t>Incremental Increase</w:t>
      </w:r>
      <w:r w:rsidRPr="00104603">
        <w:rPr>
          <w:sz w:val="24"/>
          <w:szCs w:val="24"/>
          <w:lang w:eastAsia="en-IN"/>
        </w:rPr>
        <w:t>: Compliance costs for JPMorgan Chase rose steadily from $50 million in 2010 to $85 million in 2017.</w:t>
      </w:r>
    </w:p>
    <w:p w14:paraId="5670DC14" w14:textId="77777777" w:rsidR="0042734A" w:rsidRPr="00104603" w:rsidRDefault="0042734A" w:rsidP="00104603">
      <w:pPr>
        <w:pStyle w:val="ListParagraph"/>
        <w:numPr>
          <w:ilvl w:val="0"/>
          <w:numId w:val="23"/>
        </w:numPr>
        <w:rPr>
          <w:sz w:val="24"/>
          <w:szCs w:val="24"/>
          <w:lang w:eastAsia="en-IN"/>
        </w:rPr>
      </w:pPr>
      <w:r w:rsidRPr="00104603">
        <w:rPr>
          <w:b/>
          <w:bCs/>
          <w:sz w:val="24"/>
          <w:szCs w:val="24"/>
          <w:lang w:eastAsia="en-IN"/>
        </w:rPr>
        <w:t>Impact</w:t>
      </w:r>
      <w:r w:rsidRPr="00104603">
        <w:rPr>
          <w:sz w:val="24"/>
          <w:szCs w:val="24"/>
          <w:lang w:eastAsia="en-IN"/>
        </w:rPr>
        <w:t>: The increasing costs reflect ongoing efforts to comply with the stringent regulatory requirements of the Volcker Rule.</w:t>
      </w:r>
    </w:p>
    <w:p w14:paraId="42B7D73D" w14:textId="77777777" w:rsidR="0042734A" w:rsidRPr="0042734A" w:rsidRDefault="0042734A" w:rsidP="0042734A">
      <w:pPr>
        <w:rPr>
          <w:sz w:val="24"/>
          <w:szCs w:val="24"/>
          <w:lang w:eastAsia="en-IN"/>
        </w:rPr>
      </w:pPr>
      <w:r w:rsidRPr="0042734A">
        <w:rPr>
          <w:b/>
          <w:bCs/>
          <w:sz w:val="24"/>
          <w:szCs w:val="24"/>
          <w:lang w:eastAsia="en-IN"/>
        </w:rPr>
        <w:t>Bank of America:</w:t>
      </w:r>
    </w:p>
    <w:p w14:paraId="21C90F30" w14:textId="77777777" w:rsidR="0042734A" w:rsidRPr="00104603" w:rsidRDefault="0042734A" w:rsidP="00104603">
      <w:pPr>
        <w:pStyle w:val="ListParagraph"/>
        <w:numPr>
          <w:ilvl w:val="0"/>
          <w:numId w:val="24"/>
        </w:numPr>
        <w:rPr>
          <w:sz w:val="24"/>
          <w:szCs w:val="24"/>
          <w:lang w:eastAsia="en-IN"/>
        </w:rPr>
      </w:pPr>
      <w:r w:rsidRPr="00104603">
        <w:rPr>
          <w:b/>
          <w:bCs/>
          <w:sz w:val="24"/>
          <w:szCs w:val="24"/>
          <w:lang w:eastAsia="en-IN"/>
        </w:rPr>
        <w:t>Similar Trend</w:t>
      </w:r>
      <w:r w:rsidRPr="00104603">
        <w:rPr>
          <w:sz w:val="24"/>
          <w:szCs w:val="24"/>
          <w:lang w:eastAsia="en-IN"/>
        </w:rPr>
        <w:t>: Bank of America's compliance costs increased from $45 million in 2010 to $80 million in 2017.</w:t>
      </w:r>
    </w:p>
    <w:p w14:paraId="3958579D" w14:textId="77777777" w:rsidR="0042734A" w:rsidRPr="00104603" w:rsidRDefault="0042734A" w:rsidP="00104603">
      <w:pPr>
        <w:pStyle w:val="ListParagraph"/>
        <w:numPr>
          <w:ilvl w:val="0"/>
          <w:numId w:val="24"/>
        </w:numPr>
        <w:rPr>
          <w:sz w:val="24"/>
          <w:szCs w:val="24"/>
          <w:lang w:eastAsia="en-IN"/>
        </w:rPr>
      </w:pPr>
      <w:r w:rsidRPr="00104603">
        <w:rPr>
          <w:b/>
          <w:bCs/>
          <w:sz w:val="24"/>
          <w:szCs w:val="24"/>
          <w:lang w:eastAsia="en-IN"/>
        </w:rPr>
        <w:t>Financial Commitment</w:t>
      </w:r>
      <w:r w:rsidRPr="00104603">
        <w:rPr>
          <w:sz w:val="24"/>
          <w:szCs w:val="24"/>
          <w:lang w:eastAsia="en-IN"/>
        </w:rPr>
        <w:t>: The rising expenses indicate significant investments in compliance infrastructure and regulatory oversight.</w:t>
      </w:r>
    </w:p>
    <w:p w14:paraId="0D25FE33" w14:textId="77777777" w:rsidR="0042734A" w:rsidRPr="0042734A" w:rsidRDefault="0042734A" w:rsidP="0042734A">
      <w:pPr>
        <w:rPr>
          <w:sz w:val="24"/>
          <w:szCs w:val="24"/>
          <w:lang w:eastAsia="en-IN"/>
        </w:rPr>
      </w:pPr>
      <w:r w:rsidRPr="0042734A">
        <w:rPr>
          <w:b/>
          <w:bCs/>
          <w:sz w:val="24"/>
          <w:szCs w:val="24"/>
          <w:lang w:eastAsia="en-IN"/>
        </w:rPr>
        <w:t>Citigroup:</w:t>
      </w:r>
    </w:p>
    <w:p w14:paraId="0595AE0B" w14:textId="77777777" w:rsidR="0042734A" w:rsidRPr="00104603" w:rsidRDefault="0042734A" w:rsidP="00104603">
      <w:pPr>
        <w:pStyle w:val="ListParagraph"/>
        <w:numPr>
          <w:ilvl w:val="0"/>
          <w:numId w:val="22"/>
        </w:numPr>
        <w:rPr>
          <w:sz w:val="24"/>
          <w:szCs w:val="24"/>
          <w:lang w:eastAsia="en-IN"/>
        </w:rPr>
      </w:pPr>
      <w:r w:rsidRPr="00104603">
        <w:rPr>
          <w:b/>
          <w:bCs/>
          <w:sz w:val="24"/>
          <w:szCs w:val="24"/>
          <w:lang w:eastAsia="en-IN"/>
        </w:rPr>
        <w:t>Consistent Growth</w:t>
      </w:r>
      <w:r w:rsidRPr="00104603">
        <w:rPr>
          <w:sz w:val="24"/>
          <w:szCs w:val="24"/>
          <w:lang w:eastAsia="en-IN"/>
        </w:rPr>
        <w:t>: Citigroup's compliance costs grew from $60 million in 2010 to $95 million in 2017.</w:t>
      </w:r>
    </w:p>
    <w:p w14:paraId="5A42825C" w14:textId="77777777" w:rsidR="0042734A" w:rsidRPr="00104603" w:rsidRDefault="0042734A" w:rsidP="00104603">
      <w:pPr>
        <w:pStyle w:val="ListParagraph"/>
        <w:numPr>
          <w:ilvl w:val="0"/>
          <w:numId w:val="22"/>
        </w:numPr>
        <w:rPr>
          <w:sz w:val="24"/>
          <w:szCs w:val="24"/>
          <w:lang w:eastAsia="en-IN"/>
        </w:rPr>
      </w:pPr>
      <w:r w:rsidRPr="00104603">
        <w:rPr>
          <w:b/>
          <w:bCs/>
          <w:sz w:val="24"/>
          <w:szCs w:val="24"/>
          <w:lang w:eastAsia="en-IN"/>
        </w:rPr>
        <w:t>Regulatory Burden</w:t>
      </w:r>
      <w:r w:rsidRPr="00104603">
        <w:rPr>
          <w:sz w:val="24"/>
          <w:szCs w:val="24"/>
          <w:lang w:eastAsia="en-IN"/>
        </w:rPr>
        <w:t>: The steady increase underscores the resource allocation needed to meet Volcker Rule compliance obligations.</w:t>
      </w:r>
    </w:p>
    <w:p w14:paraId="448FDD43" w14:textId="77777777" w:rsidR="0042734A" w:rsidRPr="0042734A" w:rsidRDefault="0042734A" w:rsidP="0042734A">
      <w:pPr>
        <w:rPr>
          <w:sz w:val="24"/>
          <w:szCs w:val="24"/>
          <w:lang w:eastAsia="en-IN"/>
        </w:rPr>
      </w:pPr>
      <w:r w:rsidRPr="0042734A">
        <w:rPr>
          <w:b/>
          <w:bCs/>
          <w:sz w:val="24"/>
          <w:szCs w:val="24"/>
          <w:lang w:eastAsia="en-IN"/>
        </w:rPr>
        <w:t>Wells Fargo:</w:t>
      </w:r>
    </w:p>
    <w:p w14:paraId="5E282503" w14:textId="77777777" w:rsidR="0042734A" w:rsidRPr="00104603" w:rsidRDefault="0042734A" w:rsidP="00104603">
      <w:pPr>
        <w:pStyle w:val="ListParagraph"/>
        <w:numPr>
          <w:ilvl w:val="0"/>
          <w:numId w:val="21"/>
        </w:numPr>
        <w:rPr>
          <w:sz w:val="24"/>
          <w:szCs w:val="24"/>
          <w:lang w:eastAsia="en-IN"/>
        </w:rPr>
      </w:pPr>
      <w:r w:rsidRPr="00104603">
        <w:rPr>
          <w:b/>
          <w:bCs/>
          <w:sz w:val="24"/>
          <w:szCs w:val="24"/>
          <w:lang w:eastAsia="en-IN"/>
        </w:rPr>
        <w:t>Gradual Rise</w:t>
      </w:r>
      <w:r w:rsidRPr="00104603">
        <w:rPr>
          <w:sz w:val="24"/>
          <w:szCs w:val="24"/>
          <w:lang w:eastAsia="en-IN"/>
        </w:rPr>
        <w:t>: Wells Fargo's compliance costs increased from $55 million in 2010 to $90 million in 2017.</w:t>
      </w:r>
    </w:p>
    <w:p w14:paraId="4520BD7B" w14:textId="77777777" w:rsidR="0042734A" w:rsidRPr="00104603" w:rsidRDefault="0042734A" w:rsidP="00104603">
      <w:pPr>
        <w:pStyle w:val="ListParagraph"/>
        <w:numPr>
          <w:ilvl w:val="0"/>
          <w:numId w:val="21"/>
        </w:numPr>
        <w:rPr>
          <w:sz w:val="24"/>
          <w:szCs w:val="24"/>
          <w:lang w:eastAsia="en-IN"/>
        </w:rPr>
      </w:pPr>
      <w:r w:rsidRPr="00104603">
        <w:rPr>
          <w:b/>
          <w:bCs/>
          <w:sz w:val="24"/>
          <w:szCs w:val="24"/>
          <w:lang w:eastAsia="en-IN"/>
        </w:rPr>
        <w:t>Operational Adjustments</w:t>
      </w:r>
      <w:r w:rsidRPr="00104603">
        <w:rPr>
          <w:sz w:val="24"/>
          <w:szCs w:val="24"/>
          <w:lang w:eastAsia="en-IN"/>
        </w:rPr>
        <w:t>: The incremental rise reflects ongoing adjustments to internal controls and reporting frameworks.</w:t>
      </w:r>
    </w:p>
    <w:p w14:paraId="1411E5E9" w14:textId="77777777" w:rsidR="0042734A" w:rsidRPr="0042734A" w:rsidRDefault="0042734A" w:rsidP="0042734A">
      <w:pPr>
        <w:rPr>
          <w:sz w:val="24"/>
          <w:szCs w:val="24"/>
          <w:lang w:eastAsia="en-IN"/>
        </w:rPr>
      </w:pPr>
      <w:r w:rsidRPr="0042734A">
        <w:rPr>
          <w:b/>
          <w:bCs/>
          <w:sz w:val="24"/>
          <w:szCs w:val="24"/>
          <w:lang w:eastAsia="en-IN"/>
        </w:rPr>
        <w:t>Goldman Sachs:</w:t>
      </w:r>
    </w:p>
    <w:p w14:paraId="0DADE767" w14:textId="77777777" w:rsidR="0042734A" w:rsidRPr="00104603" w:rsidRDefault="0042734A" w:rsidP="00104603">
      <w:pPr>
        <w:pStyle w:val="ListParagraph"/>
        <w:numPr>
          <w:ilvl w:val="0"/>
          <w:numId w:val="20"/>
        </w:numPr>
        <w:rPr>
          <w:sz w:val="24"/>
          <w:szCs w:val="24"/>
          <w:lang w:eastAsia="en-IN"/>
        </w:rPr>
      </w:pPr>
      <w:r w:rsidRPr="00104603">
        <w:rPr>
          <w:b/>
          <w:bCs/>
          <w:sz w:val="24"/>
          <w:szCs w:val="24"/>
          <w:lang w:eastAsia="en-IN"/>
        </w:rPr>
        <w:t>Steady Increment</w:t>
      </w:r>
      <w:r w:rsidRPr="00104603">
        <w:rPr>
          <w:sz w:val="24"/>
          <w:szCs w:val="24"/>
          <w:lang w:eastAsia="en-IN"/>
        </w:rPr>
        <w:t>: Goldman Sachs' compliance costs grew from $50 million in 2010 to $85 million in 2017.</w:t>
      </w:r>
    </w:p>
    <w:p w14:paraId="63930008" w14:textId="77777777" w:rsidR="0042734A" w:rsidRPr="00104603" w:rsidRDefault="0042734A" w:rsidP="00104603">
      <w:pPr>
        <w:pStyle w:val="ListParagraph"/>
        <w:numPr>
          <w:ilvl w:val="0"/>
          <w:numId w:val="20"/>
        </w:numPr>
        <w:rPr>
          <w:sz w:val="24"/>
          <w:szCs w:val="24"/>
          <w:lang w:eastAsia="en-IN"/>
        </w:rPr>
      </w:pPr>
      <w:r w:rsidRPr="00104603">
        <w:rPr>
          <w:b/>
          <w:bCs/>
          <w:sz w:val="24"/>
          <w:szCs w:val="24"/>
          <w:lang w:eastAsia="en-IN"/>
        </w:rPr>
        <w:t>Strategic Investments</w:t>
      </w:r>
      <w:r w:rsidRPr="00104603">
        <w:rPr>
          <w:sz w:val="24"/>
          <w:szCs w:val="24"/>
          <w:lang w:eastAsia="en-IN"/>
        </w:rPr>
        <w:t>: The investments highlight the bank's commitment to maintaining compliance with regulatory standards.</w:t>
      </w:r>
    </w:p>
    <w:p w14:paraId="197513CB" w14:textId="77777777" w:rsidR="0042734A" w:rsidRPr="0042734A" w:rsidRDefault="0042734A" w:rsidP="0042734A">
      <w:pPr>
        <w:rPr>
          <w:sz w:val="24"/>
          <w:szCs w:val="24"/>
          <w:lang w:eastAsia="en-IN"/>
        </w:rPr>
      </w:pPr>
      <w:r w:rsidRPr="0042734A">
        <w:rPr>
          <w:b/>
          <w:bCs/>
          <w:sz w:val="24"/>
          <w:szCs w:val="24"/>
          <w:lang w:eastAsia="en-IN"/>
        </w:rPr>
        <w:t>Key Takeaways:</w:t>
      </w:r>
    </w:p>
    <w:p w14:paraId="3B8500E7" w14:textId="77777777" w:rsidR="0042734A" w:rsidRPr="00104603" w:rsidRDefault="0042734A" w:rsidP="00104603">
      <w:pPr>
        <w:pStyle w:val="ListParagraph"/>
        <w:numPr>
          <w:ilvl w:val="0"/>
          <w:numId w:val="19"/>
        </w:numPr>
        <w:rPr>
          <w:sz w:val="24"/>
          <w:szCs w:val="24"/>
          <w:lang w:eastAsia="en-IN"/>
        </w:rPr>
      </w:pPr>
      <w:r w:rsidRPr="00104603">
        <w:rPr>
          <w:b/>
          <w:bCs/>
          <w:sz w:val="24"/>
          <w:szCs w:val="24"/>
          <w:lang w:eastAsia="en-IN"/>
        </w:rPr>
        <w:t>Cost Burden</w:t>
      </w:r>
      <w:r w:rsidRPr="00104603">
        <w:rPr>
          <w:sz w:val="24"/>
          <w:szCs w:val="24"/>
          <w:lang w:eastAsia="en-IN"/>
        </w:rPr>
        <w:t>: Compliance costs associated with the Volcker Rule have steadily increased for major banks, reflecting the complexity and ongoing adjustments required for regulatory compliance.</w:t>
      </w:r>
    </w:p>
    <w:p w14:paraId="7880738F" w14:textId="77777777" w:rsidR="0042734A" w:rsidRPr="00104603" w:rsidRDefault="0042734A" w:rsidP="00104603">
      <w:pPr>
        <w:pStyle w:val="ListParagraph"/>
        <w:numPr>
          <w:ilvl w:val="0"/>
          <w:numId w:val="19"/>
        </w:numPr>
        <w:rPr>
          <w:sz w:val="24"/>
          <w:szCs w:val="24"/>
          <w:lang w:eastAsia="en-IN"/>
        </w:rPr>
      </w:pPr>
      <w:r w:rsidRPr="00104603">
        <w:rPr>
          <w:b/>
          <w:bCs/>
          <w:sz w:val="24"/>
          <w:szCs w:val="24"/>
          <w:lang w:eastAsia="en-IN"/>
        </w:rPr>
        <w:t>Regulatory Adherence</w:t>
      </w:r>
      <w:r w:rsidRPr="00104603">
        <w:rPr>
          <w:sz w:val="24"/>
          <w:szCs w:val="24"/>
          <w:lang w:eastAsia="en-IN"/>
        </w:rPr>
        <w:t>: Banks have allocated significant financial resources to implement and maintain systems that monitor and report on trading activities to comply with the Volcker Rule.</w:t>
      </w:r>
    </w:p>
    <w:p w14:paraId="72DE2663" w14:textId="77777777" w:rsidR="0042734A" w:rsidRPr="00104603" w:rsidRDefault="0042734A" w:rsidP="00104603">
      <w:pPr>
        <w:pStyle w:val="ListParagraph"/>
        <w:numPr>
          <w:ilvl w:val="0"/>
          <w:numId w:val="19"/>
        </w:numPr>
        <w:rPr>
          <w:sz w:val="24"/>
          <w:szCs w:val="24"/>
          <w:lang w:eastAsia="en-IN"/>
        </w:rPr>
      </w:pPr>
      <w:r w:rsidRPr="00104603">
        <w:rPr>
          <w:b/>
          <w:bCs/>
          <w:sz w:val="24"/>
          <w:szCs w:val="24"/>
          <w:lang w:eastAsia="en-IN"/>
        </w:rPr>
        <w:lastRenderedPageBreak/>
        <w:t>Operational Impact</w:t>
      </w:r>
      <w:r w:rsidRPr="00104603">
        <w:rPr>
          <w:sz w:val="24"/>
          <w:szCs w:val="24"/>
          <w:lang w:eastAsia="en-IN"/>
        </w:rPr>
        <w:t>: These costs represent a substantial operational expense for banks, influencing overall financial performance and strategic resource allocation.</w:t>
      </w:r>
    </w:p>
    <w:p w14:paraId="4F73A477" w14:textId="77777777" w:rsidR="0042734A" w:rsidRPr="0042734A" w:rsidRDefault="0042734A" w:rsidP="0042734A">
      <w:pPr>
        <w:rPr>
          <w:sz w:val="24"/>
          <w:szCs w:val="24"/>
          <w:lang w:eastAsia="en-IN"/>
        </w:rPr>
      </w:pPr>
      <w:r w:rsidRPr="0042734A">
        <w:rPr>
          <w:sz w:val="24"/>
          <w:szCs w:val="24"/>
          <w:lang w:eastAsia="en-IN"/>
        </w:rPr>
        <w:t>This interpretation underscores the financial and operational impacts of regulatory compliance under the Volcker Rule, highlighting banks' efforts to navigate regulatory complexities while maintaining competitive operations.</w:t>
      </w:r>
    </w:p>
    <w:p w14:paraId="6DC202DE" w14:textId="46F4EC0B" w:rsidR="00104603" w:rsidRPr="00104603" w:rsidRDefault="00104603" w:rsidP="00104603">
      <w:pPr>
        <w:pStyle w:val="Heading2"/>
        <w:rPr>
          <w:rFonts w:eastAsia="Times New Roman"/>
          <w:lang w:eastAsia="en-IN"/>
        </w:rPr>
      </w:pPr>
      <w:r>
        <w:rPr>
          <w:lang w:eastAsia="en-IN"/>
        </w:rPr>
        <w:t xml:space="preserve">4. </w:t>
      </w:r>
      <w:r w:rsidRPr="00104603">
        <w:rPr>
          <w:rFonts w:eastAsia="Times New Roman"/>
          <w:lang w:eastAsia="en-IN"/>
        </w:rPr>
        <w:t>Number of Retail Banking Customers (in Millions)</w:t>
      </w:r>
    </w:p>
    <w:tbl>
      <w:tblPr>
        <w:tblStyle w:val="TableGrid"/>
        <w:tblW w:w="7809" w:type="dxa"/>
        <w:tblLook w:val="04A0" w:firstRow="1" w:lastRow="0" w:firstColumn="1" w:lastColumn="0" w:noHBand="0" w:noVBand="1"/>
      </w:tblPr>
      <w:tblGrid>
        <w:gridCol w:w="922"/>
        <w:gridCol w:w="1529"/>
        <w:gridCol w:w="1370"/>
        <w:gridCol w:w="1488"/>
        <w:gridCol w:w="1023"/>
        <w:gridCol w:w="1477"/>
      </w:tblGrid>
      <w:tr w:rsidR="00104603" w:rsidRPr="00104603" w14:paraId="2655BDCE" w14:textId="77777777" w:rsidTr="00104603">
        <w:trPr>
          <w:trHeight w:val="722"/>
        </w:trPr>
        <w:tc>
          <w:tcPr>
            <w:tcW w:w="922" w:type="dxa"/>
            <w:hideMark/>
          </w:tcPr>
          <w:p w14:paraId="09385A27" w14:textId="77777777" w:rsidR="00104603" w:rsidRPr="00104603" w:rsidRDefault="00104603" w:rsidP="00104603">
            <w:pPr>
              <w:jc w:val="center"/>
              <w:rPr>
                <w:rFonts w:ascii="Aptos Narrow" w:eastAsia="Times New Roman" w:hAnsi="Aptos Narrow" w:cs="Times New Roman"/>
                <w:b/>
                <w:bCs/>
                <w:color w:val="000000"/>
                <w:kern w:val="0"/>
                <w:sz w:val="24"/>
                <w:szCs w:val="24"/>
                <w:lang w:eastAsia="en-IN"/>
                <w14:ligatures w14:val="none"/>
              </w:rPr>
            </w:pPr>
            <w:r w:rsidRPr="00104603">
              <w:rPr>
                <w:rFonts w:ascii="Aptos Narrow" w:eastAsia="Times New Roman" w:hAnsi="Aptos Narrow" w:cs="Times New Roman"/>
                <w:b/>
                <w:bCs/>
                <w:color w:val="000000"/>
                <w:kern w:val="0"/>
                <w:sz w:val="24"/>
                <w:szCs w:val="24"/>
                <w:lang w:eastAsia="en-IN"/>
                <w14:ligatures w14:val="none"/>
              </w:rPr>
              <w:t>Year</w:t>
            </w:r>
          </w:p>
        </w:tc>
        <w:tc>
          <w:tcPr>
            <w:tcW w:w="1529" w:type="dxa"/>
            <w:hideMark/>
          </w:tcPr>
          <w:p w14:paraId="51E74E6D" w14:textId="77777777" w:rsidR="00104603" w:rsidRPr="00104603" w:rsidRDefault="00104603" w:rsidP="00104603">
            <w:pPr>
              <w:jc w:val="center"/>
              <w:rPr>
                <w:rFonts w:ascii="Aptos Narrow" w:eastAsia="Times New Roman" w:hAnsi="Aptos Narrow" w:cs="Times New Roman"/>
                <w:b/>
                <w:bCs/>
                <w:color w:val="000000"/>
                <w:kern w:val="0"/>
                <w:sz w:val="24"/>
                <w:szCs w:val="24"/>
                <w:lang w:eastAsia="en-IN"/>
                <w14:ligatures w14:val="none"/>
              </w:rPr>
            </w:pPr>
            <w:r w:rsidRPr="00104603">
              <w:rPr>
                <w:rFonts w:ascii="Aptos Narrow" w:eastAsia="Times New Roman" w:hAnsi="Aptos Narrow" w:cs="Times New Roman"/>
                <w:b/>
                <w:bCs/>
                <w:color w:val="000000"/>
                <w:kern w:val="0"/>
                <w:sz w:val="24"/>
                <w:szCs w:val="24"/>
                <w:lang w:eastAsia="en-IN"/>
                <w14:ligatures w14:val="none"/>
              </w:rPr>
              <w:t>JPMorgan Chase</w:t>
            </w:r>
          </w:p>
        </w:tc>
        <w:tc>
          <w:tcPr>
            <w:tcW w:w="1370" w:type="dxa"/>
            <w:hideMark/>
          </w:tcPr>
          <w:p w14:paraId="31B897A5" w14:textId="77777777" w:rsidR="00104603" w:rsidRPr="00104603" w:rsidRDefault="00104603" w:rsidP="00104603">
            <w:pPr>
              <w:jc w:val="center"/>
              <w:rPr>
                <w:rFonts w:ascii="Aptos Narrow" w:eastAsia="Times New Roman" w:hAnsi="Aptos Narrow" w:cs="Times New Roman"/>
                <w:b/>
                <w:bCs/>
                <w:color w:val="000000"/>
                <w:kern w:val="0"/>
                <w:sz w:val="24"/>
                <w:szCs w:val="24"/>
                <w:lang w:eastAsia="en-IN"/>
                <w14:ligatures w14:val="none"/>
              </w:rPr>
            </w:pPr>
            <w:r w:rsidRPr="00104603">
              <w:rPr>
                <w:rFonts w:ascii="Aptos Narrow" w:eastAsia="Times New Roman" w:hAnsi="Aptos Narrow" w:cs="Times New Roman"/>
                <w:b/>
                <w:bCs/>
                <w:color w:val="000000"/>
                <w:kern w:val="0"/>
                <w:sz w:val="24"/>
                <w:szCs w:val="24"/>
                <w:lang w:eastAsia="en-IN"/>
                <w14:ligatures w14:val="none"/>
              </w:rPr>
              <w:t>Bank of America</w:t>
            </w:r>
          </w:p>
        </w:tc>
        <w:tc>
          <w:tcPr>
            <w:tcW w:w="1488" w:type="dxa"/>
            <w:hideMark/>
          </w:tcPr>
          <w:p w14:paraId="119E6BF0" w14:textId="77777777" w:rsidR="00104603" w:rsidRPr="00104603" w:rsidRDefault="00104603" w:rsidP="00104603">
            <w:pPr>
              <w:jc w:val="center"/>
              <w:rPr>
                <w:rFonts w:ascii="Aptos Narrow" w:eastAsia="Times New Roman" w:hAnsi="Aptos Narrow" w:cs="Times New Roman"/>
                <w:b/>
                <w:bCs/>
                <w:color w:val="000000"/>
                <w:kern w:val="0"/>
                <w:sz w:val="24"/>
                <w:szCs w:val="24"/>
                <w:lang w:eastAsia="en-IN"/>
                <w14:ligatures w14:val="none"/>
              </w:rPr>
            </w:pPr>
            <w:r w:rsidRPr="00104603">
              <w:rPr>
                <w:rFonts w:ascii="Aptos Narrow" w:eastAsia="Times New Roman" w:hAnsi="Aptos Narrow" w:cs="Times New Roman"/>
                <w:b/>
                <w:bCs/>
                <w:color w:val="000000"/>
                <w:kern w:val="0"/>
                <w:sz w:val="24"/>
                <w:szCs w:val="24"/>
                <w:lang w:eastAsia="en-IN"/>
                <w14:ligatures w14:val="none"/>
              </w:rPr>
              <w:t>Citigroup</w:t>
            </w:r>
          </w:p>
        </w:tc>
        <w:tc>
          <w:tcPr>
            <w:tcW w:w="1023" w:type="dxa"/>
            <w:hideMark/>
          </w:tcPr>
          <w:p w14:paraId="059F853F" w14:textId="77777777" w:rsidR="00104603" w:rsidRPr="00104603" w:rsidRDefault="00104603" w:rsidP="00104603">
            <w:pPr>
              <w:jc w:val="center"/>
              <w:rPr>
                <w:rFonts w:ascii="Aptos Narrow" w:eastAsia="Times New Roman" w:hAnsi="Aptos Narrow" w:cs="Times New Roman"/>
                <w:b/>
                <w:bCs/>
                <w:color w:val="000000"/>
                <w:kern w:val="0"/>
                <w:sz w:val="24"/>
                <w:szCs w:val="24"/>
                <w:lang w:eastAsia="en-IN"/>
                <w14:ligatures w14:val="none"/>
              </w:rPr>
            </w:pPr>
            <w:r w:rsidRPr="00104603">
              <w:rPr>
                <w:rFonts w:ascii="Aptos Narrow" w:eastAsia="Times New Roman" w:hAnsi="Aptos Narrow" w:cs="Times New Roman"/>
                <w:b/>
                <w:bCs/>
                <w:color w:val="000000"/>
                <w:kern w:val="0"/>
                <w:sz w:val="24"/>
                <w:szCs w:val="24"/>
                <w:lang w:eastAsia="en-IN"/>
                <w14:ligatures w14:val="none"/>
              </w:rPr>
              <w:t>Wells Fargo</w:t>
            </w:r>
          </w:p>
        </w:tc>
        <w:tc>
          <w:tcPr>
            <w:tcW w:w="1477" w:type="dxa"/>
            <w:hideMark/>
          </w:tcPr>
          <w:p w14:paraId="53C7780F" w14:textId="77777777" w:rsidR="00104603" w:rsidRPr="00104603" w:rsidRDefault="00104603" w:rsidP="00104603">
            <w:pPr>
              <w:jc w:val="center"/>
              <w:rPr>
                <w:rFonts w:ascii="Aptos Narrow" w:eastAsia="Times New Roman" w:hAnsi="Aptos Narrow" w:cs="Times New Roman"/>
                <w:b/>
                <w:bCs/>
                <w:color w:val="000000"/>
                <w:kern w:val="0"/>
                <w:sz w:val="24"/>
                <w:szCs w:val="24"/>
                <w:lang w:eastAsia="en-IN"/>
                <w14:ligatures w14:val="none"/>
              </w:rPr>
            </w:pPr>
            <w:r w:rsidRPr="00104603">
              <w:rPr>
                <w:rFonts w:ascii="Aptos Narrow" w:eastAsia="Times New Roman" w:hAnsi="Aptos Narrow" w:cs="Times New Roman"/>
                <w:b/>
                <w:bCs/>
                <w:color w:val="000000"/>
                <w:kern w:val="0"/>
                <w:sz w:val="24"/>
                <w:szCs w:val="24"/>
                <w:lang w:eastAsia="en-IN"/>
                <w14:ligatures w14:val="none"/>
              </w:rPr>
              <w:t>Goldman Sachs</w:t>
            </w:r>
          </w:p>
        </w:tc>
      </w:tr>
      <w:tr w:rsidR="00104603" w:rsidRPr="00104603" w14:paraId="66EA3C81" w14:textId="77777777" w:rsidTr="00104603">
        <w:trPr>
          <w:trHeight w:val="361"/>
        </w:trPr>
        <w:tc>
          <w:tcPr>
            <w:tcW w:w="922" w:type="dxa"/>
            <w:hideMark/>
          </w:tcPr>
          <w:p w14:paraId="425F3FF5"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2010</w:t>
            </w:r>
          </w:p>
        </w:tc>
        <w:tc>
          <w:tcPr>
            <w:tcW w:w="1529" w:type="dxa"/>
            <w:hideMark/>
          </w:tcPr>
          <w:p w14:paraId="5B2575B7"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20</w:t>
            </w:r>
          </w:p>
        </w:tc>
        <w:tc>
          <w:tcPr>
            <w:tcW w:w="1370" w:type="dxa"/>
            <w:hideMark/>
          </w:tcPr>
          <w:p w14:paraId="4721D3E8"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18</w:t>
            </w:r>
          </w:p>
        </w:tc>
        <w:tc>
          <w:tcPr>
            <w:tcW w:w="1488" w:type="dxa"/>
            <w:hideMark/>
          </w:tcPr>
          <w:p w14:paraId="77CB50BB"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22</w:t>
            </w:r>
          </w:p>
        </w:tc>
        <w:tc>
          <w:tcPr>
            <w:tcW w:w="1023" w:type="dxa"/>
            <w:hideMark/>
          </w:tcPr>
          <w:p w14:paraId="4DE513E3"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19</w:t>
            </w:r>
          </w:p>
        </w:tc>
        <w:tc>
          <w:tcPr>
            <w:tcW w:w="1477" w:type="dxa"/>
            <w:hideMark/>
          </w:tcPr>
          <w:p w14:paraId="6838D257"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21</w:t>
            </w:r>
          </w:p>
        </w:tc>
      </w:tr>
      <w:tr w:rsidR="00104603" w:rsidRPr="00104603" w14:paraId="797ADB4C" w14:textId="77777777" w:rsidTr="00104603">
        <w:trPr>
          <w:trHeight w:val="361"/>
        </w:trPr>
        <w:tc>
          <w:tcPr>
            <w:tcW w:w="922" w:type="dxa"/>
            <w:hideMark/>
          </w:tcPr>
          <w:p w14:paraId="43200617"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2011</w:t>
            </w:r>
          </w:p>
        </w:tc>
        <w:tc>
          <w:tcPr>
            <w:tcW w:w="1529" w:type="dxa"/>
            <w:hideMark/>
          </w:tcPr>
          <w:p w14:paraId="3E968968"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21</w:t>
            </w:r>
          </w:p>
        </w:tc>
        <w:tc>
          <w:tcPr>
            <w:tcW w:w="1370" w:type="dxa"/>
            <w:hideMark/>
          </w:tcPr>
          <w:p w14:paraId="30222796"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19</w:t>
            </w:r>
          </w:p>
        </w:tc>
        <w:tc>
          <w:tcPr>
            <w:tcW w:w="1488" w:type="dxa"/>
            <w:hideMark/>
          </w:tcPr>
          <w:p w14:paraId="29555FF0"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23</w:t>
            </w:r>
          </w:p>
        </w:tc>
        <w:tc>
          <w:tcPr>
            <w:tcW w:w="1023" w:type="dxa"/>
            <w:hideMark/>
          </w:tcPr>
          <w:p w14:paraId="4B4E47BD"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20</w:t>
            </w:r>
          </w:p>
        </w:tc>
        <w:tc>
          <w:tcPr>
            <w:tcW w:w="1477" w:type="dxa"/>
            <w:hideMark/>
          </w:tcPr>
          <w:p w14:paraId="1522F76D"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22</w:t>
            </w:r>
          </w:p>
        </w:tc>
      </w:tr>
      <w:tr w:rsidR="00104603" w:rsidRPr="00104603" w14:paraId="33A05D7F" w14:textId="77777777" w:rsidTr="00104603">
        <w:trPr>
          <w:trHeight w:val="361"/>
        </w:trPr>
        <w:tc>
          <w:tcPr>
            <w:tcW w:w="922" w:type="dxa"/>
            <w:hideMark/>
          </w:tcPr>
          <w:p w14:paraId="793BF67B"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2012</w:t>
            </w:r>
          </w:p>
        </w:tc>
        <w:tc>
          <w:tcPr>
            <w:tcW w:w="1529" w:type="dxa"/>
            <w:hideMark/>
          </w:tcPr>
          <w:p w14:paraId="0C6BC0E7"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22</w:t>
            </w:r>
          </w:p>
        </w:tc>
        <w:tc>
          <w:tcPr>
            <w:tcW w:w="1370" w:type="dxa"/>
            <w:hideMark/>
          </w:tcPr>
          <w:p w14:paraId="1CD406E8"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20</w:t>
            </w:r>
          </w:p>
        </w:tc>
        <w:tc>
          <w:tcPr>
            <w:tcW w:w="1488" w:type="dxa"/>
            <w:hideMark/>
          </w:tcPr>
          <w:p w14:paraId="0D19B379"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24</w:t>
            </w:r>
          </w:p>
        </w:tc>
        <w:tc>
          <w:tcPr>
            <w:tcW w:w="1023" w:type="dxa"/>
            <w:hideMark/>
          </w:tcPr>
          <w:p w14:paraId="2E06DD7C"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21</w:t>
            </w:r>
          </w:p>
        </w:tc>
        <w:tc>
          <w:tcPr>
            <w:tcW w:w="1477" w:type="dxa"/>
            <w:hideMark/>
          </w:tcPr>
          <w:p w14:paraId="586B9E2F"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23</w:t>
            </w:r>
          </w:p>
        </w:tc>
      </w:tr>
      <w:tr w:rsidR="00104603" w:rsidRPr="00104603" w14:paraId="78090A73" w14:textId="77777777" w:rsidTr="00104603">
        <w:trPr>
          <w:trHeight w:val="361"/>
        </w:trPr>
        <w:tc>
          <w:tcPr>
            <w:tcW w:w="922" w:type="dxa"/>
            <w:hideMark/>
          </w:tcPr>
          <w:p w14:paraId="2A2FA49C"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2013</w:t>
            </w:r>
          </w:p>
        </w:tc>
        <w:tc>
          <w:tcPr>
            <w:tcW w:w="1529" w:type="dxa"/>
            <w:hideMark/>
          </w:tcPr>
          <w:p w14:paraId="00CAB57D"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23</w:t>
            </w:r>
          </w:p>
        </w:tc>
        <w:tc>
          <w:tcPr>
            <w:tcW w:w="1370" w:type="dxa"/>
            <w:hideMark/>
          </w:tcPr>
          <w:p w14:paraId="7BA13474"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21</w:t>
            </w:r>
          </w:p>
        </w:tc>
        <w:tc>
          <w:tcPr>
            <w:tcW w:w="1488" w:type="dxa"/>
            <w:hideMark/>
          </w:tcPr>
          <w:p w14:paraId="7266413F"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25</w:t>
            </w:r>
          </w:p>
        </w:tc>
        <w:tc>
          <w:tcPr>
            <w:tcW w:w="1023" w:type="dxa"/>
            <w:hideMark/>
          </w:tcPr>
          <w:p w14:paraId="57E2040C"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22</w:t>
            </w:r>
          </w:p>
        </w:tc>
        <w:tc>
          <w:tcPr>
            <w:tcW w:w="1477" w:type="dxa"/>
            <w:hideMark/>
          </w:tcPr>
          <w:p w14:paraId="14C22B6F"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24</w:t>
            </w:r>
          </w:p>
        </w:tc>
      </w:tr>
      <w:tr w:rsidR="00104603" w:rsidRPr="00104603" w14:paraId="36CFFEE8" w14:textId="77777777" w:rsidTr="00104603">
        <w:trPr>
          <w:trHeight w:val="361"/>
        </w:trPr>
        <w:tc>
          <w:tcPr>
            <w:tcW w:w="922" w:type="dxa"/>
            <w:hideMark/>
          </w:tcPr>
          <w:p w14:paraId="0DE2E8C6"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2014</w:t>
            </w:r>
          </w:p>
        </w:tc>
        <w:tc>
          <w:tcPr>
            <w:tcW w:w="1529" w:type="dxa"/>
            <w:hideMark/>
          </w:tcPr>
          <w:p w14:paraId="5508A54E"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24</w:t>
            </w:r>
          </w:p>
        </w:tc>
        <w:tc>
          <w:tcPr>
            <w:tcW w:w="1370" w:type="dxa"/>
            <w:hideMark/>
          </w:tcPr>
          <w:p w14:paraId="47BA9613"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22</w:t>
            </w:r>
          </w:p>
        </w:tc>
        <w:tc>
          <w:tcPr>
            <w:tcW w:w="1488" w:type="dxa"/>
            <w:hideMark/>
          </w:tcPr>
          <w:p w14:paraId="5C1C3097"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26</w:t>
            </w:r>
          </w:p>
        </w:tc>
        <w:tc>
          <w:tcPr>
            <w:tcW w:w="1023" w:type="dxa"/>
            <w:hideMark/>
          </w:tcPr>
          <w:p w14:paraId="4080FAF4"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23</w:t>
            </w:r>
          </w:p>
        </w:tc>
        <w:tc>
          <w:tcPr>
            <w:tcW w:w="1477" w:type="dxa"/>
            <w:hideMark/>
          </w:tcPr>
          <w:p w14:paraId="2F284446"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25</w:t>
            </w:r>
          </w:p>
        </w:tc>
      </w:tr>
      <w:tr w:rsidR="00104603" w:rsidRPr="00104603" w14:paraId="5AE0F0C1" w14:textId="77777777" w:rsidTr="00104603">
        <w:trPr>
          <w:trHeight w:val="361"/>
        </w:trPr>
        <w:tc>
          <w:tcPr>
            <w:tcW w:w="922" w:type="dxa"/>
            <w:hideMark/>
          </w:tcPr>
          <w:p w14:paraId="6472DD13"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2015</w:t>
            </w:r>
          </w:p>
        </w:tc>
        <w:tc>
          <w:tcPr>
            <w:tcW w:w="1529" w:type="dxa"/>
            <w:hideMark/>
          </w:tcPr>
          <w:p w14:paraId="25981718"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25</w:t>
            </w:r>
          </w:p>
        </w:tc>
        <w:tc>
          <w:tcPr>
            <w:tcW w:w="1370" w:type="dxa"/>
            <w:hideMark/>
          </w:tcPr>
          <w:p w14:paraId="56BAAA7E"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23</w:t>
            </w:r>
          </w:p>
        </w:tc>
        <w:tc>
          <w:tcPr>
            <w:tcW w:w="1488" w:type="dxa"/>
            <w:hideMark/>
          </w:tcPr>
          <w:p w14:paraId="522B7525"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27</w:t>
            </w:r>
          </w:p>
        </w:tc>
        <w:tc>
          <w:tcPr>
            <w:tcW w:w="1023" w:type="dxa"/>
            <w:hideMark/>
          </w:tcPr>
          <w:p w14:paraId="6839F052"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24</w:t>
            </w:r>
          </w:p>
        </w:tc>
        <w:tc>
          <w:tcPr>
            <w:tcW w:w="1477" w:type="dxa"/>
            <w:hideMark/>
          </w:tcPr>
          <w:p w14:paraId="11C55880"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26</w:t>
            </w:r>
          </w:p>
        </w:tc>
      </w:tr>
      <w:tr w:rsidR="00104603" w:rsidRPr="00104603" w14:paraId="4FC7BBC9" w14:textId="77777777" w:rsidTr="00104603">
        <w:trPr>
          <w:trHeight w:val="361"/>
        </w:trPr>
        <w:tc>
          <w:tcPr>
            <w:tcW w:w="922" w:type="dxa"/>
            <w:hideMark/>
          </w:tcPr>
          <w:p w14:paraId="0280F62E"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2016</w:t>
            </w:r>
          </w:p>
        </w:tc>
        <w:tc>
          <w:tcPr>
            <w:tcW w:w="1529" w:type="dxa"/>
            <w:hideMark/>
          </w:tcPr>
          <w:p w14:paraId="287102ED"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26</w:t>
            </w:r>
          </w:p>
        </w:tc>
        <w:tc>
          <w:tcPr>
            <w:tcW w:w="1370" w:type="dxa"/>
            <w:hideMark/>
          </w:tcPr>
          <w:p w14:paraId="128A0B21"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24</w:t>
            </w:r>
          </w:p>
        </w:tc>
        <w:tc>
          <w:tcPr>
            <w:tcW w:w="1488" w:type="dxa"/>
            <w:hideMark/>
          </w:tcPr>
          <w:p w14:paraId="54D9B0FA"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28</w:t>
            </w:r>
          </w:p>
        </w:tc>
        <w:tc>
          <w:tcPr>
            <w:tcW w:w="1023" w:type="dxa"/>
            <w:hideMark/>
          </w:tcPr>
          <w:p w14:paraId="3E67454E"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25</w:t>
            </w:r>
          </w:p>
        </w:tc>
        <w:tc>
          <w:tcPr>
            <w:tcW w:w="1477" w:type="dxa"/>
            <w:hideMark/>
          </w:tcPr>
          <w:p w14:paraId="1ADA9D0D"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27</w:t>
            </w:r>
          </w:p>
        </w:tc>
      </w:tr>
      <w:tr w:rsidR="00104603" w:rsidRPr="00104603" w14:paraId="0B2BC4AD" w14:textId="77777777" w:rsidTr="00104603">
        <w:trPr>
          <w:trHeight w:val="361"/>
        </w:trPr>
        <w:tc>
          <w:tcPr>
            <w:tcW w:w="922" w:type="dxa"/>
            <w:hideMark/>
          </w:tcPr>
          <w:p w14:paraId="3C7BF379"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2017</w:t>
            </w:r>
          </w:p>
        </w:tc>
        <w:tc>
          <w:tcPr>
            <w:tcW w:w="1529" w:type="dxa"/>
            <w:hideMark/>
          </w:tcPr>
          <w:p w14:paraId="7A38408C"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27</w:t>
            </w:r>
          </w:p>
        </w:tc>
        <w:tc>
          <w:tcPr>
            <w:tcW w:w="1370" w:type="dxa"/>
            <w:hideMark/>
          </w:tcPr>
          <w:p w14:paraId="5B1121A9"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25</w:t>
            </w:r>
          </w:p>
        </w:tc>
        <w:tc>
          <w:tcPr>
            <w:tcW w:w="1488" w:type="dxa"/>
            <w:hideMark/>
          </w:tcPr>
          <w:p w14:paraId="3B453254"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29</w:t>
            </w:r>
          </w:p>
        </w:tc>
        <w:tc>
          <w:tcPr>
            <w:tcW w:w="1023" w:type="dxa"/>
            <w:hideMark/>
          </w:tcPr>
          <w:p w14:paraId="68A88380"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26</w:t>
            </w:r>
          </w:p>
        </w:tc>
        <w:tc>
          <w:tcPr>
            <w:tcW w:w="1477" w:type="dxa"/>
            <w:hideMark/>
          </w:tcPr>
          <w:p w14:paraId="23C9AE2D" w14:textId="77777777" w:rsidR="00104603" w:rsidRPr="00104603" w:rsidRDefault="00104603" w:rsidP="00104603">
            <w:pPr>
              <w:jc w:val="right"/>
              <w:rPr>
                <w:rFonts w:ascii="Aptos Narrow" w:eastAsia="Times New Roman" w:hAnsi="Aptos Narrow" w:cs="Times New Roman"/>
                <w:color w:val="000000"/>
                <w:kern w:val="0"/>
                <w:sz w:val="24"/>
                <w:szCs w:val="24"/>
                <w:lang w:eastAsia="en-IN"/>
                <w14:ligatures w14:val="none"/>
              </w:rPr>
            </w:pPr>
            <w:r w:rsidRPr="00104603">
              <w:rPr>
                <w:rFonts w:ascii="Aptos Narrow" w:eastAsia="Times New Roman" w:hAnsi="Aptos Narrow" w:cs="Times New Roman"/>
                <w:color w:val="000000"/>
                <w:kern w:val="0"/>
                <w:sz w:val="24"/>
                <w:szCs w:val="24"/>
                <w:lang w:eastAsia="en-IN"/>
                <w14:ligatures w14:val="none"/>
              </w:rPr>
              <w:t>28</w:t>
            </w:r>
          </w:p>
        </w:tc>
      </w:tr>
    </w:tbl>
    <w:p w14:paraId="04E005FB" w14:textId="1BD59DAF" w:rsidR="0042734A" w:rsidRDefault="0042734A" w:rsidP="0042734A">
      <w:pPr>
        <w:rPr>
          <w:lang w:eastAsia="en-IN"/>
        </w:rPr>
      </w:pPr>
    </w:p>
    <w:p w14:paraId="3046CC53" w14:textId="79F73CA0" w:rsidR="00104603" w:rsidRDefault="00104603">
      <w:pPr>
        <w:rPr>
          <w:rFonts w:asciiTheme="majorHAnsi" w:eastAsia="Times New Roman" w:hAnsiTheme="majorHAnsi" w:cstheme="majorBidi"/>
          <w:color w:val="0F4761" w:themeColor="accent1" w:themeShade="BF"/>
          <w:sz w:val="32"/>
          <w:szCs w:val="32"/>
          <w:lang w:eastAsia="en-IN"/>
        </w:rPr>
      </w:pPr>
      <w:r>
        <w:rPr>
          <w:noProof/>
        </w:rPr>
        <w:drawing>
          <wp:inline distT="0" distB="0" distL="0" distR="0" wp14:anchorId="1CDDC069" wp14:editId="4642A3A3">
            <wp:extent cx="5501640" cy="3924300"/>
            <wp:effectExtent l="0" t="0" r="3810" b="0"/>
            <wp:docPr id="188631907" name="Chart 1">
              <a:extLst xmlns:a="http://schemas.openxmlformats.org/drawingml/2006/main">
                <a:ext uri="{FF2B5EF4-FFF2-40B4-BE49-F238E27FC236}">
                  <a16:creationId xmlns:a16="http://schemas.microsoft.com/office/drawing/2014/main" id="{FC5EE4DB-1359-4D5D-5D43-6351235178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eastAsia="Times New Roman"/>
          <w:lang w:eastAsia="en-IN"/>
        </w:rPr>
        <w:br w:type="page"/>
      </w:r>
    </w:p>
    <w:p w14:paraId="35F16BD4" w14:textId="77777777" w:rsidR="00104603" w:rsidRPr="00104603" w:rsidRDefault="00104603" w:rsidP="00104603">
      <w:pPr>
        <w:rPr>
          <w:sz w:val="24"/>
          <w:szCs w:val="24"/>
          <w:lang w:eastAsia="en-IN"/>
        </w:rPr>
      </w:pPr>
      <w:r w:rsidRPr="00104603">
        <w:rPr>
          <w:b/>
          <w:bCs/>
          <w:sz w:val="24"/>
          <w:szCs w:val="24"/>
          <w:lang w:eastAsia="en-IN"/>
        </w:rPr>
        <w:lastRenderedPageBreak/>
        <w:t>Interpretation of Number of Retail Banking Customers (in Millions)</w:t>
      </w:r>
    </w:p>
    <w:p w14:paraId="09C26967" w14:textId="77777777" w:rsidR="00104603" w:rsidRPr="00104603" w:rsidRDefault="00104603" w:rsidP="00104603">
      <w:pPr>
        <w:rPr>
          <w:sz w:val="24"/>
          <w:szCs w:val="24"/>
          <w:lang w:eastAsia="en-IN"/>
        </w:rPr>
      </w:pPr>
      <w:r w:rsidRPr="00104603">
        <w:rPr>
          <w:b/>
          <w:bCs/>
          <w:sz w:val="24"/>
          <w:szCs w:val="24"/>
          <w:lang w:eastAsia="en-IN"/>
        </w:rPr>
        <w:t>JPMorgan Chase:</w:t>
      </w:r>
    </w:p>
    <w:p w14:paraId="02524F8A" w14:textId="77777777" w:rsidR="00104603" w:rsidRPr="00104603" w:rsidRDefault="00104603" w:rsidP="00104603">
      <w:pPr>
        <w:pStyle w:val="ListParagraph"/>
        <w:numPr>
          <w:ilvl w:val="0"/>
          <w:numId w:val="18"/>
        </w:numPr>
        <w:rPr>
          <w:sz w:val="24"/>
          <w:szCs w:val="24"/>
          <w:lang w:eastAsia="en-IN"/>
        </w:rPr>
      </w:pPr>
      <w:r w:rsidRPr="00104603">
        <w:rPr>
          <w:b/>
          <w:bCs/>
          <w:sz w:val="24"/>
          <w:szCs w:val="24"/>
          <w:lang w:eastAsia="en-IN"/>
        </w:rPr>
        <w:t>Growth</w:t>
      </w:r>
      <w:r w:rsidRPr="00104603">
        <w:rPr>
          <w:sz w:val="24"/>
          <w:szCs w:val="24"/>
          <w:lang w:eastAsia="en-IN"/>
        </w:rPr>
        <w:t>: Increased steadily from 20 million in 2010 to 27 million in 2017, showing consistent customer acquisition and retention efforts.</w:t>
      </w:r>
    </w:p>
    <w:p w14:paraId="2AC220AC" w14:textId="77777777" w:rsidR="00104603" w:rsidRPr="00104603" w:rsidRDefault="00104603" w:rsidP="00104603">
      <w:pPr>
        <w:rPr>
          <w:sz w:val="24"/>
          <w:szCs w:val="24"/>
          <w:lang w:eastAsia="en-IN"/>
        </w:rPr>
      </w:pPr>
      <w:r w:rsidRPr="00104603">
        <w:rPr>
          <w:b/>
          <w:bCs/>
          <w:sz w:val="24"/>
          <w:szCs w:val="24"/>
          <w:lang w:eastAsia="en-IN"/>
        </w:rPr>
        <w:t>Bank of America:</w:t>
      </w:r>
    </w:p>
    <w:p w14:paraId="746C4186" w14:textId="77777777" w:rsidR="00104603" w:rsidRPr="00104603" w:rsidRDefault="00104603" w:rsidP="00104603">
      <w:pPr>
        <w:pStyle w:val="ListParagraph"/>
        <w:numPr>
          <w:ilvl w:val="0"/>
          <w:numId w:val="17"/>
        </w:numPr>
        <w:rPr>
          <w:sz w:val="24"/>
          <w:szCs w:val="24"/>
          <w:lang w:eastAsia="en-IN"/>
        </w:rPr>
      </w:pPr>
      <w:r w:rsidRPr="00104603">
        <w:rPr>
          <w:b/>
          <w:bCs/>
          <w:sz w:val="24"/>
          <w:szCs w:val="24"/>
          <w:lang w:eastAsia="en-IN"/>
        </w:rPr>
        <w:t>Expansion</w:t>
      </w:r>
      <w:r w:rsidRPr="00104603">
        <w:rPr>
          <w:sz w:val="24"/>
          <w:szCs w:val="24"/>
          <w:lang w:eastAsia="en-IN"/>
        </w:rPr>
        <w:t>: Grew from 18 million in 2010 to 25 million in 2017, indicating successful market penetration and customer engagement strategies.</w:t>
      </w:r>
    </w:p>
    <w:p w14:paraId="781A96C1" w14:textId="77777777" w:rsidR="00104603" w:rsidRPr="00104603" w:rsidRDefault="00104603" w:rsidP="00104603">
      <w:pPr>
        <w:rPr>
          <w:sz w:val="24"/>
          <w:szCs w:val="24"/>
          <w:lang w:eastAsia="en-IN"/>
        </w:rPr>
      </w:pPr>
      <w:r w:rsidRPr="00104603">
        <w:rPr>
          <w:b/>
          <w:bCs/>
          <w:sz w:val="24"/>
          <w:szCs w:val="24"/>
          <w:lang w:eastAsia="en-IN"/>
        </w:rPr>
        <w:t>Citigroup:</w:t>
      </w:r>
    </w:p>
    <w:p w14:paraId="2F166BAA" w14:textId="77777777" w:rsidR="00104603" w:rsidRPr="00104603" w:rsidRDefault="00104603" w:rsidP="00104603">
      <w:pPr>
        <w:pStyle w:val="ListParagraph"/>
        <w:numPr>
          <w:ilvl w:val="0"/>
          <w:numId w:val="16"/>
        </w:numPr>
        <w:rPr>
          <w:sz w:val="24"/>
          <w:szCs w:val="24"/>
          <w:lang w:eastAsia="en-IN"/>
        </w:rPr>
      </w:pPr>
      <w:r w:rsidRPr="00104603">
        <w:rPr>
          <w:b/>
          <w:bCs/>
          <w:sz w:val="24"/>
          <w:szCs w:val="24"/>
          <w:lang w:eastAsia="en-IN"/>
        </w:rPr>
        <w:t>Consistency</w:t>
      </w:r>
      <w:r w:rsidRPr="00104603">
        <w:rPr>
          <w:sz w:val="24"/>
          <w:szCs w:val="24"/>
          <w:lang w:eastAsia="en-IN"/>
        </w:rPr>
        <w:t>: Expanded from 22 million in 2010 to 29 million in 2017, reflecting global presence and effective customer service initiatives.</w:t>
      </w:r>
    </w:p>
    <w:p w14:paraId="0A2D34D9" w14:textId="77777777" w:rsidR="00104603" w:rsidRPr="00104603" w:rsidRDefault="00104603" w:rsidP="00104603">
      <w:pPr>
        <w:rPr>
          <w:sz w:val="24"/>
          <w:szCs w:val="24"/>
          <w:lang w:eastAsia="en-IN"/>
        </w:rPr>
      </w:pPr>
      <w:r w:rsidRPr="00104603">
        <w:rPr>
          <w:b/>
          <w:bCs/>
          <w:sz w:val="24"/>
          <w:szCs w:val="24"/>
          <w:lang w:eastAsia="en-IN"/>
        </w:rPr>
        <w:t>Wells Fargo:</w:t>
      </w:r>
    </w:p>
    <w:p w14:paraId="03512561" w14:textId="77777777" w:rsidR="00104603" w:rsidRPr="00104603" w:rsidRDefault="00104603" w:rsidP="00104603">
      <w:pPr>
        <w:pStyle w:val="ListParagraph"/>
        <w:numPr>
          <w:ilvl w:val="0"/>
          <w:numId w:val="15"/>
        </w:numPr>
        <w:rPr>
          <w:sz w:val="24"/>
          <w:szCs w:val="24"/>
          <w:lang w:eastAsia="en-IN"/>
        </w:rPr>
      </w:pPr>
      <w:r w:rsidRPr="00104603">
        <w:rPr>
          <w:b/>
          <w:bCs/>
          <w:sz w:val="24"/>
          <w:szCs w:val="24"/>
          <w:lang w:eastAsia="en-IN"/>
        </w:rPr>
        <w:t>Gradual Increase</w:t>
      </w:r>
      <w:r w:rsidRPr="00104603">
        <w:rPr>
          <w:sz w:val="24"/>
          <w:szCs w:val="24"/>
          <w:lang w:eastAsia="en-IN"/>
        </w:rPr>
        <w:t>: Rose from 19 million in 2010 to 26 million in 2017, suggesting ongoing customer relationship management and service improvements.</w:t>
      </w:r>
    </w:p>
    <w:p w14:paraId="5B13A4B9" w14:textId="77777777" w:rsidR="00104603" w:rsidRPr="00104603" w:rsidRDefault="00104603" w:rsidP="00104603">
      <w:pPr>
        <w:pStyle w:val="ListParagraph"/>
        <w:numPr>
          <w:ilvl w:val="0"/>
          <w:numId w:val="15"/>
        </w:numPr>
        <w:rPr>
          <w:sz w:val="24"/>
          <w:szCs w:val="24"/>
          <w:lang w:eastAsia="en-IN"/>
        </w:rPr>
      </w:pPr>
      <w:r w:rsidRPr="00104603">
        <w:rPr>
          <w:b/>
          <w:bCs/>
          <w:sz w:val="24"/>
          <w:szCs w:val="24"/>
          <w:lang w:eastAsia="en-IN"/>
        </w:rPr>
        <w:t>Goldman Sachs:</w:t>
      </w:r>
    </w:p>
    <w:p w14:paraId="1BA326AD" w14:textId="77777777" w:rsidR="00104603" w:rsidRPr="00104603" w:rsidRDefault="00104603" w:rsidP="00104603">
      <w:pPr>
        <w:pStyle w:val="ListParagraph"/>
        <w:numPr>
          <w:ilvl w:val="0"/>
          <w:numId w:val="15"/>
        </w:numPr>
        <w:rPr>
          <w:sz w:val="24"/>
          <w:szCs w:val="24"/>
          <w:lang w:eastAsia="en-IN"/>
        </w:rPr>
      </w:pPr>
      <w:r w:rsidRPr="00104603">
        <w:rPr>
          <w:b/>
          <w:bCs/>
          <w:sz w:val="24"/>
          <w:szCs w:val="24"/>
          <w:lang w:eastAsia="en-IN"/>
        </w:rPr>
        <w:t>Expansion</w:t>
      </w:r>
      <w:r w:rsidRPr="00104603">
        <w:rPr>
          <w:sz w:val="24"/>
          <w:szCs w:val="24"/>
          <w:lang w:eastAsia="en-IN"/>
        </w:rPr>
        <w:t>: Increased from 21 million in 2010 to 28 million in 2017, highlighting growth in retail banking services and wealth management.</w:t>
      </w:r>
    </w:p>
    <w:p w14:paraId="5D0F80AE" w14:textId="77777777" w:rsidR="00104603" w:rsidRPr="00104603" w:rsidRDefault="00104603" w:rsidP="00104603">
      <w:pPr>
        <w:rPr>
          <w:sz w:val="24"/>
          <w:szCs w:val="24"/>
          <w:lang w:eastAsia="en-IN"/>
        </w:rPr>
      </w:pPr>
      <w:r w:rsidRPr="00104603">
        <w:rPr>
          <w:b/>
          <w:bCs/>
          <w:sz w:val="24"/>
          <w:szCs w:val="24"/>
          <w:lang w:eastAsia="en-IN"/>
        </w:rPr>
        <w:t>Key Points:</w:t>
      </w:r>
    </w:p>
    <w:p w14:paraId="36C87824" w14:textId="77777777" w:rsidR="00104603" w:rsidRPr="00104603" w:rsidRDefault="00104603" w:rsidP="00104603">
      <w:pPr>
        <w:pStyle w:val="ListParagraph"/>
        <w:numPr>
          <w:ilvl w:val="0"/>
          <w:numId w:val="14"/>
        </w:numPr>
        <w:rPr>
          <w:sz w:val="24"/>
          <w:szCs w:val="24"/>
          <w:lang w:eastAsia="en-IN"/>
        </w:rPr>
      </w:pPr>
      <w:r w:rsidRPr="00104603">
        <w:rPr>
          <w:b/>
          <w:bCs/>
          <w:sz w:val="24"/>
          <w:szCs w:val="24"/>
          <w:lang w:eastAsia="en-IN"/>
        </w:rPr>
        <w:t>Customer Growth</w:t>
      </w:r>
      <w:r w:rsidRPr="00104603">
        <w:rPr>
          <w:sz w:val="24"/>
          <w:szCs w:val="24"/>
          <w:lang w:eastAsia="en-IN"/>
        </w:rPr>
        <w:t>: Banks demonstrated consistent growth in retail banking customers, driven by effective strategies in customer acquisition and service enhancement.</w:t>
      </w:r>
    </w:p>
    <w:p w14:paraId="43B5CA41" w14:textId="77777777" w:rsidR="00104603" w:rsidRPr="00104603" w:rsidRDefault="00104603" w:rsidP="00104603">
      <w:pPr>
        <w:pStyle w:val="ListParagraph"/>
        <w:numPr>
          <w:ilvl w:val="0"/>
          <w:numId w:val="14"/>
        </w:numPr>
        <w:rPr>
          <w:sz w:val="24"/>
          <w:szCs w:val="24"/>
          <w:lang w:eastAsia="en-IN"/>
        </w:rPr>
      </w:pPr>
      <w:r w:rsidRPr="00104603">
        <w:rPr>
          <w:b/>
          <w:bCs/>
          <w:sz w:val="24"/>
          <w:szCs w:val="24"/>
          <w:lang w:eastAsia="en-IN"/>
        </w:rPr>
        <w:t>Market Presence</w:t>
      </w:r>
      <w:r w:rsidRPr="00104603">
        <w:rPr>
          <w:sz w:val="24"/>
          <w:szCs w:val="24"/>
          <w:lang w:eastAsia="en-IN"/>
        </w:rPr>
        <w:t xml:space="preserve">: Increasing customer </w:t>
      </w:r>
      <w:proofErr w:type="gramStart"/>
      <w:r w:rsidRPr="00104603">
        <w:rPr>
          <w:sz w:val="24"/>
          <w:szCs w:val="24"/>
          <w:lang w:eastAsia="en-IN"/>
        </w:rPr>
        <w:t>numbers</w:t>
      </w:r>
      <w:proofErr w:type="gramEnd"/>
      <w:r w:rsidRPr="00104603">
        <w:rPr>
          <w:sz w:val="24"/>
          <w:szCs w:val="24"/>
          <w:lang w:eastAsia="en-IN"/>
        </w:rPr>
        <w:t xml:space="preserve"> underscore banks' efforts to strengthen market presence and competitiveness in retail banking.</w:t>
      </w:r>
    </w:p>
    <w:p w14:paraId="301CFCE6" w14:textId="77777777" w:rsidR="00104603" w:rsidRPr="00104603" w:rsidRDefault="00104603" w:rsidP="00104603">
      <w:pPr>
        <w:pStyle w:val="ListParagraph"/>
        <w:numPr>
          <w:ilvl w:val="0"/>
          <w:numId w:val="14"/>
        </w:numPr>
        <w:rPr>
          <w:sz w:val="24"/>
          <w:szCs w:val="24"/>
          <w:lang w:eastAsia="en-IN"/>
        </w:rPr>
      </w:pPr>
      <w:r w:rsidRPr="00104603">
        <w:rPr>
          <w:b/>
          <w:bCs/>
          <w:sz w:val="24"/>
          <w:szCs w:val="24"/>
          <w:lang w:eastAsia="en-IN"/>
        </w:rPr>
        <w:t>Strategic Focus</w:t>
      </w:r>
      <w:r w:rsidRPr="00104603">
        <w:rPr>
          <w:sz w:val="24"/>
          <w:szCs w:val="24"/>
          <w:lang w:eastAsia="en-IN"/>
        </w:rPr>
        <w:t>: Investments in customer experience and digital banking likely contributed to customer retention and market expansion efforts.</w:t>
      </w:r>
    </w:p>
    <w:p w14:paraId="0B9279BF" w14:textId="7F682ADE" w:rsidR="00104603" w:rsidRPr="00104603" w:rsidRDefault="00104603" w:rsidP="00104603">
      <w:pPr>
        <w:rPr>
          <w:sz w:val="24"/>
          <w:szCs w:val="24"/>
          <w:lang w:eastAsia="en-IN"/>
        </w:rPr>
      </w:pPr>
      <w:r w:rsidRPr="00104603">
        <w:rPr>
          <w:sz w:val="24"/>
          <w:szCs w:val="24"/>
          <w:lang w:eastAsia="en-IN"/>
        </w:rPr>
        <w:t>This concise interpretation emphasizes the trends in customer acquisition and retention strategies among major banks in the retail banking sector, reflecting their efforts to enhance market position and customer satisfaction over the years.</w:t>
      </w:r>
    </w:p>
    <w:p w14:paraId="3430C7C1" w14:textId="75B3BE25" w:rsidR="00FB266D" w:rsidRPr="00FB266D" w:rsidRDefault="00FB266D" w:rsidP="00FB266D">
      <w:pPr>
        <w:pStyle w:val="Heading2"/>
        <w:rPr>
          <w:rFonts w:eastAsia="Times New Roman"/>
          <w:lang w:eastAsia="en-IN"/>
        </w:rPr>
      </w:pPr>
      <w:r w:rsidRPr="00FB266D">
        <w:rPr>
          <w:rFonts w:eastAsia="Times New Roman"/>
          <w:lang w:eastAsia="en-IN"/>
        </w:rPr>
        <w:t>6. Conclusion</w:t>
      </w:r>
    </w:p>
    <w:p w14:paraId="4E6C00EB" w14:textId="77777777" w:rsidR="00FB266D" w:rsidRPr="00FB266D" w:rsidRDefault="00FB266D" w:rsidP="00FB266D">
      <w:pPr>
        <w:spacing w:before="100" w:beforeAutospacing="1" w:after="100" w:afterAutospacing="1" w:line="240" w:lineRule="auto"/>
        <w:rPr>
          <w:rFonts w:eastAsia="Times New Roman" w:cs="Times New Roman"/>
          <w:kern w:val="0"/>
          <w:sz w:val="24"/>
          <w:szCs w:val="24"/>
          <w:lang w:eastAsia="en-IN"/>
          <w14:ligatures w14:val="none"/>
        </w:rPr>
      </w:pPr>
      <w:r w:rsidRPr="00FB266D">
        <w:rPr>
          <w:rFonts w:eastAsia="Times New Roman" w:cs="Times New Roman"/>
          <w:kern w:val="0"/>
          <w:sz w:val="24"/>
          <w:szCs w:val="24"/>
          <w:lang w:eastAsia="en-IN"/>
          <w14:ligatures w14:val="none"/>
        </w:rPr>
        <w:t>The Volcker Rule and retail banking operations are crucial components of the financial system, each with distinct roles and impacts. The Volcker Rule aims to reduce systemic risk by restricting certain high-risk activities of banks, while retail banking focuses on providing essential financial services to individuals. The interplay between these two areas has led to strategic adjustments by banks, emphasizing the importance of compliance, innovation, and customer-centric approaches in today's financial landscape.</w:t>
      </w:r>
    </w:p>
    <w:p w14:paraId="7DE77ED8" w14:textId="77777777" w:rsidR="008A21E4" w:rsidRPr="00FB266D" w:rsidRDefault="008A21E4"/>
    <w:sectPr w:rsidR="008A21E4" w:rsidRPr="00FB266D" w:rsidSect="00104603">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57074"/>
    <w:multiLevelType w:val="multilevel"/>
    <w:tmpl w:val="A468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17E46"/>
    <w:multiLevelType w:val="multilevel"/>
    <w:tmpl w:val="2D12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94BE6"/>
    <w:multiLevelType w:val="hybridMultilevel"/>
    <w:tmpl w:val="F3A0E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069F7"/>
    <w:multiLevelType w:val="multilevel"/>
    <w:tmpl w:val="E986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1134D"/>
    <w:multiLevelType w:val="hybridMultilevel"/>
    <w:tmpl w:val="50A2A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1715CB"/>
    <w:multiLevelType w:val="hybridMultilevel"/>
    <w:tmpl w:val="A544D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9E4D16"/>
    <w:multiLevelType w:val="multilevel"/>
    <w:tmpl w:val="3546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260E5"/>
    <w:multiLevelType w:val="multilevel"/>
    <w:tmpl w:val="EF50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4796E"/>
    <w:multiLevelType w:val="hybridMultilevel"/>
    <w:tmpl w:val="738A0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D44FFF"/>
    <w:multiLevelType w:val="hybridMultilevel"/>
    <w:tmpl w:val="5F86E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2F6868"/>
    <w:multiLevelType w:val="hybridMultilevel"/>
    <w:tmpl w:val="8C1E0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A12A39"/>
    <w:multiLevelType w:val="multilevel"/>
    <w:tmpl w:val="ED56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45395F"/>
    <w:multiLevelType w:val="hybridMultilevel"/>
    <w:tmpl w:val="3C8E8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3E5E4C"/>
    <w:multiLevelType w:val="hybridMultilevel"/>
    <w:tmpl w:val="A1E8B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A46374"/>
    <w:multiLevelType w:val="hybridMultilevel"/>
    <w:tmpl w:val="F3964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E466BE"/>
    <w:multiLevelType w:val="multilevel"/>
    <w:tmpl w:val="8A8A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F26C4"/>
    <w:multiLevelType w:val="multilevel"/>
    <w:tmpl w:val="EE6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60DDB"/>
    <w:multiLevelType w:val="hybridMultilevel"/>
    <w:tmpl w:val="80A01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0B78C3"/>
    <w:multiLevelType w:val="hybridMultilevel"/>
    <w:tmpl w:val="635E6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700E7D"/>
    <w:multiLevelType w:val="hybridMultilevel"/>
    <w:tmpl w:val="1188C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8C3004"/>
    <w:multiLevelType w:val="multilevel"/>
    <w:tmpl w:val="6D92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D62B0"/>
    <w:multiLevelType w:val="hybridMultilevel"/>
    <w:tmpl w:val="7A44F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956F9C"/>
    <w:multiLevelType w:val="hybridMultilevel"/>
    <w:tmpl w:val="1F5A3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5D30CF"/>
    <w:multiLevelType w:val="multilevel"/>
    <w:tmpl w:val="6A48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D13503"/>
    <w:multiLevelType w:val="multilevel"/>
    <w:tmpl w:val="DAA4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77503A"/>
    <w:multiLevelType w:val="hybridMultilevel"/>
    <w:tmpl w:val="F6E07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C74D15"/>
    <w:multiLevelType w:val="hybridMultilevel"/>
    <w:tmpl w:val="BC940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F43E40"/>
    <w:multiLevelType w:val="hybridMultilevel"/>
    <w:tmpl w:val="AE1C0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374F1D"/>
    <w:multiLevelType w:val="hybridMultilevel"/>
    <w:tmpl w:val="BEF2F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D90A5C"/>
    <w:multiLevelType w:val="hybridMultilevel"/>
    <w:tmpl w:val="18BE8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9A65C3"/>
    <w:multiLevelType w:val="multilevel"/>
    <w:tmpl w:val="48DA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AA3C0E"/>
    <w:multiLevelType w:val="hybridMultilevel"/>
    <w:tmpl w:val="531E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AE1851"/>
    <w:multiLevelType w:val="hybridMultilevel"/>
    <w:tmpl w:val="FD706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D480610"/>
    <w:multiLevelType w:val="hybridMultilevel"/>
    <w:tmpl w:val="8B108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CB1768"/>
    <w:multiLevelType w:val="multilevel"/>
    <w:tmpl w:val="437E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211391">
    <w:abstractNumId w:val="3"/>
  </w:num>
  <w:num w:numId="2" w16cid:durableId="1186483250">
    <w:abstractNumId w:val="11"/>
  </w:num>
  <w:num w:numId="3" w16cid:durableId="2020689495">
    <w:abstractNumId w:val="30"/>
  </w:num>
  <w:num w:numId="4" w16cid:durableId="1976180162">
    <w:abstractNumId w:val="16"/>
  </w:num>
  <w:num w:numId="5" w16cid:durableId="1808009034">
    <w:abstractNumId w:val="23"/>
  </w:num>
  <w:num w:numId="6" w16cid:durableId="32122455">
    <w:abstractNumId w:val="24"/>
  </w:num>
  <w:num w:numId="7" w16cid:durableId="202519045">
    <w:abstractNumId w:val="7"/>
  </w:num>
  <w:num w:numId="8" w16cid:durableId="1775513729">
    <w:abstractNumId w:val="15"/>
  </w:num>
  <w:num w:numId="9" w16cid:durableId="1671758428">
    <w:abstractNumId w:val="0"/>
  </w:num>
  <w:num w:numId="10" w16cid:durableId="260796893">
    <w:abstractNumId w:val="20"/>
  </w:num>
  <w:num w:numId="11" w16cid:durableId="429857409">
    <w:abstractNumId w:val="34"/>
  </w:num>
  <w:num w:numId="12" w16cid:durableId="2139176720">
    <w:abstractNumId w:val="1"/>
  </w:num>
  <w:num w:numId="13" w16cid:durableId="471142450">
    <w:abstractNumId w:val="6"/>
  </w:num>
  <w:num w:numId="14" w16cid:durableId="330642870">
    <w:abstractNumId w:val="21"/>
  </w:num>
  <w:num w:numId="15" w16cid:durableId="169679919">
    <w:abstractNumId w:val="29"/>
  </w:num>
  <w:num w:numId="16" w16cid:durableId="1867400441">
    <w:abstractNumId w:val="22"/>
  </w:num>
  <w:num w:numId="17" w16cid:durableId="1026906848">
    <w:abstractNumId w:val="5"/>
  </w:num>
  <w:num w:numId="18" w16cid:durableId="599803249">
    <w:abstractNumId w:val="17"/>
  </w:num>
  <w:num w:numId="19" w16cid:durableId="1207108251">
    <w:abstractNumId w:val="14"/>
  </w:num>
  <w:num w:numId="20" w16cid:durableId="1892813248">
    <w:abstractNumId w:val="18"/>
  </w:num>
  <w:num w:numId="21" w16cid:durableId="644892209">
    <w:abstractNumId w:val="31"/>
  </w:num>
  <w:num w:numId="22" w16cid:durableId="868177055">
    <w:abstractNumId w:val="12"/>
  </w:num>
  <w:num w:numId="23" w16cid:durableId="969285203">
    <w:abstractNumId w:val="2"/>
  </w:num>
  <w:num w:numId="24" w16cid:durableId="2078429438">
    <w:abstractNumId w:val="28"/>
  </w:num>
  <w:num w:numId="25" w16cid:durableId="193275678">
    <w:abstractNumId w:val="26"/>
  </w:num>
  <w:num w:numId="26" w16cid:durableId="212694208">
    <w:abstractNumId w:val="19"/>
  </w:num>
  <w:num w:numId="27" w16cid:durableId="1417244967">
    <w:abstractNumId w:val="13"/>
  </w:num>
  <w:num w:numId="28" w16cid:durableId="1812746892">
    <w:abstractNumId w:val="33"/>
  </w:num>
  <w:num w:numId="29" w16cid:durableId="1017460553">
    <w:abstractNumId w:val="8"/>
  </w:num>
  <w:num w:numId="30" w16cid:durableId="1996449125">
    <w:abstractNumId w:val="10"/>
  </w:num>
  <w:num w:numId="31" w16cid:durableId="1687516767">
    <w:abstractNumId w:val="32"/>
  </w:num>
  <w:num w:numId="32" w16cid:durableId="641039470">
    <w:abstractNumId w:val="25"/>
  </w:num>
  <w:num w:numId="33" w16cid:durableId="1913538350">
    <w:abstractNumId w:val="27"/>
  </w:num>
  <w:num w:numId="34" w16cid:durableId="937906234">
    <w:abstractNumId w:val="4"/>
  </w:num>
  <w:num w:numId="35" w16cid:durableId="13687497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6D"/>
    <w:rsid w:val="00104603"/>
    <w:rsid w:val="0042734A"/>
    <w:rsid w:val="007B69D1"/>
    <w:rsid w:val="0088182B"/>
    <w:rsid w:val="008A21E4"/>
    <w:rsid w:val="00FB2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08927"/>
  <w15:chartTrackingRefBased/>
  <w15:docId w15:val="{3EEB498B-FE80-4F70-989B-524EB109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2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2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2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2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2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2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66D"/>
    <w:rPr>
      <w:rFonts w:eastAsiaTheme="majorEastAsia" w:cstheme="majorBidi"/>
      <w:color w:val="272727" w:themeColor="text1" w:themeTint="D8"/>
    </w:rPr>
  </w:style>
  <w:style w:type="paragraph" w:styleId="Title">
    <w:name w:val="Title"/>
    <w:basedOn w:val="Normal"/>
    <w:next w:val="Normal"/>
    <w:link w:val="TitleChar"/>
    <w:uiPriority w:val="10"/>
    <w:qFormat/>
    <w:rsid w:val="00FB2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66D"/>
    <w:pPr>
      <w:spacing w:before="160"/>
      <w:jc w:val="center"/>
    </w:pPr>
    <w:rPr>
      <w:i/>
      <w:iCs/>
      <w:color w:val="404040" w:themeColor="text1" w:themeTint="BF"/>
    </w:rPr>
  </w:style>
  <w:style w:type="character" w:customStyle="1" w:styleId="QuoteChar">
    <w:name w:val="Quote Char"/>
    <w:basedOn w:val="DefaultParagraphFont"/>
    <w:link w:val="Quote"/>
    <w:uiPriority w:val="29"/>
    <w:rsid w:val="00FB266D"/>
    <w:rPr>
      <w:i/>
      <w:iCs/>
      <w:color w:val="404040" w:themeColor="text1" w:themeTint="BF"/>
    </w:rPr>
  </w:style>
  <w:style w:type="paragraph" w:styleId="ListParagraph">
    <w:name w:val="List Paragraph"/>
    <w:basedOn w:val="Normal"/>
    <w:uiPriority w:val="34"/>
    <w:qFormat/>
    <w:rsid w:val="00FB266D"/>
    <w:pPr>
      <w:ind w:left="720"/>
      <w:contextualSpacing/>
    </w:pPr>
  </w:style>
  <w:style w:type="character" w:styleId="IntenseEmphasis">
    <w:name w:val="Intense Emphasis"/>
    <w:basedOn w:val="DefaultParagraphFont"/>
    <w:uiPriority w:val="21"/>
    <w:qFormat/>
    <w:rsid w:val="00FB266D"/>
    <w:rPr>
      <w:i/>
      <w:iCs/>
      <w:color w:val="0F4761" w:themeColor="accent1" w:themeShade="BF"/>
    </w:rPr>
  </w:style>
  <w:style w:type="paragraph" w:styleId="IntenseQuote">
    <w:name w:val="Intense Quote"/>
    <w:basedOn w:val="Normal"/>
    <w:next w:val="Normal"/>
    <w:link w:val="IntenseQuoteChar"/>
    <w:uiPriority w:val="30"/>
    <w:qFormat/>
    <w:rsid w:val="00FB2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66D"/>
    <w:rPr>
      <w:i/>
      <w:iCs/>
      <w:color w:val="0F4761" w:themeColor="accent1" w:themeShade="BF"/>
    </w:rPr>
  </w:style>
  <w:style w:type="character" w:styleId="IntenseReference">
    <w:name w:val="Intense Reference"/>
    <w:basedOn w:val="DefaultParagraphFont"/>
    <w:uiPriority w:val="32"/>
    <w:qFormat/>
    <w:rsid w:val="00FB266D"/>
    <w:rPr>
      <w:b/>
      <w:bCs/>
      <w:smallCaps/>
      <w:color w:val="0F4761" w:themeColor="accent1" w:themeShade="BF"/>
      <w:spacing w:val="5"/>
    </w:rPr>
  </w:style>
  <w:style w:type="paragraph" w:styleId="NormalWeb">
    <w:name w:val="Normal (Web)"/>
    <w:basedOn w:val="Normal"/>
    <w:uiPriority w:val="99"/>
    <w:semiHidden/>
    <w:unhideWhenUsed/>
    <w:rsid w:val="00FB26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266D"/>
    <w:rPr>
      <w:b/>
      <w:bCs/>
    </w:rPr>
  </w:style>
  <w:style w:type="table" w:styleId="TableGrid">
    <w:name w:val="Table Grid"/>
    <w:basedOn w:val="TableNormal"/>
    <w:uiPriority w:val="39"/>
    <w:rsid w:val="00427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08270">
      <w:bodyDiv w:val="1"/>
      <w:marLeft w:val="0"/>
      <w:marRight w:val="0"/>
      <w:marTop w:val="0"/>
      <w:marBottom w:val="0"/>
      <w:divBdr>
        <w:top w:val="none" w:sz="0" w:space="0" w:color="auto"/>
        <w:left w:val="none" w:sz="0" w:space="0" w:color="auto"/>
        <w:bottom w:val="none" w:sz="0" w:space="0" w:color="auto"/>
        <w:right w:val="none" w:sz="0" w:space="0" w:color="auto"/>
      </w:divBdr>
    </w:div>
    <w:div w:id="188957312">
      <w:bodyDiv w:val="1"/>
      <w:marLeft w:val="0"/>
      <w:marRight w:val="0"/>
      <w:marTop w:val="0"/>
      <w:marBottom w:val="0"/>
      <w:divBdr>
        <w:top w:val="none" w:sz="0" w:space="0" w:color="auto"/>
        <w:left w:val="none" w:sz="0" w:space="0" w:color="auto"/>
        <w:bottom w:val="none" w:sz="0" w:space="0" w:color="auto"/>
        <w:right w:val="none" w:sz="0" w:space="0" w:color="auto"/>
      </w:divBdr>
    </w:div>
    <w:div w:id="193275992">
      <w:bodyDiv w:val="1"/>
      <w:marLeft w:val="0"/>
      <w:marRight w:val="0"/>
      <w:marTop w:val="0"/>
      <w:marBottom w:val="0"/>
      <w:divBdr>
        <w:top w:val="none" w:sz="0" w:space="0" w:color="auto"/>
        <w:left w:val="none" w:sz="0" w:space="0" w:color="auto"/>
        <w:bottom w:val="none" w:sz="0" w:space="0" w:color="auto"/>
        <w:right w:val="none" w:sz="0" w:space="0" w:color="auto"/>
      </w:divBdr>
    </w:div>
    <w:div w:id="289820947">
      <w:bodyDiv w:val="1"/>
      <w:marLeft w:val="0"/>
      <w:marRight w:val="0"/>
      <w:marTop w:val="0"/>
      <w:marBottom w:val="0"/>
      <w:divBdr>
        <w:top w:val="none" w:sz="0" w:space="0" w:color="auto"/>
        <w:left w:val="none" w:sz="0" w:space="0" w:color="auto"/>
        <w:bottom w:val="none" w:sz="0" w:space="0" w:color="auto"/>
        <w:right w:val="none" w:sz="0" w:space="0" w:color="auto"/>
      </w:divBdr>
    </w:div>
    <w:div w:id="339355947">
      <w:bodyDiv w:val="1"/>
      <w:marLeft w:val="0"/>
      <w:marRight w:val="0"/>
      <w:marTop w:val="0"/>
      <w:marBottom w:val="0"/>
      <w:divBdr>
        <w:top w:val="none" w:sz="0" w:space="0" w:color="auto"/>
        <w:left w:val="none" w:sz="0" w:space="0" w:color="auto"/>
        <w:bottom w:val="none" w:sz="0" w:space="0" w:color="auto"/>
        <w:right w:val="none" w:sz="0" w:space="0" w:color="auto"/>
      </w:divBdr>
    </w:div>
    <w:div w:id="913512240">
      <w:bodyDiv w:val="1"/>
      <w:marLeft w:val="0"/>
      <w:marRight w:val="0"/>
      <w:marTop w:val="0"/>
      <w:marBottom w:val="0"/>
      <w:divBdr>
        <w:top w:val="none" w:sz="0" w:space="0" w:color="auto"/>
        <w:left w:val="none" w:sz="0" w:space="0" w:color="auto"/>
        <w:bottom w:val="none" w:sz="0" w:space="0" w:color="auto"/>
        <w:right w:val="none" w:sz="0" w:space="0" w:color="auto"/>
      </w:divBdr>
    </w:div>
    <w:div w:id="1172377168">
      <w:bodyDiv w:val="1"/>
      <w:marLeft w:val="0"/>
      <w:marRight w:val="0"/>
      <w:marTop w:val="0"/>
      <w:marBottom w:val="0"/>
      <w:divBdr>
        <w:top w:val="none" w:sz="0" w:space="0" w:color="auto"/>
        <w:left w:val="none" w:sz="0" w:space="0" w:color="auto"/>
        <w:bottom w:val="none" w:sz="0" w:space="0" w:color="auto"/>
        <w:right w:val="none" w:sz="0" w:space="0" w:color="auto"/>
      </w:divBdr>
    </w:div>
    <w:div w:id="1276788476">
      <w:bodyDiv w:val="1"/>
      <w:marLeft w:val="0"/>
      <w:marRight w:val="0"/>
      <w:marTop w:val="0"/>
      <w:marBottom w:val="0"/>
      <w:divBdr>
        <w:top w:val="none" w:sz="0" w:space="0" w:color="auto"/>
        <w:left w:val="none" w:sz="0" w:space="0" w:color="auto"/>
        <w:bottom w:val="none" w:sz="0" w:space="0" w:color="auto"/>
        <w:right w:val="none" w:sz="0" w:space="0" w:color="auto"/>
      </w:divBdr>
    </w:div>
    <w:div w:id="1587807315">
      <w:bodyDiv w:val="1"/>
      <w:marLeft w:val="0"/>
      <w:marRight w:val="0"/>
      <w:marTop w:val="0"/>
      <w:marBottom w:val="0"/>
      <w:divBdr>
        <w:top w:val="none" w:sz="0" w:space="0" w:color="auto"/>
        <w:left w:val="none" w:sz="0" w:space="0" w:color="auto"/>
        <w:bottom w:val="none" w:sz="0" w:space="0" w:color="auto"/>
        <w:right w:val="none" w:sz="0" w:space="0" w:color="auto"/>
      </w:divBdr>
    </w:div>
    <w:div w:id="1648436572">
      <w:bodyDiv w:val="1"/>
      <w:marLeft w:val="0"/>
      <w:marRight w:val="0"/>
      <w:marTop w:val="0"/>
      <w:marBottom w:val="0"/>
      <w:divBdr>
        <w:top w:val="none" w:sz="0" w:space="0" w:color="auto"/>
        <w:left w:val="none" w:sz="0" w:space="0" w:color="auto"/>
        <w:bottom w:val="none" w:sz="0" w:space="0" w:color="auto"/>
        <w:right w:val="none" w:sz="0" w:space="0" w:color="auto"/>
      </w:divBdr>
    </w:div>
    <w:div w:id="1887716113">
      <w:bodyDiv w:val="1"/>
      <w:marLeft w:val="0"/>
      <w:marRight w:val="0"/>
      <w:marTop w:val="0"/>
      <w:marBottom w:val="0"/>
      <w:divBdr>
        <w:top w:val="none" w:sz="0" w:space="0" w:color="auto"/>
        <w:left w:val="none" w:sz="0" w:space="0" w:color="auto"/>
        <w:bottom w:val="none" w:sz="0" w:space="0" w:color="auto"/>
        <w:right w:val="none" w:sz="0" w:space="0" w:color="auto"/>
      </w:divBdr>
    </w:div>
    <w:div w:id="1942100845">
      <w:bodyDiv w:val="1"/>
      <w:marLeft w:val="0"/>
      <w:marRight w:val="0"/>
      <w:marTop w:val="0"/>
      <w:marBottom w:val="0"/>
      <w:divBdr>
        <w:top w:val="none" w:sz="0" w:space="0" w:color="auto"/>
        <w:left w:val="none" w:sz="0" w:space="0" w:color="auto"/>
        <w:bottom w:val="none" w:sz="0" w:space="0" w:color="auto"/>
        <w:right w:val="none" w:sz="0" w:space="0" w:color="auto"/>
      </w:divBdr>
    </w:div>
    <w:div w:id="194727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Impact of Volcker Rule on Proprietary Trading Revenue (in USD Million)</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c:f>
              <c:strCache>
                <c:ptCount val="1"/>
                <c:pt idx="0">
                  <c:v>JPMorgan Chase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Sheet1!$A$4:$A$11</c:f>
              <c:numCache>
                <c:formatCode>General</c:formatCode>
                <c:ptCount val="8"/>
                <c:pt idx="0">
                  <c:v>2010</c:v>
                </c:pt>
                <c:pt idx="1">
                  <c:v>2011</c:v>
                </c:pt>
                <c:pt idx="2">
                  <c:v>2012</c:v>
                </c:pt>
                <c:pt idx="3">
                  <c:v>2013</c:v>
                </c:pt>
                <c:pt idx="4">
                  <c:v>2014</c:v>
                </c:pt>
                <c:pt idx="5">
                  <c:v>2015</c:v>
                </c:pt>
                <c:pt idx="6">
                  <c:v>2016</c:v>
                </c:pt>
                <c:pt idx="7">
                  <c:v>2017</c:v>
                </c:pt>
              </c:numCache>
            </c:numRef>
          </c:cat>
          <c:val>
            <c:numRef>
              <c:f>Sheet1!$B$4:$B$11</c:f>
              <c:numCache>
                <c:formatCode>#,##0</c:formatCode>
                <c:ptCount val="8"/>
                <c:pt idx="0">
                  <c:v>1200</c:v>
                </c:pt>
                <c:pt idx="1">
                  <c:v>1150</c:v>
                </c:pt>
                <c:pt idx="2">
                  <c:v>1000</c:v>
                </c:pt>
                <c:pt idx="3" formatCode="General">
                  <c:v>900</c:v>
                </c:pt>
                <c:pt idx="4" formatCode="General">
                  <c:v>700</c:v>
                </c:pt>
                <c:pt idx="5" formatCode="General">
                  <c:v>500</c:v>
                </c:pt>
                <c:pt idx="6" formatCode="General">
                  <c:v>450</c:v>
                </c:pt>
                <c:pt idx="7" formatCode="General">
                  <c:v>400</c:v>
                </c:pt>
              </c:numCache>
            </c:numRef>
          </c:val>
          <c:smooth val="0"/>
          <c:extLst>
            <c:ext xmlns:c16="http://schemas.microsoft.com/office/drawing/2014/chart" uri="{C3380CC4-5D6E-409C-BE32-E72D297353CC}">
              <c16:uniqueId val="{00000000-FFEE-4447-AC16-50CD3EEF3C88}"/>
            </c:ext>
          </c:extLst>
        </c:ser>
        <c:ser>
          <c:idx val="1"/>
          <c:order val="1"/>
          <c:tx>
            <c:strRef>
              <c:f>Sheet1!$C$3</c:f>
              <c:strCache>
                <c:ptCount val="1"/>
                <c:pt idx="0">
                  <c:v>Bank of America</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Sheet1!$A$4:$A$11</c:f>
              <c:numCache>
                <c:formatCode>General</c:formatCode>
                <c:ptCount val="8"/>
                <c:pt idx="0">
                  <c:v>2010</c:v>
                </c:pt>
                <c:pt idx="1">
                  <c:v>2011</c:v>
                </c:pt>
                <c:pt idx="2">
                  <c:v>2012</c:v>
                </c:pt>
                <c:pt idx="3">
                  <c:v>2013</c:v>
                </c:pt>
                <c:pt idx="4">
                  <c:v>2014</c:v>
                </c:pt>
                <c:pt idx="5">
                  <c:v>2015</c:v>
                </c:pt>
                <c:pt idx="6">
                  <c:v>2016</c:v>
                </c:pt>
                <c:pt idx="7">
                  <c:v>2017</c:v>
                </c:pt>
              </c:numCache>
            </c:numRef>
          </c:cat>
          <c:val>
            <c:numRef>
              <c:f>Sheet1!$C$4:$C$11</c:f>
              <c:numCache>
                <c:formatCode>General</c:formatCode>
                <c:ptCount val="8"/>
                <c:pt idx="0">
                  <c:v>950</c:v>
                </c:pt>
                <c:pt idx="1">
                  <c:v>900</c:v>
                </c:pt>
                <c:pt idx="2">
                  <c:v>850</c:v>
                </c:pt>
                <c:pt idx="3">
                  <c:v>750</c:v>
                </c:pt>
                <c:pt idx="4">
                  <c:v>600</c:v>
                </c:pt>
                <c:pt idx="5">
                  <c:v>450</c:v>
                </c:pt>
                <c:pt idx="6">
                  <c:v>400</c:v>
                </c:pt>
                <c:pt idx="7">
                  <c:v>350</c:v>
                </c:pt>
              </c:numCache>
            </c:numRef>
          </c:val>
          <c:smooth val="0"/>
          <c:extLst>
            <c:ext xmlns:c16="http://schemas.microsoft.com/office/drawing/2014/chart" uri="{C3380CC4-5D6E-409C-BE32-E72D297353CC}">
              <c16:uniqueId val="{00000001-FFEE-4447-AC16-50CD3EEF3C88}"/>
            </c:ext>
          </c:extLst>
        </c:ser>
        <c:ser>
          <c:idx val="2"/>
          <c:order val="2"/>
          <c:tx>
            <c:strRef>
              <c:f>Sheet1!$D$3</c:f>
              <c:strCache>
                <c:ptCount val="1"/>
                <c:pt idx="0">
                  <c:v>Citigroup</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Sheet1!$A$4:$A$11</c:f>
              <c:numCache>
                <c:formatCode>General</c:formatCode>
                <c:ptCount val="8"/>
                <c:pt idx="0">
                  <c:v>2010</c:v>
                </c:pt>
                <c:pt idx="1">
                  <c:v>2011</c:v>
                </c:pt>
                <c:pt idx="2">
                  <c:v>2012</c:v>
                </c:pt>
                <c:pt idx="3">
                  <c:v>2013</c:v>
                </c:pt>
                <c:pt idx="4">
                  <c:v>2014</c:v>
                </c:pt>
                <c:pt idx="5">
                  <c:v>2015</c:v>
                </c:pt>
                <c:pt idx="6">
                  <c:v>2016</c:v>
                </c:pt>
                <c:pt idx="7">
                  <c:v>2017</c:v>
                </c:pt>
              </c:numCache>
            </c:numRef>
          </c:cat>
          <c:val>
            <c:numRef>
              <c:f>Sheet1!$D$4:$D$11</c:f>
              <c:numCache>
                <c:formatCode>#,##0</c:formatCode>
                <c:ptCount val="8"/>
                <c:pt idx="0">
                  <c:v>1500</c:v>
                </c:pt>
                <c:pt idx="1">
                  <c:v>1450</c:v>
                </c:pt>
                <c:pt idx="2">
                  <c:v>1300</c:v>
                </c:pt>
                <c:pt idx="3">
                  <c:v>1200</c:v>
                </c:pt>
                <c:pt idx="4">
                  <c:v>1000</c:v>
                </c:pt>
                <c:pt idx="5" formatCode="General">
                  <c:v>800</c:v>
                </c:pt>
                <c:pt idx="6" formatCode="General">
                  <c:v>700</c:v>
                </c:pt>
                <c:pt idx="7" formatCode="General">
                  <c:v>600</c:v>
                </c:pt>
              </c:numCache>
            </c:numRef>
          </c:val>
          <c:smooth val="0"/>
          <c:extLst>
            <c:ext xmlns:c16="http://schemas.microsoft.com/office/drawing/2014/chart" uri="{C3380CC4-5D6E-409C-BE32-E72D297353CC}">
              <c16:uniqueId val="{00000002-FFEE-4447-AC16-50CD3EEF3C88}"/>
            </c:ext>
          </c:extLst>
        </c:ser>
        <c:ser>
          <c:idx val="3"/>
          <c:order val="3"/>
          <c:tx>
            <c:strRef>
              <c:f>Sheet1!$E$3</c:f>
              <c:strCache>
                <c:ptCount val="1"/>
                <c:pt idx="0">
                  <c:v>Wells Fargo</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Sheet1!$A$4:$A$11</c:f>
              <c:numCache>
                <c:formatCode>General</c:formatCode>
                <c:ptCount val="8"/>
                <c:pt idx="0">
                  <c:v>2010</c:v>
                </c:pt>
                <c:pt idx="1">
                  <c:v>2011</c:v>
                </c:pt>
                <c:pt idx="2">
                  <c:v>2012</c:v>
                </c:pt>
                <c:pt idx="3">
                  <c:v>2013</c:v>
                </c:pt>
                <c:pt idx="4">
                  <c:v>2014</c:v>
                </c:pt>
                <c:pt idx="5">
                  <c:v>2015</c:v>
                </c:pt>
                <c:pt idx="6">
                  <c:v>2016</c:v>
                </c:pt>
                <c:pt idx="7">
                  <c:v>2017</c:v>
                </c:pt>
              </c:numCache>
            </c:numRef>
          </c:cat>
          <c:val>
            <c:numRef>
              <c:f>Sheet1!$E$4:$E$11</c:f>
              <c:numCache>
                <c:formatCode>#,##0</c:formatCode>
                <c:ptCount val="8"/>
                <c:pt idx="0">
                  <c:v>1100</c:v>
                </c:pt>
                <c:pt idx="1">
                  <c:v>1050</c:v>
                </c:pt>
                <c:pt idx="2" formatCode="General">
                  <c:v>900</c:v>
                </c:pt>
                <c:pt idx="3" formatCode="General">
                  <c:v>800</c:v>
                </c:pt>
                <c:pt idx="4" formatCode="General">
                  <c:v>650</c:v>
                </c:pt>
                <c:pt idx="5" formatCode="General">
                  <c:v>500</c:v>
                </c:pt>
                <c:pt idx="6" formatCode="General">
                  <c:v>450</c:v>
                </c:pt>
                <c:pt idx="7" formatCode="General">
                  <c:v>400</c:v>
                </c:pt>
              </c:numCache>
            </c:numRef>
          </c:val>
          <c:smooth val="0"/>
          <c:extLst>
            <c:ext xmlns:c16="http://schemas.microsoft.com/office/drawing/2014/chart" uri="{C3380CC4-5D6E-409C-BE32-E72D297353CC}">
              <c16:uniqueId val="{00000003-FFEE-4447-AC16-50CD3EEF3C88}"/>
            </c:ext>
          </c:extLst>
        </c:ser>
        <c:ser>
          <c:idx val="4"/>
          <c:order val="4"/>
          <c:tx>
            <c:strRef>
              <c:f>Sheet1!$F$3</c:f>
              <c:strCache>
                <c:ptCount val="1"/>
                <c:pt idx="0">
                  <c:v>Goldman Sachs</c:v>
                </c:pt>
              </c:strCache>
            </c:strRef>
          </c:tx>
          <c:spPr>
            <a:ln w="2857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Sheet1!$A$4:$A$11</c:f>
              <c:numCache>
                <c:formatCode>General</c:formatCode>
                <c:ptCount val="8"/>
                <c:pt idx="0">
                  <c:v>2010</c:v>
                </c:pt>
                <c:pt idx="1">
                  <c:v>2011</c:v>
                </c:pt>
                <c:pt idx="2">
                  <c:v>2012</c:v>
                </c:pt>
                <c:pt idx="3">
                  <c:v>2013</c:v>
                </c:pt>
                <c:pt idx="4">
                  <c:v>2014</c:v>
                </c:pt>
                <c:pt idx="5">
                  <c:v>2015</c:v>
                </c:pt>
                <c:pt idx="6">
                  <c:v>2016</c:v>
                </c:pt>
                <c:pt idx="7">
                  <c:v>2017</c:v>
                </c:pt>
              </c:numCache>
            </c:numRef>
          </c:cat>
          <c:val>
            <c:numRef>
              <c:f>Sheet1!$F$4:$F$11</c:f>
              <c:numCache>
                <c:formatCode>#,##0</c:formatCode>
                <c:ptCount val="8"/>
                <c:pt idx="0">
                  <c:v>1300</c:v>
                </c:pt>
                <c:pt idx="1">
                  <c:v>1250</c:v>
                </c:pt>
                <c:pt idx="2">
                  <c:v>1100</c:v>
                </c:pt>
                <c:pt idx="3">
                  <c:v>1000</c:v>
                </c:pt>
                <c:pt idx="4" formatCode="General">
                  <c:v>850</c:v>
                </c:pt>
                <c:pt idx="5" formatCode="General">
                  <c:v>600</c:v>
                </c:pt>
                <c:pt idx="6" formatCode="General">
                  <c:v>550</c:v>
                </c:pt>
                <c:pt idx="7" formatCode="General">
                  <c:v>500</c:v>
                </c:pt>
              </c:numCache>
            </c:numRef>
          </c:val>
          <c:smooth val="0"/>
          <c:extLst>
            <c:ext xmlns:c16="http://schemas.microsoft.com/office/drawing/2014/chart" uri="{C3380CC4-5D6E-409C-BE32-E72D297353CC}">
              <c16:uniqueId val="{00000004-FFEE-4447-AC16-50CD3EEF3C88}"/>
            </c:ext>
          </c:extLst>
        </c:ser>
        <c:dLbls>
          <c:dLblPos val="t"/>
          <c:showLegendKey val="0"/>
          <c:showVal val="1"/>
          <c:showCatName val="0"/>
          <c:showSerName val="0"/>
          <c:showPercent val="0"/>
          <c:showBubbleSize val="0"/>
        </c:dLbls>
        <c:smooth val="0"/>
        <c:axId val="701441919"/>
        <c:axId val="701449119"/>
      </c:lineChart>
      <c:catAx>
        <c:axId val="701441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9119"/>
        <c:crosses val="autoZero"/>
        <c:auto val="1"/>
        <c:lblAlgn val="ctr"/>
        <c:lblOffset val="100"/>
        <c:noMultiLvlLbl val="0"/>
      </c:catAx>
      <c:valAx>
        <c:axId val="7014491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Retail Banking Revenue by Product Category (in USD Million)</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Sheet2!$B$3</c:f>
              <c:strCache>
                <c:ptCount val="1"/>
                <c:pt idx="0">
                  <c:v>Deposits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Sheet2!$A$4:$A$11</c:f>
              <c:numCache>
                <c:formatCode>General</c:formatCode>
                <c:ptCount val="8"/>
                <c:pt idx="0">
                  <c:v>2010</c:v>
                </c:pt>
                <c:pt idx="1">
                  <c:v>2011</c:v>
                </c:pt>
                <c:pt idx="2">
                  <c:v>2012</c:v>
                </c:pt>
                <c:pt idx="3">
                  <c:v>2013</c:v>
                </c:pt>
                <c:pt idx="4">
                  <c:v>2014</c:v>
                </c:pt>
                <c:pt idx="5">
                  <c:v>2015</c:v>
                </c:pt>
                <c:pt idx="6">
                  <c:v>2016</c:v>
                </c:pt>
                <c:pt idx="7">
                  <c:v>2017</c:v>
                </c:pt>
              </c:numCache>
            </c:numRef>
          </c:xVal>
          <c:yVal>
            <c:numRef>
              <c:f>Sheet2!$B$4:$B$11</c:f>
              <c:numCache>
                <c:formatCode>General</c:formatCode>
                <c:ptCount val="8"/>
                <c:pt idx="0">
                  <c:v>500</c:v>
                </c:pt>
                <c:pt idx="1">
                  <c:v>550</c:v>
                </c:pt>
                <c:pt idx="2">
                  <c:v>600</c:v>
                </c:pt>
                <c:pt idx="3">
                  <c:v>650</c:v>
                </c:pt>
                <c:pt idx="4">
                  <c:v>700</c:v>
                </c:pt>
                <c:pt idx="5">
                  <c:v>750</c:v>
                </c:pt>
                <c:pt idx="6">
                  <c:v>800</c:v>
                </c:pt>
                <c:pt idx="7">
                  <c:v>850</c:v>
                </c:pt>
              </c:numCache>
            </c:numRef>
          </c:yVal>
          <c:smooth val="0"/>
          <c:extLst>
            <c:ext xmlns:c16="http://schemas.microsoft.com/office/drawing/2014/chart" uri="{C3380CC4-5D6E-409C-BE32-E72D297353CC}">
              <c16:uniqueId val="{00000000-2BDD-43BB-B9D4-A79B2D5F7C76}"/>
            </c:ext>
          </c:extLst>
        </c:ser>
        <c:ser>
          <c:idx val="1"/>
          <c:order val="1"/>
          <c:tx>
            <c:strRef>
              <c:f>Sheet2!$C$3</c:f>
              <c:strCache>
                <c:ptCount val="1"/>
                <c:pt idx="0">
                  <c:v>Loans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Sheet2!$A$4:$A$11</c:f>
              <c:numCache>
                <c:formatCode>General</c:formatCode>
                <c:ptCount val="8"/>
                <c:pt idx="0">
                  <c:v>2010</c:v>
                </c:pt>
                <c:pt idx="1">
                  <c:v>2011</c:v>
                </c:pt>
                <c:pt idx="2">
                  <c:v>2012</c:v>
                </c:pt>
                <c:pt idx="3">
                  <c:v>2013</c:v>
                </c:pt>
                <c:pt idx="4">
                  <c:v>2014</c:v>
                </c:pt>
                <c:pt idx="5">
                  <c:v>2015</c:v>
                </c:pt>
                <c:pt idx="6">
                  <c:v>2016</c:v>
                </c:pt>
                <c:pt idx="7">
                  <c:v>2017</c:v>
                </c:pt>
              </c:numCache>
            </c:numRef>
          </c:xVal>
          <c:yVal>
            <c:numRef>
              <c:f>Sheet2!$C$4:$C$11</c:f>
              <c:numCache>
                <c:formatCode>General</c:formatCode>
                <c:ptCount val="8"/>
                <c:pt idx="0">
                  <c:v>600</c:v>
                </c:pt>
                <c:pt idx="1">
                  <c:v>650</c:v>
                </c:pt>
                <c:pt idx="2">
                  <c:v>700</c:v>
                </c:pt>
                <c:pt idx="3">
                  <c:v>750</c:v>
                </c:pt>
                <c:pt idx="4">
                  <c:v>800</c:v>
                </c:pt>
                <c:pt idx="5">
                  <c:v>850</c:v>
                </c:pt>
                <c:pt idx="6">
                  <c:v>900</c:v>
                </c:pt>
                <c:pt idx="7">
                  <c:v>950</c:v>
                </c:pt>
              </c:numCache>
            </c:numRef>
          </c:yVal>
          <c:smooth val="0"/>
          <c:extLst>
            <c:ext xmlns:c16="http://schemas.microsoft.com/office/drawing/2014/chart" uri="{C3380CC4-5D6E-409C-BE32-E72D297353CC}">
              <c16:uniqueId val="{00000001-2BDD-43BB-B9D4-A79B2D5F7C76}"/>
            </c:ext>
          </c:extLst>
        </c:ser>
        <c:ser>
          <c:idx val="2"/>
          <c:order val="2"/>
          <c:tx>
            <c:strRef>
              <c:f>Sheet2!$D$3</c:f>
              <c:strCache>
                <c:ptCount val="1"/>
                <c:pt idx="0">
                  <c:v>Credit Cards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Sheet2!$A$4:$A$11</c:f>
              <c:numCache>
                <c:formatCode>General</c:formatCode>
                <c:ptCount val="8"/>
                <c:pt idx="0">
                  <c:v>2010</c:v>
                </c:pt>
                <c:pt idx="1">
                  <c:v>2011</c:v>
                </c:pt>
                <c:pt idx="2">
                  <c:v>2012</c:v>
                </c:pt>
                <c:pt idx="3">
                  <c:v>2013</c:v>
                </c:pt>
                <c:pt idx="4">
                  <c:v>2014</c:v>
                </c:pt>
                <c:pt idx="5">
                  <c:v>2015</c:v>
                </c:pt>
                <c:pt idx="6">
                  <c:v>2016</c:v>
                </c:pt>
                <c:pt idx="7">
                  <c:v>2017</c:v>
                </c:pt>
              </c:numCache>
            </c:numRef>
          </c:xVal>
          <c:yVal>
            <c:numRef>
              <c:f>Sheet2!$D$4:$D$11</c:f>
              <c:numCache>
                <c:formatCode>General</c:formatCode>
                <c:ptCount val="8"/>
                <c:pt idx="0">
                  <c:v>200</c:v>
                </c:pt>
                <c:pt idx="1">
                  <c:v>220</c:v>
                </c:pt>
                <c:pt idx="2">
                  <c:v>240</c:v>
                </c:pt>
                <c:pt idx="3">
                  <c:v>260</c:v>
                </c:pt>
                <c:pt idx="4">
                  <c:v>280</c:v>
                </c:pt>
                <c:pt idx="5">
                  <c:v>300</c:v>
                </c:pt>
                <c:pt idx="6">
                  <c:v>320</c:v>
                </c:pt>
                <c:pt idx="7">
                  <c:v>340</c:v>
                </c:pt>
              </c:numCache>
            </c:numRef>
          </c:yVal>
          <c:smooth val="0"/>
          <c:extLst>
            <c:ext xmlns:c16="http://schemas.microsoft.com/office/drawing/2014/chart" uri="{C3380CC4-5D6E-409C-BE32-E72D297353CC}">
              <c16:uniqueId val="{00000002-2BDD-43BB-B9D4-A79B2D5F7C76}"/>
            </c:ext>
          </c:extLst>
        </c:ser>
        <c:ser>
          <c:idx val="3"/>
          <c:order val="3"/>
          <c:tx>
            <c:strRef>
              <c:f>Sheet2!$E$3</c:f>
              <c:strCache>
                <c:ptCount val="1"/>
                <c:pt idx="0">
                  <c:v>Wealth Management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Sheet2!$A$4:$A$11</c:f>
              <c:numCache>
                <c:formatCode>General</c:formatCode>
                <c:ptCount val="8"/>
                <c:pt idx="0">
                  <c:v>2010</c:v>
                </c:pt>
                <c:pt idx="1">
                  <c:v>2011</c:v>
                </c:pt>
                <c:pt idx="2">
                  <c:v>2012</c:v>
                </c:pt>
                <c:pt idx="3">
                  <c:v>2013</c:v>
                </c:pt>
                <c:pt idx="4">
                  <c:v>2014</c:v>
                </c:pt>
                <c:pt idx="5">
                  <c:v>2015</c:v>
                </c:pt>
                <c:pt idx="6">
                  <c:v>2016</c:v>
                </c:pt>
                <c:pt idx="7">
                  <c:v>2017</c:v>
                </c:pt>
              </c:numCache>
            </c:numRef>
          </c:xVal>
          <c:yVal>
            <c:numRef>
              <c:f>Sheet2!$E$4:$E$11</c:f>
              <c:numCache>
                <c:formatCode>General</c:formatCode>
                <c:ptCount val="8"/>
                <c:pt idx="0">
                  <c:v>150</c:v>
                </c:pt>
                <c:pt idx="1">
                  <c:v>160</c:v>
                </c:pt>
                <c:pt idx="2">
                  <c:v>170</c:v>
                </c:pt>
                <c:pt idx="3">
                  <c:v>180</c:v>
                </c:pt>
                <c:pt idx="4">
                  <c:v>200</c:v>
                </c:pt>
                <c:pt idx="5">
                  <c:v>220</c:v>
                </c:pt>
                <c:pt idx="6">
                  <c:v>240</c:v>
                </c:pt>
                <c:pt idx="7">
                  <c:v>260</c:v>
                </c:pt>
              </c:numCache>
            </c:numRef>
          </c:yVal>
          <c:smooth val="0"/>
          <c:extLst>
            <c:ext xmlns:c16="http://schemas.microsoft.com/office/drawing/2014/chart" uri="{C3380CC4-5D6E-409C-BE32-E72D297353CC}">
              <c16:uniqueId val="{00000003-2BDD-43BB-B9D4-A79B2D5F7C76}"/>
            </c:ext>
          </c:extLst>
        </c:ser>
        <c:dLbls>
          <c:dLblPos val="t"/>
          <c:showLegendKey val="0"/>
          <c:showVal val="1"/>
          <c:showCatName val="0"/>
          <c:showSerName val="0"/>
          <c:showPercent val="0"/>
          <c:showBubbleSize val="0"/>
        </c:dLbls>
        <c:axId val="599125535"/>
        <c:axId val="599147135"/>
      </c:scatterChart>
      <c:valAx>
        <c:axId val="5991255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147135"/>
        <c:crosses val="autoZero"/>
        <c:crossBetween val="midCat"/>
      </c:valAx>
      <c:valAx>
        <c:axId val="599147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125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Compliance Costs Related to Volcker Rule (in USD Million)</a:t>
            </a:r>
            <a:r>
              <a:rPr lang="en-IN" sz="1400" b="0" i="0" u="none" strike="noStrike" baseline="0"/>
              <a:t> </a:t>
            </a:r>
            <a:endParaRPr lang="en-IN"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Sheet3!$B$3</c:f>
              <c:strCache>
                <c:ptCount val="1"/>
                <c:pt idx="0">
                  <c:v>JPMorgan Chase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Sheet3!$A$4:$A$11</c:f>
              <c:numCache>
                <c:formatCode>General</c:formatCode>
                <c:ptCount val="8"/>
                <c:pt idx="0">
                  <c:v>2010</c:v>
                </c:pt>
                <c:pt idx="1">
                  <c:v>2011</c:v>
                </c:pt>
                <c:pt idx="2">
                  <c:v>2012</c:v>
                </c:pt>
                <c:pt idx="3">
                  <c:v>2013</c:v>
                </c:pt>
                <c:pt idx="4">
                  <c:v>2014</c:v>
                </c:pt>
                <c:pt idx="5">
                  <c:v>2015</c:v>
                </c:pt>
                <c:pt idx="6">
                  <c:v>2016</c:v>
                </c:pt>
                <c:pt idx="7">
                  <c:v>2017</c:v>
                </c:pt>
              </c:numCache>
            </c:numRef>
          </c:cat>
          <c:val>
            <c:numRef>
              <c:f>Sheet3!$B$4:$B$11</c:f>
              <c:numCache>
                <c:formatCode>General</c:formatCode>
                <c:ptCount val="8"/>
                <c:pt idx="0">
                  <c:v>50</c:v>
                </c:pt>
                <c:pt idx="1">
                  <c:v>55</c:v>
                </c:pt>
                <c:pt idx="2">
                  <c:v>60</c:v>
                </c:pt>
                <c:pt idx="3">
                  <c:v>65</c:v>
                </c:pt>
                <c:pt idx="4">
                  <c:v>70</c:v>
                </c:pt>
                <c:pt idx="5">
                  <c:v>75</c:v>
                </c:pt>
                <c:pt idx="6">
                  <c:v>80</c:v>
                </c:pt>
                <c:pt idx="7">
                  <c:v>85</c:v>
                </c:pt>
              </c:numCache>
            </c:numRef>
          </c:val>
          <c:smooth val="0"/>
          <c:extLst>
            <c:ext xmlns:c16="http://schemas.microsoft.com/office/drawing/2014/chart" uri="{C3380CC4-5D6E-409C-BE32-E72D297353CC}">
              <c16:uniqueId val="{00000000-DF63-4775-978A-2DA1DA9C79FD}"/>
            </c:ext>
          </c:extLst>
        </c:ser>
        <c:ser>
          <c:idx val="1"/>
          <c:order val="1"/>
          <c:tx>
            <c:strRef>
              <c:f>Sheet3!$C$3</c:f>
              <c:strCache>
                <c:ptCount val="1"/>
                <c:pt idx="0">
                  <c:v>Bank of America</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Sheet3!$A$4:$A$11</c:f>
              <c:numCache>
                <c:formatCode>General</c:formatCode>
                <c:ptCount val="8"/>
                <c:pt idx="0">
                  <c:v>2010</c:v>
                </c:pt>
                <c:pt idx="1">
                  <c:v>2011</c:v>
                </c:pt>
                <c:pt idx="2">
                  <c:v>2012</c:v>
                </c:pt>
                <c:pt idx="3">
                  <c:v>2013</c:v>
                </c:pt>
                <c:pt idx="4">
                  <c:v>2014</c:v>
                </c:pt>
                <c:pt idx="5">
                  <c:v>2015</c:v>
                </c:pt>
                <c:pt idx="6">
                  <c:v>2016</c:v>
                </c:pt>
                <c:pt idx="7">
                  <c:v>2017</c:v>
                </c:pt>
              </c:numCache>
            </c:numRef>
          </c:cat>
          <c:val>
            <c:numRef>
              <c:f>Sheet3!$C$4:$C$11</c:f>
              <c:numCache>
                <c:formatCode>General</c:formatCode>
                <c:ptCount val="8"/>
                <c:pt idx="0">
                  <c:v>45</c:v>
                </c:pt>
                <c:pt idx="1">
                  <c:v>50</c:v>
                </c:pt>
                <c:pt idx="2">
                  <c:v>55</c:v>
                </c:pt>
                <c:pt idx="3">
                  <c:v>60</c:v>
                </c:pt>
                <c:pt idx="4">
                  <c:v>65</c:v>
                </c:pt>
                <c:pt idx="5">
                  <c:v>70</c:v>
                </c:pt>
                <c:pt idx="6">
                  <c:v>75</c:v>
                </c:pt>
                <c:pt idx="7">
                  <c:v>80</c:v>
                </c:pt>
              </c:numCache>
            </c:numRef>
          </c:val>
          <c:smooth val="0"/>
          <c:extLst>
            <c:ext xmlns:c16="http://schemas.microsoft.com/office/drawing/2014/chart" uri="{C3380CC4-5D6E-409C-BE32-E72D297353CC}">
              <c16:uniqueId val="{00000001-DF63-4775-978A-2DA1DA9C79FD}"/>
            </c:ext>
          </c:extLst>
        </c:ser>
        <c:ser>
          <c:idx val="2"/>
          <c:order val="2"/>
          <c:tx>
            <c:strRef>
              <c:f>Sheet3!$D$3</c:f>
              <c:strCache>
                <c:ptCount val="1"/>
                <c:pt idx="0">
                  <c:v>Citigroup</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Sheet3!$A$4:$A$11</c:f>
              <c:numCache>
                <c:formatCode>General</c:formatCode>
                <c:ptCount val="8"/>
                <c:pt idx="0">
                  <c:v>2010</c:v>
                </c:pt>
                <c:pt idx="1">
                  <c:v>2011</c:v>
                </c:pt>
                <c:pt idx="2">
                  <c:v>2012</c:v>
                </c:pt>
                <c:pt idx="3">
                  <c:v>2013</c:v>
                </c:pt>
                <c:pt idx="4">
                  <c:v>2014</c:v>
                </c:pt>
                <c:pt idx="5">
                  <c:v>2015</c:v>
                </c:pt>
                <c:pt idx="6">
                  <c:v>2016</c:v>
                </c:pt>
                <c:pt idx="7">
                  <c:v>2017</c:v>
                </c:pt>
              </c:numCache>
            </c:numRef>
          </c:cat>
          <c:val>
            <c:numRef>
              <c:f>Sheet3!$D$4:$D$11</c:f>
              <c:numCache>
                <c:formatCode>General</c:formatCode>
                <c:ptCount val="8"/>
                <c:pt idx="0">
                  <c:v>60</c:v>
                </c:pt>
                <c:pt idx="1">
                  <c:v>65</c:v>
                </c:pt>
                <c:pt idx="2">
                  <c:v>70</c:v>
                </c:pt>
                <c:pt idx="3">
                  <c:v>75</c:v>
                </c:pt>
                <c:pt idx="4">
                  <c:v>80</c:v>
                </c:pt>
                <c:pt idx="5">
                  <c:v>85</c:v>
                </c:pt>
                <c:pt idx="6">
                  <c:v>90</c:v>
                </c:pt>
                <c:pt idx="7">
                  <c:v>95</c:v>
                </c:pt>
              </c:numCache>
            </c:numRef>
          </c:val>
          <c:smooth val="0"/>
          <c:extLst>
            <c:ext xmlns:c16="http://schemas.microsoft.com/office/drawing/2014/chart" uri="{C3380CC4-5D6E-409C-BE32-E72D297353CC}">
              <c16:uniqueId val="{00000002-DF63-4775-978A-2DA1DA9C79FD}"/>
            </c:ext>
          </c:extLst>
        </c:ser>
        <c:ser>
          <c:idx val="3"/>
          <c:order val="3"/>
          <c:tx>
            <c:strRef>
              <c:f>Sheet3!$E$3</c:f>
              <c:strCache>
                <c:ptCount val="1"/>
                <c:pt idx="0">
                  <c:v>Wells Fargo</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Sheet3!$A$4:$A$11</c:f>
              <c:numCache>
                <c:formatCode>General</c:formatCode>
                <c:ptCount val="8"/>
                <c:pt idx="0">
                  <c:v>2010</c:v>
                </c:pt>
                <c:pt idx="1">
                  <c:v>2011</c:v>
                </c:pt>
                <c:pt idx="2">
                  <c:v>2012</c:v>
                </c:pt>
                <c:pt idx="3">
                  <c:v>2013</c:v>
                </c:pt>
                <c:pt idx="4">
                  <c:v>2014</c:v>
                </c:pt>
                <c:pt idx="5">
                  <c:v>2015</c:v>
                </c:pt>
                <c:pt idx="6">
                  <c:v>2016</c:v>
                </c:pt>
                <c:pt idx="7">
                  <c:v>2017</c:v>
                </c:pt>
              </c:numCache>
            </c:numRef>
          </c:cat>
          <c:val>
            <c:numRef>
              <c:f>Sheet3!$E$4:$E$11</c:f>
              <c:numCache>
                <c:formatCode>General</c:formatCode>
                <c:ptCount val="8"/>
                <c:pt idx="0">
                  <c:v>55</c:v>
                </c:pt>
                <c:pt idx="1">
                  <c:v>60</c:v>
                </c:pt>
                <c:pt idx="2">
                  <c:v>65</c:v>
                </c:pt>
                <c:pt idx="3">
                  <c:v>70</c:v>
                </c:pt>
                <c:pt idx="4">
                  <c:v>75</c:v>
                </c:pt>
                <c:pt idx="5">
                  <c:v>80</c:v>
                </c:pt>
                <c:pt idx="6">
                  <c:v>85</c:v>
                </c:pt>
                <c:pt idx="7">
                  <c:v>90</c:v>
                </c:pt>
              </c:numCache>
            </c:numRef>
          </c:val>
          <c:smooth val="0"/>
          <c:extLst>
            <c:ext xmlns:c16="http://schemas.microsoft.com/office/drawing/2014/chart" uri="{C3380CC4-5D6E-409C-BE32-E72D297353CC}">
              <c16:uniqueId val="{00000003-DF63-4775-978A-2DA1DA9C79FD}"/>
            </c:ext>
          </c:extLst>
        </c:ser>
        <c:ser>
          <c:idx val="4"/>
          <c:order val="4"/>
          <c:tx>
            <c:strRef>
              <c:f>Sheet3!$F$3</c:f>
              <c:strCache>
                <c:ptCount val="1"/>
                <c:pt idx="0">
                  <c:v>Goldman Sachs</c:v>
                </c:pt>
              </c:strCache>
            </c:strRef>
          </c:tx>
          <c:spPr>
            <a:ln w="2857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Sheet3!$A$4:$A$11</c:f>
              <c:numCache>
                <c:formatCode>General</c:formatCode>
                <c:ptCount val="8"/>
                <c:pt idx="0">
                  <c:v>2010</c:v>
                </c:pt>
                <c:pt idx="1">
                  <c:v>2011</c:v>
                </c:pt>
                <c:pt idx="2">
                  <c:v>2012</c:v>
                </c:pt>
                <c:pt idx="3">
                  <c:v>2013</c:v>
                </c:pt>
                <c:pt idx="4">
                  <c:v>2014</c:v>
                </c:pt>
                <c:pt idx="5">
                  <c:v>2015</c:v>
                </c:pt>
                <c:pt idx="6">
                  <c:v>2016</c:v>
                </c:pt>
                <c:pt idx="7">
                  <c:v>2017</c:v>
                </c:pt>
              </c:numCache>
            </c:numRef>
          </c:cat>
          <c:val>
            <c:numRef>
              <c:f>Sheet3!$F$4:$F$11</c:f>
              <c:numCache>
                <c:formatCode>General</c:formatCode>
                <c:ptCount val="8"/>
                <c:pt idx="0">
                  <c:v>50</c:v>
                </c:pt>
                <c:pt idx="1">
                  <c:v>55</c:v>
                </c:pt>
                <c:pt idx="2">
                  <c:v>60</c:v>
                </c:pt>
                <c:pt idx="3">
                  <c:v>65</c:v>
                </c:pt>
                <c:pt idx="4">
                  <c:v>70</c:v>
                </c:pt>
                <c:pt idx="5">
                  <c:v>75</c:v>
                </c:pt>
                <c:pt idx="6">
                  <c:v>80</c:v>
                </c:pt>
                <c:pt idx="7">
                  <c:v>85</c:v>
                </c:pt>
              </c:numCache>
            </c:numRef>
          </c:val>
          <c:smooth val="0"/>
          <c:extLst>
            <c:ext xmlns:c16="http://schemas.microsoft.com/office/drawing/2014/chart" uri="{C3380CC4-5D6E-409C-BE32-E72D297353CC}">
              <c16:uniqueId val="{00000004-DF63-4775-978A-2DA1DA9C79FD}"/>
            </c:ext>
          </c:extLst>
        </c:ser>
        <c:dLbls>
          <c:dLblPos val="t"/>
          <c:showLegendKey val="0"/>
          <c:showVal val="1"/>
          <c:showCatName val="0"/>
          <c:showSerName val="0"/>
          <c:showPercent val="0"/>
          <c:showBubbleSize val="0"/>
        </c:dLbls>
        <c:smooth val="0"/>
        <c:axId val="599143295"/>
        <c:axId val="599118335"/>
      </c:lineChart>
      <c:catAx>
        <c:axId val="599143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118335"/>
        <c:crosses val="autoZero"/>
        <c:auto val="1"/>
        <c:lblAlgn val="ctr"/>
        <c:lblOffset val="100"/>
        <c:noMultiLvlLbl val="0"/>
      </c:catAx>
      <c:valAx>
        <c:axId val="599118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143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Number of Retail Banking Customers (in Millions)</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Sheet4!$B$3</c:f>
              <c:strCache>
                <c:ptCount val="1"/>
                <c:pt idx="0">
                  <c:v>JPMorgan Chase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Sheet4!$A$4:$A$11</c:f>
              <c:numCache>
                <c:formatCode>General</c:formatCode>
                <c:ptCount val="8"/>
                <c:pt idx="0">
                  <c:v>2010</c:v>
                </c:pt>
                <c:pt idx="1">
                  <c:v>2011</c:v>
                </c:pt>
                <c:pt idx="2">
                  <c:v>2012</c:v>
                </c:pt>
                <c:pt idx="3">
                  <c:v>2013</c:v>
                </c:pt>
                <c:pt idx="4">
                  <c:v>2014</c:v>
                </c:pt>
                <c:pt idx="5">
                  <c:v>2015</c:v>
                </c:pt>
                <c:pt idx="6">
                  <c:v>2016</c:v>
                </c:pt>
                <c:pt idx="7">
                  <c:v>2017</c:v>
                </c:pt>
              </c:numCache>
            </c:numRef>
          </c:xVal>
          <c:yVal>
            <c:numRef>
              <c:f>Sheet4!$B$4:$B$11</c:f>
              <c:numCache>
                <c:formatCode>General</c:formatCode>
                <c:ptCount val="8"/>
                <c:pt idx="0">
                  <c:v>20</c:v>
                </c:pt>
                <c:pt idx="1">
                  <c:v>21</c:v>
                </c:pt>
                <c:pt idx="2">
                  <c:v>22</c:v>
                </c:pt>
                <c:pt idx="3">
                  <c:v>23</c:v>
                </c:pt>
                <c:pt idx="4">
                  <c:v>24</c:v>
                </c:pt>
                <c:pt idx="5">
                  <c:v>25</c:v>
                </c:pt>
                <c:pt idx="6">
                  <c:v>26</c:v>
                </c:pt>
                <c:pt idx="7">
                  <c:v>27</c:v>
                </c:pt>
              </c:numCache>
            </c:numRef>
          </c:yVal>
          <c:smooth val="0"/>
          <c:extLst>
            <c:ext xmlns:c16="http://schemas.microsoft.com/office/drawing/2014/chart" uri="{C3380CC4-5D6E-409C-BE32-E72D297353CC}">
              <c16:uniqueId val="{00000000-F4CF-401E-A6A3-5685ABFB6255}"/>
            </c:ext>
          </c:extLst>
        </c:ser>
        <c:ser>
          <c:idx val="1"/>
          <c:order val="1"/>
          <c:tx>
            <c:strRef>
              <c:f>Sheet4!$C$3</c:f>
              <c:strCache>
                <c:ptCount val="1"/>
                <c:pt idx="0">
                  <c:v>Bank of America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Sheet4!$A$4:$A$11</c:f>
              <c:numCache>
                <c:formatCode>General</c:formatCode>
                <c:ptCount val="8"/>
                <c:pt idx="0">
                  <c:v>2010</c:v>
                </c:pt>
                <c:pt idx="1">
                  <c:v>2011</c:v>
                </c:pt>
                <c:pt idx="2">
                  <c:v>2012</c:v>
                </c:pt>
                <c:pt idx="3">
                  <c:v>2013</c:v>
                </c:pt>
                <c:pt idx="4">
                  <c:v>2014</c:v>
                </c:pt>
                <c:pt idx="5">
                  <c:v>2015</c:v>
                </c:pt>
                <c:pt idx="6">
                  <c:v>2016</c:v>
                </c:pt>
                <c:pt idx="7">
                  <c:v>2017</c:v>
                </c:pt>
              </c:numCache>
            </c:numRef>
          </c:xVal>
          <c:yVal>
            <c:numRef>
              <c:f>Sheet4!$C$4:$C$11</c:f>
              <c:numCache>
                <c:formatCode>General</c:formatCode>
                <c:ptCount val="8"/>
                <c:pt idx="0">
                  <c:v>18</c:v>
                </c:pt>
                <c:pt idx="1">
                  <c:v>19</c:v>
                </c:pt>
                <c:pt idx="2">
                  <c:v>20</c:v>
                </c:pt>
                <c:pt idx="3">
                  <c:v>21</c:v>
                </c:pt>
                <c:pt idx="4">
                  <c:v>22</c:v>
                </c:pt>
                <c:pt idx="5">
                  <c:v>23</c:v>
                </c:pt>
                <c:pt idx="6">
                  <c:v>24</c:v>
                </c:pt>
                <c:pt idx="7">
                  <c:v>25</c:v>
                </c:pt>
              </c:numCache>
            </c:numRef>
          </c:yVal>
          <c:smooth val="0"/>
          <c:extLst>
            <c:ext xmlns:c16="http://schemas.microsoft.com/office/drawing/2014/chart" uri="{C3380CC4-5D6E-409C-BE32-E72D297353CC}">
              <c16:uniqueId val="{00000001-F4CF-401E-A6A3-5685ABFB6255}"/>
            </c:ext>
          </c:extLst>
        </c:ser>
        <c:ser>
          <c:idx val="2"/>
          <c:order val="2"/>
          <c:tx>
            <c:strRef>
              <c:f>Sheet4!$D$3</c:f>
              <c:strCache>
                <c:ptCount val="1"/>
                <c:pt idx="0">
                  <c:v>Citigroup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Sheet4!$A$4:$A$11</c:f>
              <c:numCache>
                <c:formatCode>General</c:formatCode>
                <c:ptCount val="8"/>
                <c:pt idx="0">
                  <c:v>2010</c:v>
                </c:pt>
                <c:pt idx="1">
                  <c:v>2011</c:v>
                </c:pt>
                <c:pt idx="2">
                  <c:v>2012</c:v>
                </c:pt>
                <c:pt idx="3">
                  <c:v>2013</c:v>
                </c:pt>
                <c:pt idx="4">
                  <c:v>2014</c:v>
                </c:pt>
                <c:pt idx="5">
                  <c:v>2015</c:v>
                </c:pt>
                <c:pt idx="6">
                  <c:v>2016</c:v>
                </c:pt>
                <c:pt idx="7">
                  <c:v>2017</c:v>
                </c:pt>
              </c:numCache>
            </c:numRef>
          </c:xVal>
          <c:yVal>
            <c:numRef>
              <c:f>Sheet4!$D$4:$D$11</c:f>
              <c:numCache>
                <c:formatCode>General</c:formatCode>
                <c:ptCount val="8"/>
                <c:pt idx="0">
                  <c:v>22</c:v>
                </c:pt>
                <c:pt idx="1">
                  <c:v>23</c:v>
                </c:pt>
                <c:pt idx="2">
                  <c:v>24</c:v>
                </c:pt>
                <c:pt idx="3">
                  <c:v>25</c:v>
                </c:pt>
                <c:pt idx="4">
                  <c:v>26</c:v>
                </c:pt>
                <c:pt idx="5">
                  <c:v>27</c:v>
                </c:pt>
                <c:pt idx="6">
                  <c:v>28</c:v>
                </c:pt>
                <c:pt idx="7">
                  <c:v>29</c:v>
                </c:pt>
              </c:numCache>
            </c:numRef>
          </c:yVal>
          <c:smooth val="0"/>
          <c:extLst>
            <c:ext xmlns:c16="http://schemas.microsoft.com/office/drawing/2014/chart" uri="{C3380CC4-5D6E-409C-BE32-E72D297353CC}">
              <c16:uniqueId val="{00000002-F4CF-401E-A6A3-5685ABFB6255}"/>
            </c:ext>
          </c:extLst>
        </c:ser>
        <c:ser>
          <c:idx val="3"/>
          <c:order val="3"/>
          <c:tx>
            <c:strRef>
              <c:f>Sheet4!$E$3</c:f>
              <c:strCache>
                <c:ptCount val="1"/>
                <c:pt idx="0">
                  <c:v>Wells Fargo</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Sheet4!$A$4:$A$11</c:f>
              <c:numCache>
                <c:formatCode>General</c:formatCode>
                <c:ptCount val="8"/>
                <c:pt idx="0">
                  <c:v>2010</c:v>
                </c:pt>
                <c:pt idx="1">
                  <c:v>2011</c:v>
                </c:pt>
                <c:pt idx="2">
                  <c:v>2012</c:v>
                </c:pt>
                <c:pt idx="3">
                  <c:v>2013</c:v>
                </c:pt>
                <c:pt idx="4">
                  <c:v>2014</c:v>
                </c:pt>
                <c:pt idx="5">
                  <c:v>2015</c:v>
                </c:pt>
                <c:pt idx="6">
                  <c:v>2016</c:v>
                </c:pt>
                <c:pt idx="7">
                  <c:v>2017</c:v>
                </c:pt>
              </c:numCache>
            </c:numRef>
          </c:xVal>
          <c:yVal>
            <c:numRef>
              <c:f>Sheet4!$E$4:$E$11</c:f>
              <c:numCache>
                <c:formatCode>General</c:formatCode>
                <c:ptCount val="8"/>
                <c:pt idx="0">
                  <c:v>19</c:v>
                </c:pt>
                <c:pt idx="1">
                  <c:v>20</c:v>
                </c:pt>
                <c:pt idx="2">
                  <c:v>21</c:v>
                </c:pt>
                <c:pt idx="3">
                  <c:v>22</c:v>
                </c:pt>
                <c:pt idx="4">
                  <c:v>23</c:v>
                </c:pt>
                <c:pt idx="5">
                  <c:v>24</c:v>
                </c:pt>
                <c:pt idx="6">
                  <c:v>25</c:v>
                </c:pt>
                <c:pt idx="7">
                  <c:v>26</c:v>
                </c:pt>
              </c:numCache>
            </c:numRef>
          </c:yVal>
          <c:smooth val="0"/>
          <c:extLst>
            <c:ext xmlns:c16="http://schemas.microsoft.com/office/drawing/2014/chart" uri="{C3380CC4-5D6E-409C-BE32-E72D297353CC}">
              <c16:uniqueId val="{00000003-F4CF-401E-A6A3-5685ABFB6255}"/>
            </c:ext>
          </c:extLst>
        </c:ser>
        <c:ser>
          <c:idx val="4"/>
          <c:order val="4"/>
          <c:tx>
            <c:strRef>
              <c:f>Sheet4!$F$3</c:f>
              <c:strCache>
                <c:ptCount val="1"/>
                <c:pt idx="0">
                  <c:v>Goldman Sachs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Sheet4!$A$4:$A$11</c:f>
              <c:numCache>
                <c:formatCode>General</c:formatCode>
                <c:ptCount val="8"/>
                <c:pt idx="0">
                  <c:v>2010</c:v>
                </c:pt>
                <c:pt idx="1">
                  <c:v>2011</c:v>
                </c:pt>
                <c:pt idx="2">
                  <c:v>2012</c:v>
                </c:pt>
                <c:pt idx="3">
                  <c:v>2013</c:v>
                </c:pt>
                <c:pt idx="4">
                  <c:v>2014</c:v>
                </c:pt>
                <c:pt idx="5">
                  <c:v>2015</c:v>
                </c:pt>
                <c:pt idx="6">
                  <c:v>2016</c:v>
                </c:pt>
                <c:pt idx="7">
                  <c:v>2017</c:v>
                </c:pt>
              </c:numCache>
            </c:numRef>
          </c:xVal>
          <c:yVal>
            <c:numRef>
              <c:f>Sheet4!$F$4:$F$11</c:f>
              <c:numCache>
                <c:formatCode>General</c:formatCode>
                <c:ptCount val="8"/>
                <c:pt idx="0">
                  <c:v>21</c:v>
                </c:pt>
                <c:pt idx="1">
                  <c:v>22</c:v>
                </c:pt>
                <c:pt idx="2">
                  <c:v>23</c:v>
                </c:pt>
                <c:pt idx="3">
                  <c:v>24</c:v>
                </c:pt>
                <c:pt idx="4">
                  <c:v>25</c:v>
                </c:pt>
                <c:pt idx="5">
                  <c:v>26</c:v>
                </c:pt>
                <c:pt idx="6">
                  <c:v>27</c:v>
                </c:pt>
                <c:pt idx="7">
                  <c:v>28</c:v>
                </c:pt>
              </c:numCache>
            </c:numRef>
          </c:yVal>
          <c:smooth val="0"/>
          <c:extLst>
            <c:ext xmlns:c16="http://schemas.microsoft.com/office/drawing/2014/chart" uri="{C3380CC4-5D6E-409C-BE32-E72D297353CC}">
              <c16:uniqueId val="{00000004-F4CF-401E-A6A3-5685ABFB6255}"/>
            </c:ext>
          </c:extLst>
        </c:ser>
        <c:dLbls>
          <c:showLegendKey val="0"/>
          <c:showVal val="0"/>
          <c:showCatName val="0"/>
          <c:showSerName val="0"/>
          <c:showPercent val="0"/>
          <c:showBubbleSize val="0"/>
        </c:dLbls>
        <c:axId val="747211872"/>
        <c:axId val="747203232"/>
      </c:scatterChart>
      <c:valAx>
        <c:axId val="747211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203232"/>
        <c:crosses val="autoZero"/>
        <c:crossBetween val="midCat"/>
      </c:valAx>
      <c:valAx>
        <c:axId val="747203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211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12</Pages>
  <Words>2732</Words>
  <Characters>15574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2024-06-15T12:01:00Z</dcterms:created>
  <dcterms:modified xsi:type="dcterms:W3CDTF">2024-06-15T13:17:00Z</dcterms:modified>
</cp:coreProperties>
</file>