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8D35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GRC 102 WEEK 4 </w:t>
      </w:r>
    </w:p>
    <w:p w14:paraId="7100289E">
      <w:pPr>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GRC 102 W4=Nander Ndam-C11/26/CGRCE/17571</w:t>
      </w:r>
    </w:p>
    <w:bookmarkEnd w:id="0"/>
    <w:p w14:paraId="036DA2F3">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1</w:t>
      </w:r>
    </w:p>
    <w:p w14:paraId="56462A2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Auditd Configuration Events</w:t>
      </w:r>
    </w:p>
    <w:p w14:paraId="0E27A10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Evidence verifying Lynis installation</w:t>
      </w:r>
    </w:p>
    <w:p w14:paraId="6EF1B9BA">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648200" cy="2559050"/>
            <wp:effectExtent l="0" t="0" r="0" b="0"/>
            <wp:docPr id="5740331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33173" name="Picture 1" descr="A screenshot of a computer program&#10;&#10;AI-generated content may be incorrect."/>
                    <pic:cNvPicPr>
                      <a:picLocks noChangeAspect="1"/>
                    </pic:cNvPicPr>
                  </pic:nvPicPr>
                  <pic:blipFill>
                    <a:blip r:embed="rId6"/>
                    <a:stretch>
                      <a:fillRect/>
                    </a:stretch>
                  </pic:blipFill>
                  <pic:spPr>
                    <a:xfrm>
                      <a:off x="0" y="0"/>
                      <a:ext cx="4648439" cy="2559182"/>
                    </a:xfrm>
                    <a:prstGeom prst="rect">
                      <a:avLst/>
                    </a:prstGeom>
                  </pic:spPr>
                </pic:pic>
              </a:graphicData>
            </a:graphic>
          </wp:inline>
        </w:drawing>
      </w:r>
    </w:p>
    <w:p w14:paraId="09799242">
      <w:pPr>
        <w:rPr>
          <w:rFonts w:hint="default" w:ascii="Times New Roman" w:hAnsi="Times New Roman" w:cs="Times New Roman"/>
          <w:sz w:val="24"/>
          <w:szCs w:val="24"/>
        </w:rPr>
      </w:pPr>
    </w:p>
    <w:p w14:paraId="019A33A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Activity 1.2</w:t>
      </w:r>
    </w:p>
    <w:p w14:paraId="6BB2D40B">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3600" cy="2107565"/>
            <wp:effectExtent l="0" t="0" r="0" b="6985"/>
            <wp:docPr id="177615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58442" name="Picture 1"/>
                    <pic:cNvPicPr>
                      <a:picLocks noChangeAspect="1"/>
                    </pic:cNvPicPr>
                  </pic:nvPicPr>
                  <pic:blipFill>
                    <a:blip r:embed="rId7"/>
                    <a:stretch>
                      <a:fillRect/>
                    </a:stretch>
                  </pic:blipFill>
                  <pic:spPr>
                    <a:xfrm>
                      <a:off x="0" y="0"/>
                      <a:ext cx="5943600" cy="2107565"/>
                    </a:xfrm>
                    <a:prstGeom prst="rect">
                      <a:avLst/>
                    </a:prstGeom>
                  </pic:spPr>
                </pic:pic>
              </a:graphicData>
            </a:graphic>
          </wp:inline>
        </w:drawing>
      </w:r>
    </w:p>
    <w:p w14:paraId="650FD4A6">
      <w:pPr>
        <w:rPr>
          <w:rFonts w:hint="default" w:ascii="Times New Roman" w:hAnsi="Times New Roman" w:cs="Times New Roman"/>
          <w:sz w:val="24"/>
          <w:szCs w:val="24"/>
        </w:rPr>
      </w:pPr>
    </w:p>
    <w:p w14:paraId="71F0D9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Activity 1.3</w:t>
      </w:r>
    </w:p>
    <w:p w14:paraId="7F1C424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705350" cy="3282950"/>
            <wp:effectExtent l="0" t="0" r="0" b="0"/>
            <wp:docPr id="57095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54392" name="Picture 1"/>
                    <pic:cNvPicPr>
                      <a:picLocks noChangeAspect="1"/>
                    </pic:cNvPicPr>
                  </pic:nvPicPr>
                  <pic:blipFill>
                    <a:blip r:embed="rId8"/>
                    <a:stretch>
                      <a:fillRect/>
                    </a:stretch>
                  </pic:blipFill>
                  <pic:spPr>
                    <a:xfrm>
                      <a:off x="0" y="0"/>
                      <a:ext cx="4705592" cy="3283119"/>
                    </a:xfrm>
                    <a:prstGeom prst="rect">
                      <a:avLst/>
                    </a:prstGeom>
                  </pic:spPr>
                </pic:pic>
              </a:graphicData>
            </a:graphic>
          </wp:inline>
        </w:drawing>
      </w:r>
    </w:p>
    <w:p w14:paraId="530E1D61">
      <w:pPr>
        <w:rPr>
          <w:rFonts w:hint="default" w:ascii="Times New Roman" w:hAnsi="Times New Roman" w:cs="Times New Roman"/>
          <w:sz w:val="24"/>
          <w:szCs w:val="24"/>
        </w:rPr>
      </w:pPr>
    </w:p>
    <w:p w14:paraId="613DDE8B">
      <w:pPr>
        <w:rPr>
          <w:rFonts w:hint="default" w:ascii="Times New Roman" w:hAnsi="Times New Roman" w:cs="Times New Roman"/>
          <w:sz w:val="24"/>
          <w:szCs w:val="24"/>
        </w:rPr>
      </w:pPr>
    </w:p>
    <w:p w14:paraId="1FF669A8">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3600" cy="3398520"/>
            <wp:effectExtent l="0" t="0" r="0" b="0"/>
            <wp:docPr id="52494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42977" name="Picture 1"/>
                    <pic:cNvPicPr>
                      <a:picLocks noChangeAspect="1"/>
                    </pic:cNvPicPr>
                  </pic:nvPicPr>
                  <pic:blipFill>
                    <a:blip r:embed="rId9"/>
                    <a:stretch>
                      <a:fillRect/>
                    </a:stretch>
                  </pic:blipFill>
                  <pic:spPr>
                    <a:xfrm>
                      <a:off x="0" y="0"/>
                      <a:ext cx="5943600" cy="3398520"/>
                    </a:xfrm>
                    <a:prstGeom prst="rect">
                      <a:avLst/>
                    </a:prstGeom>
                  </pic:spPr>
                </pic:pic>
              </a:graphicData>
            </a:graphic>
          </wp:inline>
        </w:drawing>
      </w:r>
    </w:p>
    <w:p w14:paraId="7295B8D7">
      <w:pPr>
        <w:rPr>
          <w:rFonts w:hint="default" w:ascii="Times New Roman" w:hAnsi="Times New Roman" w:cs="Times New Roman"/>
          <w:sz w:val="24"/>
          <w:szCs w:val="24"/>
        </w:rPr>
      </w:pPr>
    </w:p>
    <w:p w14:paraId="7A3E2CCE">
      <w:pPr>
        <w:rPr>
          <w:rFonts w:hint="default" w:ascii="Times New Roman" w:hAnsi="Times New Roman" w:cs="Times New Roman"/>
          <w:sz w:val="24"/>
          <w:szCs w:val="24"/>
        </w:rPr>
      </w:pPr>
    </w:p>
    <w:p w14:paraId="3342B772">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044950" cy="1416050"/>
            <wp:effectExtent l="0" t="0" r="0" b="0"/>
            <wp:docPr id="74472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6968" name="Picture 1"/>
                    <pic:cNvPicPr>
                      <a:picLocks noChangeAspect="1"/>
                    </pic:cNvPicPr>
                  </pic:nvPicPr>
                  <pic:blipFill>
                    <a:blip r:embed="rId10"/>
                    <a:stretch>
                      <a:fillRect/>
                    </a:stretch>
                  </pic:blipFill>
                  <pic:spPr>
                    <a:xfrm>
                      <a:off x="0" y="0"/>
                      <a:ext cx="4045158" cy="1416123"/>
                    </a:xfrm>
                    <a:prstGeom prst="rect">
                      <a:avLst/>
                    </a:prstGeom>
                  </pic:spPr>
                </pic:pic>
              </a:graphicData>
            </a:graphic>
          </wp:inline>
        </w:drawing>
      </w:r>
    </w:p>
    <w:p w14:paraId="2F8AC13B">
      <w:pPr>
        <w:rPr>
          <w:rFonts w:hint="default" w:ascii="Times New Roman" w:hAnsi="Times New Roman" w:cs="Times New Roman"/>
          <w:sz w:val="24"/>
          <w:szCs w:val="24"/>
        </w:rPr>
      </w:pPr>
    </w:p>
    <w:p w14:paraId="6A8B292E">
      <w:pPr>
        <w:rPr>
          <w:rFonts w:hint="default" w:ascii="Times New Roman" w:hAnsi="Times New Roman" w:cs="Times New Roman"/>
          <w:sz w:val="24"/>
          <w:szCs w:val="24"/>
        </w:rPr>
      </w:pPr>
      <w:r>
        <w:rPr>
          <w:rFonts w:hint="default" w:ascii="Times New Roman" w:hAnsi="Times New Roman" w:cs="Times New Roman"/>
          <w:sz w:val="24"/>
          <w:szCs w:val="24"/>
        </w:rPr>
        <w:t>Module 3. Lynis successfully installed</w:t>
      </w:r>
    </w:p>
    <w:p w14:paraId="11E1E512">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3130550" cy="1809750"/>
            <wp:effectExtent l="0" t="0" r="0" b="0"/>
            <wp:docPr id="153576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60590" name="Picture 1"/>
                    <pic:cNvPicPr>
                      <a:picLocks noChangeAspect="1"/>
                    </pic:cNvPicPr>
                  </pic:nvPicPr>
                  <pic:blipFill>
                    <a:blip r:embed="rId11"/>
                    <a:stretch>
                      <a:fillRect/>
                    </a:stretch>
                  </pic:blipFill>
                  <pic:spPr>
                    <a:xfrm>
                      <a:off x="0" y="0"/>
                      <a:ext cx="3130711" cy="1809843"/>
                    </a:xfrm>
                    <a:prstGeom prst="rect">
                      <a:avLst/>
                    </a:prstGeom>
                  </pic:spPr>
                </pic:pic>
              </a:graphicData>
            </a:graphic>
          </wp:inline>
        </w:drawing>
      </w:r>
    </w:p>
    <w:p w14:paraId="6D95313A">
      <w:pPr>
        <w:rPr>
          <w:rFonts w:hint="default" w:ascii="Times New Roman" w:hAnsi="Times New Roman" w:cs="Times New Roman"/>
          <w:sz w:val="24"/>
          <w:szCs w:val="24"/>
        </w:rPr>
      </w:pPr>
    </w:p>
    <w:p w14:paraId="66644E36">
      <w:pPr>
        <w:rPr>
          <w:rFonts w:hint="default" w:ascii="Times New Roman" w:hAnsi="Times New Roman" w:cs="Times New Roman"/>
          <w:sz w:val="24"/>
          <w:szCs w:val="24"/>
        </w:rPr>
      </w:pPr>
      <w:r>
        <w:rPr>
          <w:rFonts w:hint="default" w:ascii="Times New Roman" w:hAnsi="Times New Roman" w:cs="Times New Roman"/>
          <w:sz w:val="24"/>
          <w:szCs w:val="24"/>
        </w:rPr>
        <w:t>Key Results</w:t>
      </w:r>
    </w:p>
    <w:p w14:paraId="6A3EA911">
      <w:pPr>
        <w:rPr>
          <w:rFonts w:hint="default" w:ascii="Times New Roman" w:hAnsi="Times New Roman" w:cs="Times New Roman"/>
          <w:sz w:val="24"/>
          <w:szCs w:val="24"/>
        </w:rPr>
      </w:pPr>
    </w:p>
    <w:p w14:paraId="3EC4117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486400" cy="3721100"/>
            <wp:effectExtent l="0" t="0" r="0" b="0"/>
            <wp:docPr id="280389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89048" name="Picture 1" descr="A screenshot of a computer&#10;&#10;AI-generated content may be incorrect."/>
                    <pic:cNvPicPr>
                      <a:picLocks noChangeAspect="1"/>
                    </pic:cNvPicPr>
                  </pic:nvPicPr>
                  <pic:blipFill>
                    <a:blip r:embed="rId12"/>
                    <a:stretch>
                      <a:fillRect/>
                    </a:stretch>
                  </pic:blipFill>
                  <pic:spPr>
                    <a:xfrm>
                      <a:off x="0" y="0"/>
                      <a:ext cx="5486682" cy="3721291"/>
                    </a:xfrm>
                    <a:prstGeom prst="rect">
                      <a:avLst/>
                    </a:prstGeom>
                  </pic:spPr>
                </pic:pic>
              </a:graphicData>
            </a:graphic>
          </wp:inline>
        </w:drawing>
      </w:r>
    </w:p>
    <w:p w14:paraId="0341C1C3">
      <w:pPr>
        <w:rPr>
          <w:rFonts w:hint="default" w:ascii="Times New Roman" w:hAnsi="Times New Roman" w:cs="Times New Roman"/>
          <w:sz w:val="24"/>
          <w:szCs w:val="24"/>
        </w:rPr>
      </w:pPr>
      <w:r>
        <w:rPr>
          <w:rFonts w:hint="default" w:ascii="Times New Roman" w:hAnsi="Times New Roman" w:cs="Times New Roman"/>
          <w:sz w:val="24"/>
          <w:szCs w:val="24"/>
        </w:rPr>
        <w:t>Three findings</w:t>
      </w:r>
    </w:p>
    <w:p w14:paraId="45451FB2">
      <w:pPr>
        <w:pStyle w:val="2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Hardening index scored 65 out of 100 which indicates that there are security gaps or unminimized attack. </w:t>
      </w:r>
    </w:p>
    <w:p w14:paraId="2A041CE6">
      <w:pPr>
        <w:pStyle w:val="2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The compliance scanner could not determine compliance status and has a risk of legal penalties</w:t>
      </w:r>
    </w:p>
    <w:p w14:paraId="0A4B6265">
      <w:pPr>
        <w:pStyle w:val="2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The tool was used during the normal scan mode</w:t>
      </w:r>
    </w:p>
    <w:p w14:paraId="7353894B">
      <w:pPr>
        <w:pStyle w:val="2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Linux is likely owner</w:t>
      </w:r>
    </w:p>
    <w:p w14:paraId="4FA242B7">
      <w:pPr>
        <w:pStyle w:val="2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Review full log and report files for remediation</w:t>
      </w:r>
    </w:p>
    <w:p w14:paraId="04334A3C">
      <w:pPr>
        <w:rPr>
          <w:rFonts w:hint="default" w:ascii="Times New Roman" w:hAnsi="Times New Roman" w:cs="Times New Roman"/>
          <w:sz w:val="24"/>
          <w:szCs w:val="24"/>
        </w:rPr>
      </w:pPr>
      <w:r>
        <w:rPr>
          <w:rFonts w:hint="default" w:ascii="Times New Roman" w:hAnsi="Times New Roman" w:cs="Times New Roman"/>
          <w:sz w:val="24"/>
          <w:szCs w:val="24"/>
        </w:rPr>
        <w:t>Question 8</w:t>
      </w:r>
    </w:p>
    <w:p w14:paraId="598A0943">
      <w:pPr>
        <w:rPr>
          <w:rFonts w:hint="default" w:ascii="Times New Roman" w:hAnsi="Times New Roman" w:cs="Times New Roman"/>
          <w:sz w:val="24"/>
          <w:szCs w:val="24"/>
        </w:rPr>
      </w:pPr>
      <w:r>
        <w:rPr>
          <w:rFonts w:hint="default" w:ascii="Times New Roman" w:hAnsi="Times New Roman" w:cs="Times New Roman"/>
          <w:sz w:val="24"/>
          <w:szCs w:val="24"/>
          <w:lang w:val="en-US"/>
        </w:rPr>
        <w:t>E</w:t>
      </w:r>
      <w:r>
        <w:rPr>
          <w:rFonts w:hint="default" w:ascii="Times New Roman" w:hAnsi="Times New Roman" w:cs="Times New Roman"/>
          <w:sz w:val="24"/>
          <w:szCs w:val="24"/>
        </w:rPr>
        <w:t xml:space="preserve">vidence from </w:t>
      </w:r>
      <w:r>
        <w:rPr>
          <w:rFonts w:hint="default" w:ascii="Times New Roman" w:hAnsi="Times New Roman" w:cs="Times New Roman"/>
          <w:b/>
          <w:bCs/>
          <w:sz w:val="24"/>
          <w:szCs w:val="24"/>
        </w:rPr>
        <w:t>auditd, journalctl, authentication logs, and Lynis</w:t>
      </w:r>
      <w:r>
        <w:rPr>
          <w:rFonts w:hint="default" w:ascii="Times New Roman" w:hAnsi="Times New Roman" w:cs="Times New Roman"/>
          <w:sz w:val="24"/>
          <w:szCs w:val="24"/>
        </w:rPr>
        <w:t xml:space="preserve"> can be forwarded to an enterprise </w:t>
      </w:r>
      <w:r>
        <w:rPr>
          <w:rFonts w:hint="default" w:ascii="Times New Roman" w:hAnsi="Times New Roman" w:cs="Times New Roman"/>
          <w:b/>
          <w:bCs/>
          <w:sz w:val="24"/>
          <w:szCs w:val="24"/>
        </w:rPr>
        <w:t>SIEM or GRC platform</w:t>
      </w:r>
      <w:r>
        <w:rPr>
          <w:rFonts w:hint="default" w:ascii="Times New Roman" w:hAnsi="Times New Roman" w:cs="Times New Roman"/>
          <w:sz w:val="24"/>
          <w:szCs w:val="24"/>
        </w:rPr>
        <w:t>. The SIEM can collect, correlate and alert on security events, while the GRC platform can track recurring weaknesses and control performance.</w:t>
      </w:r>
    </w:p>
    <w:p w14:paraId="1F9224FC">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Technical operational alerts:</w:t>
      </w:r>
      <w:r>
        <w:rPr>
          <w:rFonts w:hint="default" w:ascii="Times New Roman" w:hAnsi="Times New Roman" w:cs="Times New Roman"/>
          <w:sz w:val="24"/>
          <w:szCs w:val="24"/>
        </w:rPr>
        <w:t xml:space="preserve"> Failed login attempts, unusual privileged activity, service failures, configuration changes, and individual Lynis recommendations should initially be handled by the SOC/IT team for investigation. </w:t>
      </w:r>
    </w:p>
    <w:p w14:paraId="44A1A2A0">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Governance/control-assurance issues:</w:t>
      </w:r>
      <w:r>
        <w:rPr>
          <w:rFonts w:hint="default" w:ascii="Times New Roman" w:hAnsi="Times New Roman" w:cs="Times New Roman"/>
          <w:sz w:val="24"/>
          <w:szCs w:val="24"/>
        </w:rPr>
        <w:t xml:space="preserve"> Escalate when evidence shows a required control is missing, repeatedly failing, operating outside policy, or lacks reliable evidence of operation. For example, repeated unauthorised configuration changes or unresolved Lynis findings that violate an organisational security requirement.</w:t>
      </w:r>
    </w:p>
    <w:p w14:paraId="1C9513FB">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Low Lynis hardening score – 65/100</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This indicates unresolved security weaknesses that should be reviewed and tracked to remediation. </w:t>
      </w:r>
    </w:p>
    <w:p w14:paraId="0CD8D854">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Unresolved compliance uncertainty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Lynis compliance scanner could not determine the system's compliance status. This warrants governance attention because the organisation cannot clearly demonstrate whether required controls are being met. </w:t>
      </w:r>
    </w:p>
    <w:p w14:paraId="55487BE4">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Potentially inadequate audit/logging coverage</w:t>
      </w:r>
      <w:r>
        <w:rPr>
          <w:rFonts w:hint="default" w:ascii="Times New Roman" w:hAnsi="Times New Roman" w:cs="Times New Roman"/>
          <w:sz w:val="24"/>
          <w:szCs w:val="24"/>
        </w:rPr>
        <w:br w:type="textWrapping"/>
      </w:r>
      <w:r>
        <w:rPr>
          <w:rFonts w:hint="default" w:ascii="Times New Roman" w:hAnsi="Times New Roman" w:cs="Times New Roman"/>
          <w:sz w:val="24"/>
          <w:szCs w:val="24"/>
        </w:rPr>
        <w:t>The audit evidence should be reviewed to confirm that important security events are being captured. Missing audit coverage can prevent the organisation from demonstrating that controls are operating effectively.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4"/>
        <w:gridCol w:w="1198"/>
        <w:gridCol w:w="1431"/>
        <w:gridCol w:w="1208"/>
        <w:gridCol w:w="985"/>
        <w:gridCol w:w="1049"/>
        <w:gridCol w:w="1356"/>
        <w:gridCol w:w="989"/>
      </w:tblGrid>
      <w:tr w14:paraId="35C64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52F278D">
            <w:pPr>
              <w:keepNext w:val="0"/>
              <w:keepLines w:val="0"/>
              <w:widowControl/>
              <w:suppressLineNumbers w:val="0"/>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14:ligatures w14:val="standardContextual"/>
              </w:rPr>
              <w:t>Control / Objective</w:t>
            </w:r>
          </w:p>
        </w:tc>
        <w:tc>
          <w:tcPr>
            <w:tcW w:w="0" w:type="auto"/>
            <w:shd w:val="clear"/>
            <w:vAlign w:val="center"/>
          </w:tcPr>
          <w:p w14:paraId="1350B18C">
            <w:pPr>
              <w:keepNext w:val="0"/>
              <w:keepLines w:val="0"/>
              <w:widowControl/>
              <w:suppressLineNumbers w:val="0"/>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14:ligatures w14:val="standardContextual"/>
              </w:rPr>
              <w:t>Evidence</w:t>
            </w:r>
          </w:p>
        </w:tc>
        <w:tc>
          <w:tcPr>
            <w:tcW w:w="0" w:type="auto"/>
            <w:shd w:val="clear"/>
            <w:vAlign w:val="center"/>
          </w:tcPr>
          <w:p w14:paraId="25ED6F51">
            <w:pPr>
              <w:keepNext w:val="0"/>
              <w:keepLines w:val="0"/>
              <w:widowControl/>
              <w:suppressLineNumbers w:val="0"/>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14:ligatures w14:val="standardContextual"/>
              </w:rPr>
              <w:t>Owner</w:t>
            </w:r>
          </w:p>
        </w:tc>
        <w:tc>
          <w:tcPr>
            <w:tcW w:w="0" w:type="auto"/>
            <w:shd w:val="clear"/>
            <w:vAlign w:val="center"/>
          </w:tcPr>
          <w:p w14:paraId="5F2C6A77">
            <w:pPr>
              <w:keepNext w:val="0"/>
              <w:keepLines w:val="0"/>
              <w:widowControl/>
              <w:suppressLineNumbers w:val="0"/>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14:ligatures w14:val="standardContextual"/>
              </w:rPr>
              <w:t>Observed Status</w:t>
            </w:r>
          </w:p>
        </w:tc>
        <w:tc>
          <w:tcPr>
            <w:tcW w:w="0" w:type="auto"/>
            <w:shd w:val="clear"/>
            <w:vAlign w:val="center"/>
          </w:tcPr>
          <w:p w14:paraId="2F0B10E0">
            <w:pPr>
              <w:keepNext w:val="0"/>
              <w:keepLines w:val="0"/>
              <w:widowControl/>
              <w:suppressLineNumbers w:val="0"/>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14:ligatures w14:val="standardContextual"/>
              </w:rPr>
              <w:t>KPI/KRI or Threshold</w:t>
            </w:r>
          </w:p>
        </w:tc>
        <w:tc>
          <w:tcPr>
            <w:tcW w:w="0" w:type="auto"/>
            <w:shd w:val="clear"/>
            <w:vAlign w:val="center"/>
          </w:tcPr>
          <w:p w14:paraId="7A570CDF">
            <w:pPr>
              <w:keepNext w:val="0"/>
              <w:keepLines w:val="0"/>
              <w:widowControl/>
              <w:suppressLineNumbers w:val="0"/>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14:ligatures w14:val="standardContextual"/>
              </w:rPr>
              <w:t>Risk / Significance</w:t>
            </w:r>
          </w:p>
        </w:tc>
        <w:tc>
          <w:tcPr>
            <w:tcW w:w="0" w:type="auto"/>
            <w:shd w:val="clear"/>
            <w:vAlign w:val="center"/>
          </w:tcPr>
          <w:p w14:paraId="6E0D1CA0">
            <w:pPr>
              <w:keepNext w:val="0"/>
              <w:keepLines w:val="0"/>
              <w:widowControl/>
              <w:suppressLineNumbers w:val="0"/>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14:ligatures w14:val="standardContextual"/>
              </w:rPr>
              <w:t>Remediation</w:t>
            </w:r>
          </w:p>
        </w:tc>
        <w:tc>
          <w:tcPr>
            <w:tcW w:w="0" w:type="auto"/>
            <w:shd w:val="clear"/>
            <w:vAlign w:val="center"/>
          </w:tcPr>
          <w:p w14:paraId="215E9D81">
            <w:pPr>
              <w:keepNext w:val="0"/>
              <w:keepLines w:val="0"/>
              <w:widowControl/>
              <w:suppressLineNumbers w:val="0"/>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14:ligatures w14:val="standardContextual"/>
              </w:rPr>
              <w:t>Retest / Follow-up</w:t>
            </w:r>
          </w:p>
        </w:tc>
      </w:tr>
      <w:tr w14:paraId="3CD6A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591D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System hardening</w:t>
            </w:r>
          </w:p>
        </w:tc>
        <w:tc>
          <w:tcPr>
            <w:tcW w:w="0" w:type="auto"/>
            <w:shd w:val="clear"/>
            <w:vAlign w:val="center"/>
          </w:tcPr>
          <w:p w14:paraId="5778CD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Lynis hardening score</w:t>
            </w:r>
          </w:p>
        </w:tc>
        <w:tc>
          <w:tcPr>
            <w:tcW w:w="0" w:type="auto"/>
            <w:shd w:val="clear"/>
            <w:vAlign w:val="center"/>
          </w:tcPr>
          <w:p w14:paraId="2CC24E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IT/Security</w:t>
            </w:r>
          </w:p>
        </w:tc>
        <w:tc>
          <w:tcPr>
            <w:tcW w:w="0" w:type="auto"/>
            <w:shd w:val="clear"/>
            <w:vAlign w:val="center"/>
          </w:tcPr>
          <w:p w14:paraId="470691CF">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14:ligatures w14:val="standardContextual"/>
              </w:rPr>
              <w:t>65/100 – gaps identified</w:t>
            </w:r>
          </w:p>
        </w:tc>
        <w:tc>
          <w:tcPr>
            <w:tcW w:w="0" w:type="auto"/>
            <w:shd w:val="clear"/>
            <w:vAlign w:val="center"/>
          </w:tcPr>
          <w:p w14:paraId="7EB101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Target ≥90/100</w:t>
            </w:r>
          </w:p>
        </w:tc>
        <w:tc>
          <w:tcPr>
            <w:tcW w:w="0" w:type="auto"/>
            <w:shd w:val="clear"/>
            <w:vAlign w:val="center"/>
          </w:tcPr>
          <w:p w14:paraId="4B3783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Increased attack surface</w:t>
            </w:r>
          </w:p>
        </w:tc>
        <w:tc>
          <w:tcPr>
            <w:tcW w:w="0" w:type="auto"/>
            <w:shd w:val="clear"/>
            <w:vAlign w:val="center"/>
          </w:tcPr>
          <w:p w14:paraId="4ACC41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Address actionable Lynis findings</w:t>
            </w:r>
          </w:p>
        </w:tc>
        <w:tc>
          <w:tcPr>
            <w:tcW w:w="0" w:type="auto"/>
            <w:shd w:val="clear"/>
            <w:vAlign w:val="center"/>
          </w:tcPr>
          <w:p w14:paraId="26BC13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Re-run Lynis after remediation</w:t>
            </w:r>
          </w:p>
        </w:tc>
      </w:tr>
      <w:tr w14:paraId="4A093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8A6F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Compliance monitoring</w:t>
            </w:r>
          </w:p>
        </w:tc>
        <w:tc>
          <w:tcPr>
            <w:tcW w:w="0" w:type="auto"/>
            <w:shd w:val="clear"/>
            <w:vAlign w:val="center"/>
          </w:tcPr>
          <w:p w14:paraId="5730F8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Lynis compliance scan</w:t>
            </w:r>
          </w:p>
        </w:tc>
        <w:tc>
          <w:tcPr>
            <w:tcW w:w="0" w:type="auto"/>
            <w:shd w:val="clear"/>
            <w:vAlign w:val="center"/>
          </w:tcPr>
          <w:p w14:paraId="39C712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GRC/Compliance</w:t>
            </w:r>
          </w:p>
        </w:tc>
        <w:tc>
          <w:tcPr>
            <w:tcW w:w="0" w:type="auto"/>
            <w:shd w:val="clear"/>
            <w:vAlign w:val="center"/>
          </w:tcPr>
          <w:p w14:paraId="0059C859">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14:ligatures w14:val="standardContextual"/>
              </w:rPr>
              <w:t>Compliance status undetermined</w:t>
            </w:r>
          </w:p>
        </w:tc>
        <w:tc>
          <w:tcPr>
            <w:tcW w:w="0" w:type="auto"/>
            <w:shd w:val="clear"/>
            <w:vAlign w:val="center"/>
          </w:tcPr>
          <w:p w14:paraId="2AF2BF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Compliance status should be confirmed</w:t>
            </w:r>
          </w:p>
        </w:tc>
        <w:tc>
          <w:tcPr>
            <w:tcW w:w="0" w:type="auto"/>
            <w:shd w:val="clear"/>
            <w:vAlign w:val="center"/>
          </w:tcPr>
          <w:p w14:paraId="52814A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Cannot demonstrate compliance</w:t>
            </w:r>
          </w:p>
        </w:tc>
        <w:tc>
          <w:tcPr>
            <w:tcW w:w="0" w:type="auto"/>
            <w:shd w:val="clear"/>
            <w:vAlign w:val="center"/>
          </w:tcPr>
          <w:p w14:paraId="07B4FF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Map controls to applicable requirements</w:t>
            </w:r>
          </w:p>
        </w:tc>
        <w:tc>
          <w:tcPr>
            <w:tcW w:w="0" w:type="auto"/>
            <w:shd w:val="clear"/>
            <w:vAlign w:val="center"/>
          </w:tcPr>
          <w:p w14:paraId="352E51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Repeat compliance assessment</w:t>
            </w:r>
          </w:p>
        </w:tc>
      </w:tr>
      <w:tr w14:paraId="3F3D8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2537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Security logging</w:t>
            </w:r>
          </w:p>
        </w:tc>
        <w:tc>
          <w:tcPr>
            <w:tcW w:w="0" w:type="auto"/>
            <w:shd w:val="clear"/>
            <w:vAlign w:val="center"/>
          </w:tcPr>
          <w:p w14:paraId="7701CA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auditd records</w:t>
            </w:r>
          </w:p>
        </w:tc>
        <w:tc>
          <w:tcPr>
            <w:tcW w:w="0" w:type="auto"/>
            <w:shd w:val="clear"/>
            <w:vAlign w:val="center"/>
          </w:tcPr>
          <w:p w14:paraId="7FA4BF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IT/Security</w:t>
            </w:r>
          </w:p>
        </w:tc>
        <w:tc>
          <w:tcPr>
            <w:tcW w:w="0" w:type="auto"/>
            <w:shd w:val="clear"/>
            <w:vAlign w:val="center"/>
          </w:tcPr>
          <w:p w14:paraId="5FF831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Audit evidence collected</w:t>
            </w:r>
          </w:p>
        </w:tc>
        <w:tc>
          <w:tcPr>
            <w:tcW w:w="0" w:type="auto"/>
            <w:shd w:val="clear"/>
            <w:vAlign w:val="center"/>
          </w:tcPr>
          <w:p w14:paraId="525FE1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Required security events logged</w:t>
            </w:r>
          </w:p>
        </w:tc>
        <w:tc>
          <w:tcPr>
            <w:tcW w:w="0" w:type="auto"/>
            <w:shd w:val="clear"/>
            <w:vAlign w:val="center"/>
          </w:tcPr>
          <w:p w14:paraId="61099B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Reduced visibility of security activity</w:t>
            </w:r>
          </w:p>
        </w:tc>
        <w:tc>
          <w:tcPr>
            <w:tcW w:w="0" w:type="auto"/>
            <w:shd w:val="clear"/>
            <w:vAlign w:val="center"/>
          </w:tcPr>
          <w:p w14:paraId="5113F7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Review and enable required audit rules</w:t>
            </w:r>
          </w:p>
        </w:tc>
        <w:tc>
          <w:tcPr>
            <w:tcW w:w="0" w:type="auto"/>
            <w:shd w:val="clear"/>
            <w:vAlign w:val="center"/>
          </w:tcPr>
          <w:p w14:paraId="578E2F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Review audit logs periodically</w:t>
            </w:r>
          </w:p>
        </w:tc>
      </w:tr>
      <w:tr w14:paraId="00DAE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7288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Authentication monitoring</w:t>
            </w:r>
          </w:p>
        </w:tc>
        <w:tc>
          <w:tcPr>
            <w:tcW w:w="0" w:type="auto"/>
            <w:shd w:val="clear"/>
            <w:vAlign w:val="center"/>
          </w:tcPr>
          <w:p w14:paraId="260270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Authentication logs</w:t>
            </w:r>
          </w:p>
        </w:tc>
        <w:tc>
          <w:tcPr>
            <w:tcW w:w="0" w:type="auto"/>
            <w:shd w:val="clear"/>
            <w:vAlign w:val="center"/>
          </w:tcPr>
          <w:p w14:paraId="214B65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SOC/IT</w:t>
            </w:r>
          </w:p>
        </w:tc>
        <w:tc>
          <w:tcPr>
            <w:tcW w:w="0" w:type="auto"/>
            <w:shd w:val="clear"/>
            <w:vAlign w:val="center"/>
          </w:tcPr>
          <w:p w14:paraId="758DE4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Login activity monitored</w:t>
            </w:r>
          </w:p>
        </w:tc>
        <w:tc>
          <w:tcPr>
            <w:tcW w:w="0" w:type="auto"/>
            <w:shd w:val="clear"/>
            <w:vAlign w:val="center"/>
          </w:tcPr>
          <w:p w14:paraId="5727DFD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Investigate repeated failed logins</w:t>
            </w:r>
          </w:p>
        </w:tc>
        <w:tc>
          <w:tcPr>
            <w:tcW w:w="0" w:type="auto"/>
            <w:shd w:val="clear"/>
            <w:vAlign w:val="center"/>
          </w:tcPr>
          <w:p w14:paraId="75DB55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Possible unauthorised access</w:t>
            </w:r>
          </w:p>
        </w:tc>
        <w:tc>
          <w:tcPr>
            <w:tcW w:w="0" w:type="auto"/>
            <w:shd w:val="clear"/>
            <w:vAlign w:val="center"/>
          </w:tcPr>
          <w:p w14:paraId="1AEE74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Investigate unusual/repeated failures</w:t>
            </w:r>
          </w:p>
        </w:tc>
        <w:tc>
          <w:tcPr>
            <w:tcW w:w="0" w:type="auto"/>
            <w:shd w:val="clear"/>
            <w:vAlign w:val="center"/>
          </w:tcPr>
          <w:p w14:paraId="3C47A7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Follow up on alerts</w:t>
            </w:r>
          </w:p>
        </w:tc>
      </w:tr>
      <w:tr w14:paraId="56BAD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658B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System/service monitoring</w:t>
            </w:r>
          </w:p>
        </w:tc>
        <w:tc>
          <w:tcPr>
            <w:tcW w:w="0" w:type="auto"/>
            <w:shd w:val="clear"/>
            <w:vAlign w:val="center"/>
          </w:tcPr>
          <w:p w14:paraId="6A1EB9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journalctl</w:t>
            </w:r>
          </w:p>
        </w:tc>
        <w:tc>
          <w:tcPr>
            <w:tcW w:w="0" w:type="auto"/>
            <w:shd w:val="clear"/>
            <w:vAlign w:val="center"/>
          </w:tcPr>
          <w:p w14:paraId="5F4013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IT/Security</w:t>
            </w:r>
          </w:p>
        </w:tc>
        <w:tc>
          <w:tcPr>
            <w:tcW w:w="0" w:type="auto"/>
            <w:shd w:val="clear"/>
            <w:vAlign w:val="center"/>
          </w:tcPr>
          <w:p w14:paraId="64DA1A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System events available</w:t>
            </w:r>
          </w:p>
        </w:tc>
        <w:tc>
          <w:tcPr>
            <w:tcW w:w="0" w:type="auto"/>
            <w:shd w:val="clear"/>
            <w:vAlign w:val="center"/>
          </w:tcPr>
          <w:p w14:paraId="70CBEE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Critical errors investigated</w:t>
            </w:r>
          </w:p>
        </w:tc>
        <w:tc>
          <w:tcPr>
            <w:tcW w:w="0" w:type="auto"/>
            <w:shd w:val="clear"/>
            <w:vAlign w:val="center"/>
          </w:tcPr>
          <w:p w14:paraId="2FC3F4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Service disruption or security issues may go unnoticed</w:t>
            </w:r>
          </w:p>
        </w:tc>
        <w:tc>
          <w:tcPr>
            <w:tcW w:w="0" w:type="auto"/>
            <w:shd w:val="clear"/>
            <w:vAlign w:val="center"/>
          </w:tcPr>
          <w:p w14:paraId="115EF3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Investigate recurring errors</w:t>
            </w:r>
          </w:p>
        </w:tc>
        <w:tc>
          <w:tcPr>
            <w:tcW w:w="0" w:type="auto"/>
            <w:shd w:val="clear"/>
            <w:vAlign w:val="center"/>
          </w:tcPr>
          <w:p w14:paraId="6FAE2F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Review logs and confirm resolution</w:t>
            </w:r>
          </w:p>
        </w:tc>
      </w:tr>
    </w:tbl>
    <w:p w14:paraId="45BFDD57">
      <w:pPr>
        <w:rPr>
          <w:rFonts w:hint="default" w:ascii="Times New Roman" w:hAnsi="Times New Roman" w:cs="Times New Roman"/>
          <w:sz w:val="24"/>
          <w:szCs w:val="24"/>
        </w:rPr>
      </w:pPr>
    </w:p>
    <w:p w14:paraId="0F5B6D2D">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Highest priority: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65/100 Lynis hardening score and unresolved security gaps</w:t>
      </w:r>
      <w:r>
        <w:rPr>
          <w:rFonts w:hint="default" w:ascii="Times New Roman" w:hAnsi="Times New Roman" w:cs="Times New Roman"/>
          <w:sz w:val="24"/>
          <w:szCs w:val="24"/>
        </w:rPr>
        <w:t xml:space="preserve">, because they indicate weaknesses that may increase the system's attack surface. </w:t>
      </w:r>
    </w:p>
    <w:p w14:paraId="6A80D9D7">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Remediation owner:</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IT/Security:</w:t>
      </w:r>
      <w:r>
        <w:rPr>
          <w:rFonts w:hint="default" w:ascii="Times New Roman" w:hAnsi="Times New Roman" w:cs="Times New Roman"/>
          <w:sz w:val="24"/>
          <w:szCs w:val="24"/>
        </w:rPr>
        <w:t xml:space="preserve"> hardening, logging and authentication issues.</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GRC/Compliance:</w:t>
      </w:r>
      <w:r>
        <w:rPr>
          <w:rFonts w:hint="default" w:ascii="Times New Roman" w:hAnsi="Times New Roman" w:cs="Times New Roman"/>
          <w:sz w:val="24"/>
          <w:szCs w:val="24"/>
        </w:rPr>
        <w:t xml:space="preserve"> compliance assessment and control tracking. </w:t>
      </w:r>
    </w:p>
    <w:p w14:paraId="494AD42C">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Escalation threshold: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Escalate when a </w:t>
      </w:r>
      <w:r>
        <w:rPr>
          <w:rStyle w:val="13"/>
          <w:rFonts w:hint="default" w:ascii="Times New Roman" w:hAnsi="Times New Roman" w:cs="Times New Roman"/>
          <w:sz w:val="24"/>
          <w:szCs w:val="24"/>
        </w:rPr>
        <w:t>critical finding remains unresolved, a control repeatedly fails, or remediation exceeds its agreed deadline</w:t>
      </w:r>
      <w:r>
        <w:rPr>
          <w:rFonts w:hint="default" w:ascii="Times New Roman" w:hAnsi="Times New Roman" w:cs="Times New Roman"/>
          <w:sz w:val="24"/>
          <w:szCs w:val="24"/>
        </w:rPr>
        <w:t xml:space="preserve">. </w:t>
      </w:r>
    </w:p>
    <w:p w14:paraId="69CC89EC">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Successful remediation evidence: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 </w:t>
      </w:r>
      <w:r>
        <w:rPr>
          <w:rStyle w:val="13"/>
          <w:rFonts w:hint="default" w:ascii="Times New Roman" w:hAnsi="Times New Roman" w:cs="Times New Roman"/>
          <w:sz w:val="24"/>
          <w:szCs w:val="24"/>
        </w:rPr>
        <w:t>clean/reduced Lynis finding, updated logs showing controls working, and documented compliance/control evidence</w:t>
      </w:r>
      <w:r>
        <w:rPr>
          <w:rFonts w:hint="default" w:ascii="Times New Roman" w:hAnsi="Times New Roman" w:cs="Times New Roman"/>
          <w:sz w:val="24"/>
          <w:szCs w:val="24"/>
        </w:rPr>
        <w:t xml:space="preserve">. </w:t>
      </w:r>
    </w:p>
    <w:p w14:paraId="7556F741">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Retesting: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Retest </w:t>
      </w:r>
      <w:r>
        <w:rPr>
          <w:rStyle w:val="13"/>
          <w:rFonts w:hint="default" w:ascii="Times New Roman" w:hAnsi="Times New Roman" w:cs="Times New Roman"/>
          <w:sz w:val="24"/>
          <w:szCs w:val="24"/>
        </w:rPr>
        <w:t>after remediation and within the agreed control-monitoring cycle</w:t>
      </w:r>
      <w:r>
        <w:rPr>
          <w:rFonts w:hint="default" w:ascii="Times New Roman" w:hAnsi="Times New Roman" w:cs="Times New Roman"/>
          <w:sz w:val="24"/>
          <w:szCs w:val="24"/>
        </w:rPr>
        <w:t>, using Lynis and the relevant system logs.</w:t>
      </w:r>
    </w:p>
    <w:p w14:paraId="09CA4393">
      <w:pPr>
        <w:rPr>
          <w:rFonts w:hint="default"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Malgun Gothic">
    <w:panose1 w:val="020B0503020000020004"/>
    <w:charset w:val="81"/>
    <w:family w:val="auto"/>
    <w:pitch w:val="default"/>
    <w:sig w:usb0="9000002F" w:usb1="29D77CFB" w:usb2="00000012" w:usb3="00000000" w:csb0="0008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A35765"/>
    <w:multiLevelType w:val="multilevel"/>
    <w:tmpl w:val="41A35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4DF7FC4"/>
    <w:multiLevelType w:val="multilevel"/>
    <w:tmpl w:val="64DF7FC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F05"/>
    <w:rsid w:val="003F5EA9"/>
    <w:rsid w:val="004046CD"/>
    <w:rsid w:val="004F6215"/>
    <w:rsid w:val="00756D43"/>
    <w:rsid w:val="007E5F5C"/>
    <w:rsid w:val="00912387"/>
    <w:rsid w:val="00A45EF1"/>
    <w:rsid w:val="00C22F05"/>
    <w:rsid w:val="00C830AC"/>
    <w:rsid w:val="00D84670"/>
    <w:rsid w:val="00E73698"/>
    <w:rsid w:val="00EE2FFA"/>
    <w:rsid w:val="00F729E8"/>
    <w:rsid w:val="757B10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HP Inc.</Company>
  <Pages>6</Pages>
  <Words>168</Words>
  <Characters>1036</Characters>
  <Lines>8</Lines>
  <Paragraphs>2</Paragraphs>
  <TotalTime>4</TotalTime>
  <ScaleCrop>false</ScaleCrop>
  <LinksUpToDate>false</LinksUpToDate>
  <CharactersWithSpaces>1194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2026-10-02T15:28:00Z</dcterms:created>
  <dc:creator>Bali Esmeralda</dc:creator>
  <cp:lastModifiedBy>WPS_1785003096</cp:lastModifiedBy>
  <dcterms:modified xsi:type="dcterms:W3CDTF">2026-10-02T18:55:41Z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eyJoZGlkIjoiZGE3Y2I3OTRlNTA1NjUwZGY1NGI3NTM4NWZhMGI4N2IiLCJ1c2VySWQiOiIyNzQ4NzgzMTY0MzUyIn0=</vt:lpwstr>
  </property>
  <property fmtid="{D5CDD505-2E9C-101B-9397-08002B2CF9AE}" pid="3" name="KSOProductBuildVer">
    <vt:lpwstr>1033-12.1.0.28485</vt:lpwstr>
  </property>
  <property fmtid="{D5CDD505-2E9C-101B-9397-08002B2CF9AE}" pid="4" name="ICV">
    <vt:lpwstr>A5C8FDBA96624F49A886E7FBEA1F11EA_12</vt:lpwstr>
  </property>
</Properties>
</file>