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INSTALLATION</w:t>
      </w:r>
    </w:p>
    <w:p>
      <w:pPr>
        <w:pBdr/>
        <w:rPr/>
      </w:pPr>
    </w:p>
    <w:p>
      <w:pPr>
        <w:pStyle w:val=""/>
        <w:pBdr>
          <w:top/>
          <w:left/>
          <w:bottom/>
          <w:right/>
        </w:pBdr>
      </w:pPr>
      <w:r>
        <w:rPr/>
        <w:t xml:space="preserve">IB Gateway : </w:t>
      </w:r>
      <w:r>
        <w:rPr/>
        <w:t>https://download2.interactivebrokers.com/installers/ibgateway/stable-standalone/ibgateway-stable-standalone-windows-x64.exe</w:t>
      </w:r>
    </w:p>
    <w:p>
      <w:pPr>
        <w:pBdr/>
        <w:rPr/>
      </w:pPr>
    </w:p>
    <w:p>
      <w:pPr>
        <w:pStyle w:val=""/>
        <w:pBdr>
          <w:top/>
          <w:left/>
          <w:bottom/>
          <w:right/>
        </w:pBdr>
      </w:pPr>
      <w:r>
        <w:rPr/>
        <w:t xml:space="preserve">TWS API : </w:t>
      </w:r>
      <w:r>
        <w:rPr/>
        <w:t>http://interactivebrokers.github.io/</w:t>
      </w:r>
    </w:p>
    <w:p>
      <w:pPr>
        <w:pBdr/>
        <w:rPr/>
      </w:pPr>
    </w:p>
    <w:p>
      <w:pPr>
        <w:pStyle w:val=""/>
        <w:pBdr>
          <w:top/>
          <w:left/>
          <w:bottom/>
          <w:right/>
        </w:pBdr>
      </w:pPr>
      <w:r>
        <w:rPr/>
        <w:t xml:space="preserve">Trader Workstation : </w:t>
      </w:r>
      <w:r>
        <w:rPr/>
        <w:t>https://www.interactivebrokers.com/en/index.php?f=14099#tws-software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Python Libraries</w:t>
      </w:r>
    </w:p>
    <w:p>
      <w:pPr>
        <w:pBdr/>
        <w:rPr/>
      </w:pPr>
    </w:p>
    <w:p>
      <w:pPr>
        <w:pBdr/>
        <w:rPr/>
      </w:pPr>
      <w:r>
        <w:rPr/>
        <w:t>ibapi</w:t>
      </w:r>
    </w:p>
    <w:p>
      <w:pPr>
        <w:pBdr/>
        <w:rPr/>
      </w:pPr>
      <w:r>
        <w:rPr/>
        <w:t>Installation:</w:t>
      </w:r>
    </w:p>
    <w:p>
      <w:pPr>
        <w:pStyle w:val=""/>
        <w:numPr>
          <w:ilvl w:val="0"/>
          <w:numId w:val="97510001"/>
        </w:numPr>
        <w:pBdr>
          <w:top/>
          <w:left/>
          <w:bottom/>
          <w:right/>
        </w:pBdr>
        <w:spacing w:after="0" w:before="0"/>
        <w:ind w:firstLine="-360" w:left="720"/>
      </w:pPr>
      <w:r>
        <w:rPr/>
        <w:t>Open Source directory (generally "</w:t>
      </w:r>
      <w:r>
        <w:rPr/>
        <w:t>C:\TWS API\source\pythonclient"</w:t>
      </w:r>
      <w:r>
        <w:rPr/>
        <w:t>)</w:t>
      </w:r>
    </w:p>
    <w:p>
      <w:pPr>
        <w:pStyle w:val=""/>
        <w:numPr>
          <w:ilvl w:val="0"/>
          <w:numId w:val="97510001"/>
        </w:numPr>
        <w:pBdr>
          <w:top/>
          <w:left/>
          <w:bottom/>
          <w:right/>
        </w:pBdr>
        <w:spacing w:after="0" w:before="0"/>
        <w:ind w:firstLine="-360" w:left="720"/>
        <w:rPr/>
      </w:pPr>
      <w:r>
        <w:rPr/>
        <w:t>pip setup.py install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IbPy</w:t>
      </w:r>
    </w:p>
    <w:p>
      <w:pPr>
        <w:pBdr/>
        <w:rPr/>
      </w:pPr>
      <w:r>
        <w:rPr/>
        <w:t>Installation:</w:t>
      </w:r>
    </w:p>
    <w:p>
      <w:pPr>
        <w:numPr>
          <w:ilvl w:val="0"/>
          <w:numId w:val="82247427"/>
        </w:numPr>
        <w:pBdr/>
        <w:spacing w:after="0" w:before="0"/>
        <w:ind w:firstLine="-360" w:left="720"/>
        <w:rPr/>
      </w:pPr>
      <w:r>
        <w:rPr/>
        <w:t>pip install IbPy2</w:t>
      </w: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Ib-insync</w:t>
      </w:r>
    </w:p>
    <w:p>
      <w:pPr>
        <w:pBdr/>
        <w:rPr/>
      </w:pPr>
      <w:r>
        <w:rPr/>
        <w:t>Installation:</w:t>
      </w:r>
    </w:p>
    <w:p>
      <w:pPr>
        <w:numPr>
          <w:ilvl w:val="0"/>
          <w:numId w:val="83025942"/>
        </w:numPr>
        <w:pBdr/>
        <w:spacing w:after="0" w:before="0"/>
        <w:ind w:firstLine="-360" w:left="720"/>
        <w:rPr/>
      </w:pPr>
      <w:r>
        <w:rPr/>
        <w:t>pip install ib_insync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  <w:r>
        <w:rPr/>
        <w:t>Running :</w:t>
      </w:r>
    </w:p>
    <w:p>
      <w:pPr>
        <w:pBdr/>
        <w:rPr/>
      </w:pPr>
    </w:p>
    <w:p>
      <w:pPr>
        <w:numPr>
          <w:ilvl w:val="0"/>
          <w:numId w:val="55755644"/>
        </w:numPr>
        <w:pBdr/>
        <w:spacing w:after="0" w:before="0"/>
        <w:ind w:firstLine="-360" w:left="720"/>
        <w:rPr/>
      </w:pPr>
      <w:r>
        <w:rPr/>
        <w:t>Run IB Gateway</w:t>
      </w:r>
    </w:p>
    <w:p>
      <w:pPr>
        <w:numPr>
          <w:ilvl w:val="0"/>
          <w:numId w:val="55755644"/>
        </w:numPr>
        <w:pBdr/>
        <w:spacing w:after="0" w:before="0"/>
        <w:ind w:firstLine="-360" w:left="720"/>
        <w:rPr/>
      </w:pPr>
      <w:r>
        <w:rPr/>
        <w:t>Check Socket port and client ID from settings--&gt;config</w:t>
      </w:r>
    </w:p>
    <w:p>
      <w:pPr>
        <w:numPr>
          <w:ilvl w:val="0"/>
          <w:numId w:val="55755644"/>
        </w:numPr>
        <w:pBdr/>
        <w:spacing w:after="0" w:before="0"/>
        <w:ind w:firstLine="-360" w:left="720"/>
        <w:rPr/>
      </w:pPr>
      <w:r>
        <w:rPr/>
        <w:t>Run the below snippet to verify the installation.</w:t>
      </w: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Bdr/>
        <w:rPr/>
      </w:pPr>
    </w:p>
    <w:p>
      <w:pPr>
        <w:pStyle w:val=""/>
        <w:pBdr>
          <w:top/>
          <w:left/>
          <w:bottom/>
          <w:right/>
        </w:pBdr>
        <w:shd w:fill="1E1E1E" w:val="clear" w:color="auto"/>
        <w:spacing w:line="312"/>
      </w:pPr>
      <w:r>
        <w:rPr>
          <w:rFonts w:ascii="courier new" w:eastAsia="courier new" w:hAnsi="courier new" w:cs="courier new"/>
          <w:color w:val="c586c0"/>
          <w:sz w:val="18"/>
        </w:rPr>
        <w:t>from</w:t>
      </w:r>
      <w:r>
        <w:rPr>
          <w:rFonts w:ascii="courier new" w:eastAsia="courier new" w:hAnsi="courier new" w:cs="courier new"/>
          <w:color w:val="d4d4d4"/>
          <w:sz w:val="18"/>
        </w:rPr>
        <w:t xml:space="preserve"> ib_insync </w:t>
      </w:r>
      <w:r>
        <w:rPr>
          <w:rFonts w:ascii="courier new" w:eastAsia="courier new" w:hAnsi="courier new" w:cs="courier new"/>
          <w:color w:val="c586c0"/>
          <w:sz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</w:rPr>
        <w:t>*</w:t>
      </w:r>
    </w:p>
    <w:p>
      <w:pPr>
        <w:pStyle w:val=""/>
        <w:pBdr>
          <w:top/>
          <w:left/>
          <w:bottom/>
          <w:right/>
        </w:pBdr>
        <w:shd w:fill="1E1E1E" w:val="clear" w:color="auto"/>
        <w:spacing w:line="312"/>
        <w:rPr/>
      </w:pPr>
    </w:p>
    <w:p>
      <w:pPr>
        <w:pStyle w:val=""/>
        <w:pBdr>
          <w:top/>
          <w:left/>
          <w:bottom/>
          <w:right/>
        </w:pBdr>
        <w:shd w:fill="1E1E1E" w:val="clear" w:color="auto"/>
        <w:spacing w:line="312"/>
      </w:pPr>
      <w:r>
        <w:rPr>
          <w:rFonts w:ascii="courier new" w:eastAsia="courier new" w:hAnsi="courier new" w:cs="courier new"/>
          <w:color w:val="d4d4d4"/>
          <w:sz w:val="18"/>
        </w:rPr>
        <w:t>ib = IB()</w:t>
      </w:r>
    </w:p>
    <w:p>
      <w:pPr>
        <w:pStyle w:val=""/>
        <w:pBdr>
          <w:top/>
          <w:left/>
          <w:bottom/>
          <w:right/>
        </w:pBdr>
        <w:shd w:fill="1E1E1E" w:val="clear" w:color="auto"/>
        <w:spacing w:line="312"/>
        <w:rPr>
          <w:rFonts w:ascii="courier new,monospace" w:eastAsia="courier new,monospace" w:hAnsi="courier new,monospace" w:cs="courier new,monospace"/>
          <w:color w:val="d4d4d4"/>
          <w:sz w:val="18"/>
        </w:rPr>
      </w:pPr>
      <w:r>
        <w:rPr>
          <w:rFonts w:ascii="courier new" w:eastAsia="courier new" w:hAnsi="courier new" w:cs="courier new"/>
          <w:color w:val="d4d4d4"/>
          <w:sz w:val="18"/>
        </w:rPr>
        <w:t># ib.connect(</w:t>
      </w:r>
      <w:r>
        <w:rPr>
          <w:rFonts w:ascii="courier new" w:eastAsia="courier new" w:hAnsi="courier new" w:cs="courier new"/>
          <w:color w:val="ce9178"/>
          <w:sz w:val="18"/>
        </w:rPr>
        <w:t>Localhost IP</w:t>
      </w:r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</w:rPr>
        <w:t>Socket Port</w:t>
      </w:r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</w:rPr>
        <w:t>clientId</w:t>
      </w:r>
      <w:r>
        <w:rPr>
          <w:rFonts w:ascii="courier new" w:eastAsia="courier new" w:hAnsi="courier new" w:cs="courier new"/>
          <w:color w:val="d4d4d4"/>
          <w:sz w:val="18"/>
        </w:rPr>
        <w:t>=</w:t>
      </w:r>
      <w:r>
        <w:rPr>
          <w:rFonts w:ascii="courier new" w:eastAsia="courier new" w:hAnsi="courier new" w:cs="courier new"/>
          <w:color w:val="b5cea8"/>
          <w:sz w:val="18"/>
        </w:rPr>
        <w:t>ClientID</w:t>
      </w:r>
      <w:r>
        <w:rPr>
          <w:rFonts w:ascii="courier new" w:eastAsia="courier new" w:hAnsi="courier new" w:cs="courier new"/>
          <w:color w:val="d4d4d4"/>
          <w:sz w:val="18"/>
        </w:rPr>
        <w:t>)</w:t>
      </w:r>
    </w:p>
    <w:p>
      <w:pPr>
        <w:pStyle w:val=""/>
        <w:pBdr>
          <w:top/>
          <w:left/>
          <w:bottom/>
          <w:right/>
        </w:pBdr>
        <w:shd w:fill="1E1E1E" w:val="clear" w:color="auto"/>
        <w:spacing w:line="312"/>
        <w:rPr/>
      </w:pPr>
      <w:r>
        <w:rPr>
          <w:rFonts w:ascii="courier new" w:eastAsia="courier new" w:hAnsi="courier new" w:cs="courier new"/>
          <w:color w:val="d4d4d4"/>
          <w:sz w:val="18"/>
        </w:rPr>
        <w:t>ib.connect(</w:t>
      </w:r>
      <w:r>
        <w:rPr>
          <w:rFonts w:ascii="courier new" w:eastAsia="courier new" w:hAnsi="courier new" w:cs="courier new"/>
          <w:color w:val="ce9178"/>
          <w:sz w:val="18"/>
        </w:rPr>
        <w:t>'127.0.0.1'</w:t>
      </w:r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</w:rPr>
        <w:t>4002</w:t>
      </w:r>
      <w:r>
        <w:rPr>
          <w:rFonts w:ascii="courier new" w:eastAsia="courier new" w:hAnsi="courier new" w:cs="courier new"/>
          <w:color w:val="d4d4d4"/>
          <w:sz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</w:rPr>
        <w:t>clientId</w:t>
      </w:r>
      <w:r>
        <w:rPr>
          <w:rFonts w:ascii="courier new" w:eastAsia="courier new" w:hAnsi="courier new" w:cs="courier new"/>
          <w:color w:val="d4d4d4"/>
          <w:sz w:val="18"/>
        </w:rPr>
        <w:t>=</w:t>
      </w:r>
      <w:r>
        <w:rPr>
          <w:rFonts w:ascii="courier new" w:eastAsia="courier new" w:hAnsi="courier new" w:cs="courier new"/>
          <w:color w:val="b5cea8"/>
          <w:sz w:val="18"/>
        </w:rPr>
        <w:t>9898</w:t>
      </w:r>
      <w:r>
        <w:rPr>
          <w:rFonts w:ascii="courier new" w:eastAsia="courier new" w:hAnsi="courier new" w:cs="courier new"/>
          <w:color w:val="d4d4d4"/>
          <w:sz w:val="18"/>
        </w:rPr>
        <w:t>)</w:t>
      </w:r>
    </w:p>
    <w:p>
      <w:pPr>
        <w:pBdr/>
        <w:rPr/>
      </w:pPr>
    </w:p>
    <w:p>
      <w:pPr>
        <w:pBdr/>
        <w:rP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97510001">
    <w:abstractNumId w:val="0"/>
  </w:num>
  <w:num w:numId="55755644">
    <w:abstractNumId w:val="1"/>
  </w:num>
  <w:num w:numId="82247427">
    <w:abstractNumId w:val="2"/>
  </w:num>
  <w:num w:numId="83025942">
    <w:abstractNumId w:val="3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</w:rPr>
    </w:rPrDefault>
    <w:pPrDefault>
      <w:pPr>
        <w:pBdr/>
        <w:spacing w:line="288"/>
      </w:pPr>
    </w:pPrDefault>
  </w:docDefaults>
  <w:style w:type="paragraph" w:customStyle="true" w:styleId="zw002">
    <w:name w:val="zw002 reference"/>
    <w:unhideWhenUsed/>
  </w:style>
  <w:style w:styleId="Normal" w:type="paragraph">
    <w:name w:val="Normal"/>
    <w:uiPriority w:val="1"/>
    <w:unhideWhenUsed/>
    <w:qFormat/>
    <w:pPr>
      <w:pBdr/>
      <w:spacing w:line="288"/>
    </w:pPr>
    <w:rPr>
      <w:rFonts w:asciiTheme="minorHAnsi" w:eastAsiaTheme="minorHAnsi" w:hAnsiTheme="minorHAnsi" w:cstheme="minorHAnsi"/>
      <w:sz w:val="22"/>
    </w:rPr>
  </w:style>
  <w:style w:styleId="Heading1" w:type="paragraph">
    <w:name w:val="Heading 1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8"/>
    </w:rPr>
  </w:style>
  <w:style w:styleId="Heading3" w:type="paragraph">
    <w:name w:val="Heading 3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Heading4" w:type="paragraph">
    <w:name w:val="Heading 4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5" w:type="paragraph">
    <w:name w:val="Heading 5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47de2"/>
      <w:sz w:val="20"/>
    </w:rPr>
  </w:style>
  <w:style w:styleId="Heading6" w:type="paragraph">
    <w:name w:val="Heading 6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8" w:type="paragraph">
    <w:name w:val="Heading 8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Heading9" w:type="paragraph">
    <w:name w:val="Heading 9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Title" w:type="paragraph">
    <w:name w:val="Title"/>
    <w:basedOn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47de2"/>
      <w:sz w:val="24"/>
    </w:rPr>
  </w:style>
  <w:style w:styleId="Subtitle" w:type="paragraph">
    <w:name w:val="Subtitl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Quote" w:type="paragraph">
    <w:name w:val="Quote"/>
    <w:basedOn w:val="Normal"/>
    <w:uiPriority w:val="1"/>
    <w:unhideWhenUsed/>
    <w:qFormat/>
    <w:pPr>
      <w:pBdr>
        <w:top w:sz="8" w:val="single" w:themeColor="accent1" w:space="10"/>
        <w:left w:sz="16" w:val="single" w:color="0073B9" w:space="20"/>
        <w:bottom w:sz="8" w:val="single" w:themeColor="accent1" w:space="10"/>
        <w:right w:sz="8" w:val="single" w:themeColor="accent1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ListParagraph" w:type="paragraph">
    <w:name w:val="List Paragraph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SubtleEmphasis" w:type="character">
    <w:name w:val="Subtle Emphasis"/>
    <w:basedOn w:val="Normal"/>
    <w:uiPriority w:val="1"/>
    <w:unhideWhenUsed/>
    <w:qFormat/>
    <w:rPr>
      <w:b w:val="true"/>
      <w:i w:val="true"/>
      <w:color w:themeColor="accent1" w:val="447de2"/>
      <w:spacing w:val="10"/>
    </w:rPr>
  </w:style>
  <w:style w:styleId="Emphasis" w:type="character">
    <w:name w:val="Emphasis"/>
    <w:basedOn w:val="Normal"/>
    <w:uiPriority w:val="1"/>
    <w:unhideWhenUsed/>
    <w:qFormat/>
    <w:rPr>
      <w:b w:val="true"/>
      <w:i w:val="true"/>
      <w:color w:themeColor="accent2" w:val="f6c300"/>
      <w:spacing w:val="10"/>
    </w:rPr>
  </w:style>
  <w:style w:styleId="IntenseEmphasis" w:type="character">
    <w:name w:val="Intense Emphasis"/>
    <w:basedOn w:val="Normal"/>
    <w:uiPriority w:val="1"/>
    <w:unhideWhenUsed/>
    <w:qFormat/>
    <w:rPr>
      <w:b w:val="true"/>
      <w:i w:val="true"/>
      <w:color w:themeColor="accent3" w:val="7fc65d"/>
      <w:spacing w:val="10"/>
    </w:rPr>
  </w:style>
  <w:style w:styleId="Strong" w:type="character">
    <w:name w:val="Strong"/>
    <w:basedOn w:val="Normal"/>
    <w:uiPriority w:val="1"/>
    <w:unhideWhenUsed/>
    <w:qFormat/>
    <w:rPr>
      <w:b w:val="true"/>
      <w:i w:val="true"/>
      <w:color w:themeColor="accent4" w:val="888ba3"/>
      <w:spacing w:val="10"/>
    </w:rPr>
  </w:style>
  <w:style w:styleId="SubtleReference" w:type="character">
    <w:name w:val="Subtle Reference"/>
    <w:basedOn w:val="Normal"/>
    <w:uiPriority w:val="1"/>
    <w:unhideWhenUsed/>
    <w:qFormat/>
    <w:rPr>
      <w:b w:val="true"/>
      <w:i w:val="true"/>
      <w:color w:themeColor="accent5" w:val="f47e2f"/>
      <w:spacing w:val="10"/>
    </w:rPr>
  </w:style>
  <w:style w:styleId="IntenseReference" w:type="character">
    <w:name w:val="Intense Reference"/>
    <w:basedOn w:val="Normal"/>
    <w:uiPriority w:val="1"/>
    <w:unhideWhenUsed/>
    <w:qFormat/>
    <w:rPr>
      <w:b w:val="true"/>
      <w:i w:val="true"/>
      <w:color w:themeColor="accent6" w:val="46abc6"/>
      <w:spacing w:val="10"/>
    </w:rPr>
  </w:style>
  <w:style w:styleId="BookTitle" w:type="character">
    <w:name w:val="Book Title"/>
    <w:basedOn w:val="Normal"/>
    <w:uiPriority w:val="1"/>
    <w:unhideWhenUsed/>
    <w:qFormat/>
    <w:rPr>
      <w:b w:val="true"/>
      <w:i w:val="true"/>
      <w:color w:themeColor="accent2" w:val="f6c300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DFE3E5"/>
      </a:dk2>
      <a:lt2>
        <a:srgbClr val="1A3A2A"/>
      </a:lt2>
      <a:accent1>
        <a:srgbClr val="447DE2"/>
      </a:accent1>
      <a:accent2>
        <a:srgbClr val="F6C3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arial blac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2018-02-15T10:55:42Z</dcterms:created>
  <dc:creator>Apache POI</dc:creator>
</cp:coreProperties>
</file>