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C385A"/>
          <w:sz w:val="50"/>
        </w:rPr>
        <w:t>THE ₹100 DOLLAR QUESTION</w:t>
      </w:r>
    </w:p>
    <w:p>
      <w:pPr>
        <w:jc w:val="center"/>
      </w:pPr>
      <w:r>
        <w:rPr>
          <w:b/>
          <w:sz w:val="30"/>
        </w:rPr>
        <w:t>Does a Falling Rupee Change Which Investments Build Wealth?</w:t>
      </w:r>
    </w:p>
    <w:p>
      <w:pPr>
        <w:jc w:val="center"/>
      </w:pPr>
      <w:r>
        <w:rPr>
          <w:i/>
        </w:rPr>
        <w:t>Historical comparison of Indian equities, US equities translated into INR, gold and inflation</w:t>
        <w:br/>
        <w:t>January 2016–September 2026 | Monthly observations</w:t>
      </w:r>
    </w:p>
    <w:tbl>
      <w:tblPr>
        <w:tblW w:type="auto" w:w="0"/>
        <w:jc w:val="center"/>
        <w:tblLook w:firstColumn="1" w:firstRow="1" w:lastColumn="0" w:lastRow="0" w:noHBand="0" w:noVBand="1" w:val="04A0"/>
      </w:tblPr>
      <w:tblGrid>
        <w:gridCol w:w="10080"/>
      </w:tblGrid>
      <w:tr>
        <w:tc>
          <w:tcPr>
            <w:tcW w:type="dxa" w:w="10080"/>
            <w:shd w:fill="FFF2CC"/>
          </w:tcPr>
          <w:p>
            <w:r>
              <w:t>DATA-QUALITY NOTE</w:t>
              <w:br/>
              <w:t>This report summarises results recorded in the supplied workbook. It is a research draft, not a fully audited investment study. Before public publication, verify the exact S&amp;P index variant, all dates and units, the CPI series/base, the latest complete month and formulas. The workbook itself flags these checks.</w:t>
            </w:r>
          </w:p>
        </w:tc>
      </w:tr>
    </w:tbl>
    <w:p>
      <w:pPr>
        <w:pStyle w:val="Heading1"/>
      </w:pPr>
      <w:r>
        <w:t>Executive Summary</w:t>
      </w:r>
    </w:p>
    <w:p>
      <w:r>
        <w:t>This project examines whether currency translation changes the way an Indian investor experiences international investment returns. It compares Nifty 50 Total Returns Index (TRI), an S&amp;P 500 series translated into Indian rupees, a source series for gold priced in INR, and India’s Consumer Price Index (CPI). The workbook contains 129 monthly observations from January 2016 through September 2026, equivalent to 128 month-to-month intervals.</w:t>
      </w:r>
    </w:p>
    <w:p>
      <w:r>
        <w:t>According to the workbook’s current calculations, the S&amp;P 500 INR proxy recorded the highest annualised growth at approximately 17.52%, followed by gold in INR at 16.84%. Nifty 50 TRI recorded approximately 10.82%. Nifty also had the deepest reported monthly peak-to-trough drawdown. These results must be treated as provisional until the source data and formulas are reconciled.</w:t>
      </w:r>
    </w:p>
    <w:p>
      <w:pPr>
        <w:pStyle w:val="Heading1"/>
      </w:pPr>
      <w:r>
        <w:t>Key Results at a Glance</w:t>
      </w:r>
    </w:p>
    <w:tbl>
      <w:tblPr>
        <w:tblStyle w:val="LightShading-Accent1"/>
        <w:tblW w:type="auto" w:w="0"/>
        <w:jc w:val="center"/>
        <w:tblLook w:firstColumn="1" w:firstRow="1" w:lastColumn="0" w:lastRow="0" w:noHBand="0" w:noVBand="1" w:val="04A0"/>
      </w:tblPr>
      <w:tblGrid>
        <w:gridCol w:w="2520"/>
        <w:gridCol w:w="2520"/>
        <w:gridCol w:w="2520"/>
        <w:gridCol w:w="2520"/>
      </w:tblGrid>
      <w:tr>
        <w:tc>
          <w:tcPr>
            <w:tcW w:type="dxa" w:w="2520"/>
            <w:vAlign w:val="center"/>
          </w:tcPr>
          <w:p>
            <w:r>
              <w:rPr>
                <w:sz w:val="16"/>
              </w:rPr>
              <w:t>Measure</w:t>
            </w:r>
          </w:p>
        </w:tc>
        <w:tc>
          <w:tcPr>
            <w:tcW w:type="dxa" w:w="2520"/>
            <w:vAlign w:val="center"/>
          </w:tcPr>
          <w:p>
            <w:r>
              <w:rPr>
                <w:sz w:val="16"/>
              </w:rPr>
              <w:t>Gold (INR source)</w:t>
            </w:r>
          </w:p>
        </w:tc>
        <w:tc>
          <w:tcPr>
            <w:tcW w:type="dxa" w:w="2520"/>
            <w:vAlign w:val="center"/>
          </w:tcPr>
          <w:p>
            <w:r>
              <w:rPr>
                <w:sz w:val="16"/>
              </w:rPr>
              <w:t>Nifty 50 TRI</w:t>
            </w:r>
          </w:p>
        </w:tc>
        <w:tc>
          <w:tcPr>
            <w:tcW w:type="dxa" w:w="2520"/>
            <w:vAlign w:val="center"/>
          </w:tcPr>
          <w:p>
            <w:r>
              <w:rPr>
                <w:sz w:val="16"/>
              </w:rPr>
              <w:t>S&amp;P 500 translated to INR*</w:t>
            </w:r>
          </w:p>
        </w:tc>
      </w:tr>
      <w:tr>
        <w:tc>
          <w:tcPr>
            <w:tcW w:type="dxa" w:w="2520"/>
            <w:vAlign w:val="center"/>
          </w:tcPr>
          <w:p>
            <w:r>
              <w:rPr>
                <w:sz w:val="16"/>
              </w:rPr>
              <w:t>First observation</w:t>
            </w:r>
          </w:p>
        </w:tc>
        <w:tc>
          <w:tcPr>
            <w:tcW w:type="dxa" w:w="2520"/>
            <w:vAlign w:val="center"/>
          </w:tcPr>
          <w:p>
            <w:r>
              <w:rPr>
                <w:sz w:val="16"/>
              </w:rPr>
              <w:t>₹75,852</w:t>
            </w:r>
          </w:p>
        </w:tc>
        <w:tc>
          <w:tcPr>
            <w:tcW w:type="dxa" w:w="2520"/>
            <w:vAlign w:val="center"/>
          </w:tcPr>
          <w:p>
            <w:r>
              <w:rPr>
                <w:sz w:val="16"/>
              </w:rPr>
              <w:t>7,563.55</w:t>
            </w:r>
          </w:p>
        </w:tc>
        <w:tc>
          <w:tcPr>
            <w:tcW w:type="dxa" w:w="2520"/>
            <w:vAlign w:val="center"/>
          </w:tcPr>
          <w:p>
            <w:r>
              <w:rPr>
                <w:sz w:val="16"/>
              </w:rPr>
              <w:t>₹130,642.57 proxy</w:t>
            </w:r>
          </w:p>
        </w:tc>
      </w:tr>
      <w:tr>
        <w:tc>
          <w:tcPr>
            <w:tcW w:type="dxa" w:w="2520"/>
            <w:vAlign w:val="center"/>
          </w:tcPr>
          <w:p>
            <w:r>
              <w:rPr>
                <w:sz w:val="16"/>
              </w:rPr>
              <w:t>Latest observation</w:t>
            </w:r>
          </w:p>
        </w:tc>
        <w:tc>
          <w:tcPr>
            <w:tcW w:type="dxa" w:w="2520"/>
            <w:vAlign w:val="center"/>
          </w:tcPr>
          <w:p>
            <w:r>
              <w:rPr>
                <w:sz w:val="16"/>
              </w:rPr>
              <w:t>₹399,043</w:t>
            </w:r>
          </w:p>
        </w:tc>
        <w:tc>
          <w:tcPr>
            <w:tcW w:type="dxa" w:w="2520"/>
            <w:vAlign w:val="center"/>
          </w:tcPr>
          <w:p>
            <w:r>
              <w:rPr>
                <w:sz w:val="16"/>
              </w:rPr>
              <w:t>22,620.45</w:t>
            </w:r>
          </w:p>
        </w:tc>
        <w:tc>
          <w:tcPr>
            <w:tcW w:type="dxa" w:w="2520"/>
            <w:vAlign w:val="center"/>
          </w:tcPr>
          <w:p>
            <w:r>
              <w:rPr>
                <w:sz w:val="16"/>
              </w:rPr>
              <w:t>₹730,816.95 proxy</w:t>
            </w:r>
          </w:p>
        </w:tc>
      </w:tr>
      <w:tr>
        <w:tc>
          <w:tcPr>
            <w:tcW w:type="dxa" w:w="2520"/>
            <w:vAlign w:val="center"/>
          </w:tcPr>
          <w:p>
            <w:r>
              <w:rPr>
                <w:sz w:val="16"/>
              </w:rPr>
              <w:t>Growth multiple</w:t>
            </w:r>
          </w:p>
        </w:tc>
        <w:tc>
          <w:tcPr>
            <w:tcW w:type="dxa" w:w="2520"/>
            <w:vAlign w:val="center"/>
          </w:tcPr>
          <w:p>
            <w:r>
              <w:rPr>
                <w:sz w:val="16"/>
              </w:rPr>
              <w:t>5.26×</w:t>
            </w:r>
          </w:p>
        </w:tc>
        <w:tc>
          <w:tcPr>
            <w:tcW w:type="dxa" w:w="2520"/>
            <w:vAlign w:val="center"/>
          </w:tcPr>
          <w:p>
            <w:r>
              <w:rPr>
                <w:sz w:val="16"/>
              </w:rPr>
              <w:t>2.99×</w:t>
            </w:r>
          </w:p>
        </w:tc>
        <w:tc>
          <w:tcPr>
            <w:tcW w:type="dxa" w:w="2520"/>
            <w:vAlign w:val="center"/>
          </w:tcPr>
          <w:p>
            <w:r>
              <w:rPr>
                <w:sz w:val="16"/>
              </w:rPr>
              <w:t>5.59×</w:t>
            </w:r>
          </w:p>
        </w:tc>
      </w:tr>
      <w:tr>
        <w:tc>
          <w:tcPr>
            <w:tcW w:type="dxa" w:w="2520"/>
            <w:vAlign w:val="center"/>
          </w:tcPr>
          <w:p>
            <w:r>
              <w:rPr>
                <w:sz w:val="16"/>
              </w:rPr>
              <w:t>Cumulative return</w:t>
            </w:r>
          </w:p>
        </w:tc>
        <w:tc>
          <w:tcPr>
            <w:tcW w:type="dxa" w:w="2520"/>
            <w:vAlign w:val="center"/>
          </w:tcPr>
          <w:p>
            <w:r>
              <w:rPr>
                <w:sz w:val="16"/>
              </w:rPr>
              <w:t>≈426.08%</w:t>
            </w:r>
          </w:p>
        </w:tc>
        <w:tc>
          <w:tcPr>
            <w:tcW w:type="dxa" w:w="2520"/>
            <w:vAlign w:val="center"/>
          </w:tcPr>
          <w:p>
            <w:r>
              <w:rPr>
                <w:sz w:val="16"/>
              </w:rPr>
              <w:t>≈199.07%</w:t>
            </w:r>
          </w:p>
        </w:tc>
        <w:tc>
          <w:tcPr>
            <w:tcW w:type="dxa" w:w="2520"/>
            <w:vAlign w:val="center"/>
          </w:tcPr>
          <w:p>
            <w:r>
              <w:rPr>
                <w:sz w:val="16"/>
              </w:rPr>
              <w:t>≈459.40%</w:t>
            </w:r>
          </w:p>
        </w:tc>
      </w:tr>
      <w:tr>
        <w:tc>
          <w:tcPr>
            <w:tcW w:type="dxa" w:w="2520"/>
            <w:vAlign w:val="center"/>
          </w:tcPr>
          <w:p>
            <w:r>
              <w:rPr>
                <w:sz w:val="16"/>
              </w:rPr>
              <w:t>CAGR</w:t>
            </w:r>
          </w:p>
        </w:tc>
        <w:tc>
          <w:tcPr>
            <w:tcW w:type="dxa" w:w="2520"/>
            <w:vAlign w:val="center"/>
          </w:tcPr>
          <w:p>
            <w:r>
              <w:rPr>
                <w:sz w:val="16"/>
              </w:rPr>
              <w:t>≈16.84%</w:t>
            </w:r>
          </w:p>
        </w:tc>
        <w:tc>
          <w:tcPr>
            <w:tcW w:type="dxa" w:w="2520"/>
            <w:vAlign w:val="center"/>
          </w:tcPr>
          <w:p>
            <w:r>
              <w:rPr>
                <w:sz w:val="16"/>
              </w:rPr>
              <w:t>≈10.82%</w:t>
            </w:r>
          </w:p>
        </w:tc>
        <w:tc>
          <w:tcPr>
            <w:tcW w:type="dxa" w:w="2520"/>
            <w:vAlign w:val="center"/>
          </w:tcPr>
          <w:p>
            <w:r>
              <w:rPr>
                <w:sz w:val="16"/>
              </w:rPr>
              <w:t>≈17.52%</w:t>
            </w:r>
          </w:p>
        </w:tc>
      </w:tr>
      <w:tr>
        <w:tc>
          <w:tcPr>
            <w:tcW w:type="dxa" w:w="2520"/>
            <w:vAlign w:val="center"/>
          </w:tcPr>
          <w:p>
            <w:r>
              <w:rPr>
                <w:sz w:val="16"/>
              </w:rPr>
              <w:t>Worst observed monthly drawdown</w:t>
            </w:r>
          </w:p>
        </w:tc>
        <w:tc>
          <w:tcPr>
            <w:tcW w:type="dxa" w:w="2520"/>
            <w:vAlign w:val="center"/>
          </w:tcPr>
          <w:p>
            <w:r>
              <w:rPr>
                <w:sz w:val="16"/>
              </w:rPr>
              <w:t>−21.08%</w:t>
            </w:r>
          </w:p>
        </w:tc>
        <w:tc>
          <w:tcPr>
            <w:tcW w:type="dxa" w:w="2520"/>
            <w:vAlign w:val="center"/>
          </w:tcPr>
          <w:p>
            <w:r>
              <w:rPr>
                <w:sz w:val="16"/>
              </w:rPr>
              <w:t>−29.34%</w:t>
            </w:r>
          </w:p>
        </w:tc>
        <w:tc>
          <w:tcPr>
            <w:tcW w:type="dxa" w:w="2520"/>
            <w:vAlign w:val="center"/>
          </w:tcPr>
          <w:p>
            <w:r>
              <w:rPr>
                <w:sz w:val="16"/>
              </w:rPr>
              <w:t>−19.92%</w:t>
            </w:r>
          </w:p>
        </w:tc>
      </w:tr>
      <w:tr>
        <w:tc>
          <w:tcPr>
            <w:tcW w:type="dxa" w:w="2520"/>
            <w:vAlign w:val="center"/>
          </w:tcPr>
          <w:p>
            <w:r>
              <w:rPr>
                <w:sz w:val="16"/>
              </w:rPr>
              <w:t>Peak before drawdown</w:t>
            </w:r>
          </w:p>
        </w:tc>
        <w:tc>
          <w:tcPr>
            <w:tcW w:type="dxa" w:w="2520"/>
            <w:vAlign w:val="center"/>
          </w:tcPr>
          <w:p>
            <w:r>
              <w:rPr>
                <w:sz w:val="16"/>
              </w:rPr>
              <w:t>Feb 2026</w:t>
            </w:r>
          </w:p>
        </w:tc>
        <w:tc>
          <w:tcPr>
            <w:tcW w:type="dxa" w:w="2520"/>
            <w:vAlign w:val="center"/>
          </w:tcPr>
          <w:p>
            <w:r>
              <w:rPr>
                <w:sz w:val="16"/>
              </w:rPr>
              <w:t>Dec 2019</w:t>
            </w:r>
          </w:p>
        </w:tc>
        <w:tc>
          <w:tcPr>
            <w:tcW w:type="dxa" w:w="2520"/>
            <w:vAlign w:val="center"/>
          </w:tcPr>
          <w:p>
            <w:r>
              <w:rPr>
                <w:sz w:val="16"/>
              </w:rPr>
              <w:t>Dec 2021</w:t>
            </w:r>
          </w:p>
        </w:tc>
      </w:tr>
      <w:tr>
        <w:tc>
          <w:tcPr>
            <w:tcW w:type="dxa" w:w="2520"/>
            <w:vAlign w:val="center"/>
          </w:tcPr>
          <w:p>
            <w:r>
              <w:rPr>
                <w:sz w:val="16"/>
              </w:rPr>
              <w:t>Trough month</w:t>
            </w:r>
          </w:p>
        </w:tc>
        <w:tc>
          <w:tcPr>
            <w:tcW w:type="dxa" w:w="2520"/>
            <w:vAlign w:val="center"/>
          </w:tcPr>
          <w:p>
            <w:r>
              <w:rPr>
                <w:sz w:val="16"/>
              </w:rPr>
              <w:t>Jun 2026</w:t>
            </w:r>
          </w:p>
        </w:tc>
        <w:tc>
          <w:tcPr>
            <w:tcW w:type="dxa" w:w="2520"/>
            <w:vAlign w:val="center"/>
          </w:tcPr>
          <w:p>
            <w:r>
              <w:rPr>
                <w:sz w:val="16"/>
              </w:rPr>
              <w:t>Mar 2020</w:t>
            </w:r>
          </w:p>
        </w:tc>
        <w:tc>
          <w:tcPr>
            <w:tcW w:type="dxa" w:w="2520"/>
            <w:vAlign w:val="center"/>
          </w:tcPr>
          <w:p>
            <w:r>
              <w:rPr>
                <w:sz w:val="16"/>
              </w:rPr>
              <w:t>Sep 2022</w:t>
            </w:r>
          </w:p>
        </w:tc>
      </w:tr>
      <w:tr>
        <w:tc>
          <w:tcPr>
            <w:tcW w:type="dxa" w:w="2520"/>
            <w:vAlign w:val="center"/>
          </w:tcPr>
          <w:p>
            <w:r>
              <w:rPr>
                <w:sz w:val="16"/>
              </w:rPr>
              <w:t>₹1 lakh ending value, nominal</w:t>
            </w:r>
          </w:p>
        </w:tc>
        <w:tc>
          <w:tcPr>
            <w:tcW w:type="dxa" w:w="2520"/>
            <w:vAlign w:val="center"/>
          </w:tcPr>
          <w:p>
            <w:r>
              <w:rPr>
                <w:sz w:val="16"/>
              </w:rPr>
              <w:t>₹5,26,081</w:t>
            </w:r>
          </w:p>
        </w:tc>
        <w:tc>
          <w:tcPr>
            <w:tcW w:type="dxa" w:w="2520"/>
            <w:vAlign w:val="center"/>
          </w:tcPr>
          <w:p>
            <w:r>
              <w:rPr>
                <w:sz w:val="16"/>
              </w:rPr>
              <w:t>₹2,99,072</w:t>
            </w:r>
          </w:p>
        </w:tc>
        <w:tc>
          <w:tcPr>
            <w:tcW w:type="dxa" w:w="2520"/>
            <w:vAlign w:val="center"/>
          </w:tcPr>
          <w:p>
            <w:r>
              <w:rPr>
                <w:sz w:val="16"/>
              </w:rPr>
              <w:t>₹5,59,402</w:t>
            </w:r>
          </w:p>
        </w:tc>
      </w:tr>
      <w:tr>
        <w:tc>
          <w:tcPr>
            <w:tcW w:type="dxa" w:w="2520"/>
            <w:vAlign w:val="center"/>
          </w:tcPr>
          <w:p>
            <w:r>
              <w:rPr>
                <w:sz w:val="16"/>
              </w:rPr>
              <w:t>₹1 lakh ending value, real*</w:t>
            </w:r>
          </w:p>
        </w:tc>
        <w:tc>
          <w:tcPr>
            <w:tcW w:type="dxa" w:w="2520"/>
            <w:vAlign w:val="center"/>
          </w:tcPr>
          <w:p>
            <w:r>
              <w:rPr>
                <w:sz w:val="16"/>
              </w:rPr>
              <w:t>₹3,21,725</w:t>
            </w:r>
          </w:p>
        </w:tc>
        <w:tc>
          <w:tcPr>
            <w:tcW w:type="dxa" w:w="2520"/>
            <w:vAlign w:val="center"/>
          </w:tcPr>
          <w:p>
            <w:r>
              <w:rPr>
                <w:sz w:val="16"/>
              </w:rPr>
              <w:t>₹1,82,898</w:t>
            </w:r>
          </w:p>
        </w:tc>
        <w:tc>
          <w:tcPr>
            <w:tcW w:type="dxa" w:w="2520"/>
            <w:vAlign w:val="center"/>
          </w:tcPr>
          <w:p>
            <w:r>
              <w:rPr>
                <w:sz w:val="16"/>
              </w:rPr>
              <w:t>₹3,42,102</w:t>
            </w:r>
          </w:p>
        </w:tc>
      </w:tr>
    </w:tbl>
    <w:p>
      <w:r>
        <w:t>*The S&amp;P INR series is described as S&amp;P index level × monthly-average USD/INR. The real-value estimates depend on a consistent CPI series and correct alignment. Confirm that the underlying S&amp;P series includes reinvested dividends before presenting it as a total-return comparison.</w:t>
      </w:r>
    </w:p>
    <w:p>
      <w:pPr>
        <w:pStyle w:val="Heading1"/>
      </w:pPr>
      <w:r>
        <w:t>1. Background and Research Problem</w:t>
      </w:r>
    </w:p>
    <w:p>
      <w:r>
        <w:t>Investors commonly compare investments using the return reported in an asset’s home currency. For an Indian investor, that can omit an important factor: the rupee value of an overseas asset depends on both the asset’s USD performance and the USD/INR exchange rate. A weakening rupee can increase the translated INR value of a US asset; a strengthening rupee can reduce it. Currency is not a guaranteed bonus—it can amplify or offset underlying market performance.</w:t>
      </w:r>
    </w:p>
    <w:p>
      <w:r>
        <w:t>Research question: When investments are evaluated from an Indian investor’s currency perspective, how do historical growth, drawdowns and purchasing-power-adjusted values compare across domestic equities, US equities translated into INR and gold?</w:t>
      </w:r>
    </w:p>
    <w:p>
      <w:pPr>
        <w:pStyle w:val="Heading1"/>
      </w:pPr>
      <w:r>
        <w:t>2. Research Objectives</w:t>
      </w:r>
    </w:p>
    <w:p>
      <w:pPr>
        <w:pStyle w:val="ListBullet"/>
      </w:pPr>
      <w:r>
        <w:t>Compare historical growth of Nifty 50 TRI, an S&amp;P 500 series translated into INR and gold priced in INR.</w:t>
      </w:r>
    </w:p>
    <w:p>
      <w:pPr>
        <w:pStyle w:val="ListBullet"/>
      </w:pPr>
      <w:r>
        <w:t>Calculate cumulative return and CAGR over a common monthly window.</w:t>
      </w:r>
    </w:p>
    <w:p>
      <w:pPr>
        <w:pStyle w:val="ListBullet"/>
      </w:pPr>
      <w:r>
        <w:t>Compare observed monthly peak-to-trough drawdowns as a simple downside-risk measure.</w:t>
      </w:r>
    </w:p>
    <w:p>
      <w:pPr>
        <w:pStyle w:val="ListBullet"/>
      </w:pPr>
      <w:r>
        <w:t>Illustrate how inflation affects the purchasing power of nominal investment outcomes.</w:t>
      </w:r>
    </w:p>
    <w:p>
      <w:pPr>
        <w:pStyle w:val="ListBullet"/>
      </w:pPr>
      <w:r>
        <w:t>Document the effect and limitations of translating a US equity series using monthly-average exchange rates.</w:t>
      </w:r>
    </w:p>
    <w:p>
      <w:pPr>
        <w:pStyle w:val="ListBullet"/>
      </w:pPr>
      <w:r>
        <w:t>Build a transparent spreadsheet analysis that can be checked, updated and reproduced.</w:t>
      </w:r>
    </w:p>
    <w:p>
      <w:pPr>
        <w:pStyle w:val="Heading1"/>
      </w:pPr>
      <w:r>
        <w:t>3. Scope and Data Structure</w:t>
      </w:r>
    </w:p>
    <w:p>
      <w:r>
        <w:t>The workbook covers January 2016 to September 2026: 129 monthly observations and 128 month-to-month intervals. Variables include USD/INR, gold prices, Nifty 50 TRI, an S&amp;P 500 series, India CPI, derived INR-converted S&amp;P values, monthly returns, drawdowns, nominal wealth paths and real-value estimates.</w:t>
      </w:r>
    </w:p>
    <w:p>
      <w:r>
        <w:t>The intended source families are FRED for USD/INR (EXINUS), World Gold Council for gold prices, NSE Indices for Nifty historical/total-return data, an S&amp;P 500 series provider and MoSPI for CPI. The workbook explicitly warns that source series, units, dates and CPI methodology must be checked before interpretation.</w:t>
      </w:r>
    </w:p>
    <w:p>
      <w:pPr>
        <w:pStyle w:val="Heading1"/>
      </w:pPr>
      <w:r>
        <w:t>4. Methodology</w:t>
      </w:r>
    </w:p>
    <w:p>
      <w:pPr>
        <w:pStyle w:val="Heading2"/>
      </w:pPr>
      <w:r>
        <w:t>4.1 Observation window and data alignment</w:t>
      </w:r>
    </w:p>
    <w:p>
      <w:r>
        <w:t>Use the same month labels and a consistent rule for selecting monthly observations. Identify missing values, revised observations, mismatched trading calendars and incomplete current-month values. Confirm September 2026 is complete across all inputs before treating it as the final month.</w:t>
      </w:r>
    </w:p>
    <w:p>
      <w:pPr>
        <w:pStyle w:val="Heading2"/>
      </w:pPr>
      <w:r>
        <w:t>4.2 Cumulative return and growth multiple</w:t>
      </w:r>
    </w:p>
    <w:p>
      <w:r>
        <w:t>Growth multiple = final series value ÷ initial series value. Cumulative return = (final value ÷ initial value) − 1.</w:t>
      </w:r>
    </w:p>
    <w:p>
      <w:pPr>
        <w:pStyle w:val="Heading2"/>
      </w:pPr>
      <w:r>
        <w:t>4.3 Compound annual growth rate</w:t>
      </w:r>
    </w:p>
    <w:p>
      <w:r>
        <w:t>For 128 monthly intervals: CAGR = (final value ÷ initial value)^(12/128) − 1. CAGR annualises compounded growth and is not the arithmetic average of monthly returns.</w:t>
      </w:r>
    </w:p>
    <w:p>
      <w:pPr>
        <w:pStyle w:val="Heading2"/>
      </w:pPr>
      <w:r>
        <w:t>4.4 US equity translated into INR</w:t>
      </w:r>
    </w:p>
    <w:p>
      <w:r>
        <w:t>The workbook proxy is S&amp;P index level × monthly-average USD/INR. This illustrates currency translation but is not necessarily equivalent to an investable fund’s return. FRED EXINUS is an average of daily exchange rates, not a month-end rate, so the FX and asset observation conventions must be aligned. Confirm the exact S&amp;P variant: a price index excludes dividends, whereas a total-return index includes dividends under its methodology.</w:t>
      </w:r>
    </w:p>
    <w:p>
      <w:pPr>
        <w:pStyle w:val="Heading2"/>
      </w:pPr>
      <w:r>
        <w:t>4.5 Drawdown</w:t>
      </w:r>
    </w:p>
    <w:p>
      <w:r>
        <w:t>Drawdown at time t = (current value ÷ highest previous observed value) − 1. The worst observed drawdown is the minimum drawdown value. Monthly observations can miss larger intramonth losses and do not represent daily maximum drawdown.</w:t>
      </w:r>
    </w:p>
    <w:p>
      <w:pPr>
        <w:pStyle w:val="Heading2"/>
      </w:pPr>
      <w:r>
        <w:t>4.6 Inflation adjustment</w:t>
      </w:r>
    </w:p>
    <w:p>
      <w:r>
        <w:t>Conceptually, real ending value in base-period purchasing power = nominal ending value × (initial CPI ÷ final CPI). This is valid only if CPI definition, base and dates are consistent. Year-on-year inflation should be calculated from CPI values 12 months apart; do not substitute an average of month-to-month CPI changes.</w:t>
      </w:r>
    </w:p>
    <w:p>
      <w:pPr>
        <w:pStyle w:val="Heading2"/>
      </w:pPr>
      <w:r>
        <w:t>4.7 Scenario analysis</w:t>
      </w:r>
    </w:p>
    <w:p>
      <w:r>
        <w:t>Scenario outputs are conditional illustrations, not forecasts. Inputs must be entered as percentages in decimal form (5% = 0.05, not 0.5). The S&amp;P INR calculation should combine asset and FX effects consistently. Label scenarios Base, Optimistic and Stress, and show assumptions beside outputs.</w:t>
      </w:r>
    </w:p>
    <w:p>
      <w:pPr>
        <w:pStyle w:val="Heading1"/>
      </w:pPr>
      <w:r>
        <w:t>5. Findings and Interpretation</w:t>
      </w:r>
    </w:p>
    <w:p>
      <w:pPr>
        <w:pStyle w:val="Heading2"/>
      </w:pPr>
      <w:r>
        <w:t>5.1 S&amp;P 500 INR proxy: highest reported nominal growth</w:t>
      </w:r>
    </w:p>
    <w:p>
      <w:r>
        <w:t>The workbook reports a 5.59× growth multiple, about 459.40% cumulative return and 17.52% CAGR for the S&amp;P 500 translated into INR. This is the highest reported growth in the comparison. It illustrates why a home-currency view may differ from an Indian investor’s experience. The conclusion depends on the exact S&amp;P index variant, FX conversion method, date alignment and source integrity; it is not a forecast.</w:t>
      </w:r>
    </w:p>
    <w:p>
      <w:pPr>
        <w:pStyle w:val="Heading2"/>
      </w:pPr>
      <w:r>
        <w:t>5.2 Gold: close to the S&amp;P INR proxy in the supplied sample</w:t>
      </w:r>
    </w:p>
    <w:p>
      <w:r>
        <w:t>The INR gold source series reports 5.26× growth, about 426.08% cumulative return and 16.84% CAGR. This is specific to the selected gold series and does not represent the realised return of jewellery or necessarily of a gold ETF, sovereign gold bond, futures contract or other investable product. Taxes, making charges, premiums, spreads, expenses and tracking error are excluded.</w:t>
      </w:r>
    </w:p>
    <w:p>
      <w:pPr>
        <w:pStyle w:val="Heading2"/>
      </w:pPr>
      <w:r>
        <w:t>5.3 Nifty 50 TRI: lower reported growth, but includes dividends</w:t>
      </w:r>
    </w:p>
    <w:p>
      <w:r>
        <w:t>The workbook reports 2.99× growth, about 199.07% cumulative return and 10.82% CAGR for Nifty 50 TRI. A Total Returns Index is appropriate for wealth comparisons when dividends are reinvested according to the index methodology. Avoid comparing it with a price-only US index without disclosing the mismatch.</w:t>
      </w:r>
    </w:p>
    <w:p>
      <w:pPr>
        <w:pStyle w:val="Heading2"/>
      </w:pPr>
      <w:r>
        <w:t>5.4 Drawdown changes the risk interpretation</w:t>
      </w:r>
    </w:p>
    <w:p>
      <w:r>
        <w:t>The largest reported monthly drawdown was Nifty 50 TRI at −29.34%, followed by gold at −21.08% and the S&amp;P INR proxy at −19.92%. The workbook identifies peak/trough months as Dec 2019/Mar 2020 for Nifty, Feb 2026/Jun 2026 for gold, and Dec 2021/Sep 2022 for the S&amp;P INR proxy. Recalculate these from cleaned source data. Drawdown alone does not capture volatility, liquidity, recovery time or investor behaviour.</w:t>
      </w:r>
    </w:p>
    <w:p>
      <w:pPr>
        <w:pStyle w:val="Heading2"/>
      </w:pPr>
      <w:r>
        <w:t>5.5 Inflation reduces purchasing power</w:t>
      </w:r>
    </w:p>
    <w:p>
      <w:r>
        <w:t>The supplied workbook reports CPI rising from 66.50 to 108.74, approximately 63.52%. It reports real/base-period purchasing-power values of around ₹3.22 lakh for gold, ₹1.83 lakh for Nifty and ₹3.42 lakh for the S&amp;P INR proxy from an illustrative ₹1 lakh initial investment. These figures require independent validation of the CPI series, dates and real-value formulas.</w:t>
      </w:r>
    </w:p>
    <w:p>
      <w:pPr>
        <w:pStyle w:val="Heading1"/>
      </w:pPr>
      <w:r>
        <w:t>6. What the Results Do—and Do Not—Show</w:t>
      </w:r>
    </w:p>
    <w:p>
      <w:r>
        <w:t>The reported comparison suggests that the INR translation of US equities and the selected INR gold series delivered higher historical growth than Nifty 50 TRI during this particular period. It also shows why growth should be considered alongside drawdown and inflation.</w:t>
      </w:r>
    </w:p>
    <w:p>
      <w:pPr>
        <w:pStyle w:val="ListBullet"/>
      </w:pPr>
      <w:r>
        <w:t>The analysis does not isolate how much of the S&amp;P INR result came from US equity performance versus currency movement.</w:t>
      </w:r>
    </w:p>
    <w:p>
      <w:pPr>
        <w:pStyle w:val="ListBullet"/>
      </w:pPr>
      <w:r>
        <w:t>It does not show that the same ranking will persist in future periods.</w:t>
      </w:r>
    </w:p>
    <w:p>
      <w:pPr>
        <w:pStyle w:val="ListBullet"/>
      </w:pPr>
      <w:r>
        <w:t>It is not yet a complete portfolio study: correlations, rebalancing, diversification, risk-adjusted returns and periodic contributions are not fully analysed.</w:t>
      </w:r>
    </w:p>
    <w:p>
      <w:pPr>
        <w:pStyle w:val="ListBullet"/>
      </w:pPr>
      <w:r>
        <w:t>It does not model the return of a specific fund, ETF, brokerage account or gold product.</w:t>
      </w:r>
    </w:p>
    <w:p>
      <w:pPr>
        <w:pStyle w:val="ListBullet"/>
      </w:pPr>
      <w:r>
        <w:t>Results depend on selected series, dates, index type, currency convention and CPI definition.</w:t>
      </w:r>
    </w:p>
    <w:p>
      <w:pPr>
        <w:pStyle w:val="Heading1"/>
      </w:pPr>
      <w:r>
        <w:t>7. Data Quality and Validation Checklist</w:t>
      </w:r>
    </w:p>
    <w:p>
      <w:pPr>
        <w:pStyle w:val="ListBullet"/>
      </w:pPr>
      <w:r>
        <w:t>Confirm the S&amp;P series is a total-return index with dividends reinvested, not a price-only index.</w:t>
      </w:r>
    </w:p>
    <w:p>
      <w:pPr>
        <w:pStyle w:val="ListBullet"/>
      </w:pPr>
      <w:r>
        <w:t>Record exact series name/ticker, source URL, download date, units, frequency and transformations for every input.</w:t>
      </w:r>
    </w:p>
    <w:p>
      <w:pPr>
        <w:pStyle w:val="ListBullet"/>
      </w:pPr>
      <w:r>
        <w:t>Verify all 129 month labels appear once, in chronological order, without gaps or duplicates.</w:t>
      </w:r>
    </w:p>
    <w:p>
      <w:pPr>
        <w:pStyle w:val="ListBullet"/>
      </w:pPr>
      <w:r>
        <w:t>Document whether each input is month-end, monthly average or another observation convention.</w:t>
      </w:r>
    </w:p>
    <w:p>
      <w:pPr>
        <w:pStyle w:val="ListBullet"/>
      </w:pPr>
      <w:r>
        <w:t>FRED EXINUS monthly observations are averages of daily figures and may include a preliminary current-month value.</w:t>
      </w:r>
    </w:p>
    <w:p>
      <w:pPr>
        <w:pStyle w:val="ListBullet"/>
      </w:pPr>
      <w:r>
        <w:t>Confirm gold currency and units (for example, INR/troy ounce versus USD/troy ounce); never mix ounce and gram series.</w:t>
      </w:r>
    </w:p>
    <w:p>
      <w:pPr>
        <w:pStyle w:val="ListBullet"/>
      </w:pPr>
      <w:r>
        <w:t>Use one consistent India CPI series/base and verify the final observation date and provisional/final status.</w:t>
      </w:r>
    </w:p>
    <w:p>
      <w:pPr>
        <w:pStyle w:val="ListBullet"/>
      </w:pPr>
      <w:r>
        <w:t>Recalculate CAGR using 128 intervals, not 129 rows.</w:t>
      </w:r>
    </w:p>
    <w:p>
      <w:pPr>
        <w:pStyle w:val="ListBullet"/>
      </w:pPr>
      <w:r>
        <w:t>Recalculate drawdowns from the running maximum and validate peak/trough months.</w:t>
      </w:r>
    </w:p>
    <w:p>
      <w:pPr>
        <w:pStyle w:val="ListBullet"/>
      </w:pPr>
      <w:r>
        <w:t>Check formulas for blank cells, text-as-numbers, shifted columns and percentage-scaling errors.</w:t>
      </w:r>
    </w:p>
    <w:p>
      <w:pPr>
        <w:pStyle w:val="ListBullet"/>
      </w:pPr>
      <w:r>
        <w:t>Check real-value calculations use initial CPI divided by final CPI and correctly aligned dates.</w:t>
      </w:r>
    </w:p>
    <w:p>
      <w:pPr>
        <w:pStyle w:val="ListBullet"/>
      </w:pPr>
      <w:r>
        <w:t>Refresh the workbook and confirm scenario inputs use decimal percentages (0.05 = 5%).</w:t>
      </w:r>
    </w:p>
    <w:p>
      <w:pPr>
        <w:pStyle w:val="ListBullet"/>
      </w:pPr>
      <w:r>
        <w:t>Retain source snapshots so another analyst can reproduce the results.</w:t>
      </w:r>
    </w:p>
    <w:p>
      <w:pPr>
        <w:pStyle w:val="Heading1"/>
      </w:pPr>
      <w:r>
        <w:t>8. Limitations</w:t>
      </w:r>
    </w:p>
    <w:p>
      <w:pPr>
        <w:pStyle w:val="ListBullet"/>
      </w:pPr>
      <w:r>
        <w:t>Currency proxy: index level × monthly-average FX is a simplified translation and may not match actual month-end conversion.</w:t>
      </w:r>
    </w:p>
    <w:p>
      <w:pPr>
        <w:pStyle w:val="ListBullet"/>
      </w:pPr>
      <w:r>
        <w:t>Implementation costs: taxes, withholding taxes, fund expenses, tracking error, remittance costs and brokerage costs are excluded.</w:t>
      </w:r>
    </w:p>
    <w:p>
      <w:pPr>
        <w:pStyle w:val="ListBullet"/>
      </w:pPr>
      <w:r>
        <w:t>Gold implementation: retail premiums, making charges, GST, storage, spreads and product-specific costs are excluded.</w:t>
      </w:r>
    </w:p>
    <w:p>
      <w:pPr>
        <w:pStyle w:val="ListBullet"/>
      </w:pPr>
      <w:r>
        <w:t>Inflation: CPI is a broad measure; a household’s personal inflation rate may differ.</w:t>
      </w:r>
    </w:p>
    <w:p>
      <w:pPr>
        <w:pStyle w:val="ListBullet"/>
      </w:pPr>
      <w:r>
        <w:t>Monthly frequency conceals intramonth movements and may understate maximum drawdown.</w:t>
      </w:r>
    </w:p>
    <w:p>
      <w:pPr>
        <w:pStyle w:val="ListBullet"/>
      </w:pPr>
      <w:r>
        <w:t>Start and end dates influence the ranking; another period can produce different results.</w:t>
      </w:r>
    </w:p>
    <w:p>
      <w:pPr>
        <w:pStyle w:val="ListBullet"/>
      </w:pPr>
      <w:r>
        <w:t>No portfolio effects: this is a series comparison, not a rebalanced allocation strategy with cash flows.</w:t>
      </w:r>
    </w:p>
    <w:p>
      <w:pPr>
        <w:pStyle w:val="ListBullet"/>
      </w:pPr>
      <w:r>
        <w:t>Source verification remains incomplete according to the workbook’s own data-quality note.</w:t>
      </w:r>
    </w:p>
    <w:p>
      <w:pPr>
        <w:pStyle w:val="Heading1"/>
      </w:pPr>
      <w:r>
        <w:t>9. Recommendations to Strengthen the Study</w:t>
      </w:r>
    </w:p>
    <w:p>
      <w:pPr>
        <w:pStyle w:val="ListBullet"/>
      </w:pPr>
      <w:r>
        <w:t>Freeze a verified data version and add a Data Dictionary with source, ticker, units, frequency, date convention and download timestamp.</w:t>
      </w:r>
    </w:p>
    <w:p>
      <w:pPr>
        <w:pStyle w:val="ListBullet"/>
      </w:pPr>
      <w:r>
        <w:t>Use Nifty 50 TRI and an explicitly identified S&amp;P 500 total-return series.</w:t>
      </w:r>
    </w:p>
    <w:p>
      <w:pPr>
        <w:pStyle w:val="ListBullet"/>
      </w:pPr>
      <w:r>
        <w:t>Show the S&amp;P series in USD and translated into INR to separate market performance from currency translation.</w:t>
      </w:r>
    </w:p>
    <w:p>
      <w:pPr>
        <w:pStyle w:val="ListBullet"/>
      </w:pPr>
      <w:r>
        <w:t>Add a transparent currency decomposition: (1 + USD asset return) × (1 + FX return) − 1, where FX return is the change in INR per USD.</w:t>
      </w:r>
    </w:p>
    <w:p>
      <w:pPr>
        <w:pStyle w:val="ListBullet"/>
      </w:pPr>
      <w:r>
        <w:t>Add annual and rolling 3-year/5-year returns, volatility, recovery time and risk-adjusted metrics after data validation.</w:t>
      </w:r>
    </w:p>
    <w:p>
      <w:pPr>
        <w:pStyle w:val="ListBullet"/>
      </w:pPr>
      <w:r>
        <w:t>Normalise all assets to a common initial value such as ₹100,000 and plot nominal and real wealth paths.</w:t>
      </w:r>
    </w:p>
    <w:p>
      <w:pPr>
        <w:pStyle w:val="ListBullet"/>
      </w:pPr>
      <w:r>
        <w:t>Keep scenario assumptions separate from historical data and label them illustrative, not predictive.</w:t>
      </w:r>
    </w:p>
    <w:p>
      <w:pPr>
        <w:pStyle w:val="ListBullet"/>
      </w:pPr>
      <w:r>
        <w:t>Export a readable PDF with summary pages, repeated column headings and landscape orientation for wide tables.</w:t>
      </w:r>
    </w:p>
    <w:p>
      <w:pPr>
        <w:pStyle w:val="ListBullet"/>
      </w:pPr>
      <w:r>
        <w:t>Publish a README explaining the research question, formulas, key caveats, sources, workbook structure and reproduction steps.</w:t>
      </w:r>
    </w:p>
    <w:p>
      <w:pPr>
        <w:pStyle w:val="Heading1"/>
      </w:pPr>
      <w:r>
        <w:t>10. Conclusion</w:t>
      </w:r>
    </w:p>
    <w:p>
      <w:r>
        <w:t>The central lesson is that an Indian investor’s experience of international assets cannot be understood from the overseas market return alone. Currency translation can materially alter INR outcomes, while inflation erodes the purchasing power of nominal gains. The workbook’s current results put the S&amp;P 500 INR proxy first on reported nominal CAGR, gold close behind and Nifty 50 TRI lower; the drawdown comparison gives a different view of downside risk.</w:t>
      </w:r>
    </w:p>
    <w:p>
      <w:r>
        <w:t>The defensible conclusion is not that one asset is universally best. Investment comparisons require a consistent currency, dividend treatment, time window, inflation adjustment and risk measure. After data and formula checks, the project can demonstrate Excel modelling, return calculations, currency translation and critical interpretation.</w:t>
      </w:r>
    </w:p>
    <w:p>
      <w:pPr>
        <w:pStyle w:val="Heading1"/>
      </w:pPr>
      <w:r>
        <w:t>11. Sources for Verification</w:t>
      </w:r>
    </w:p>
    <w:p>
      <w:pPr>
        <w:pStyle w:val="ListBullet"/>
      </w:pPr>
      <w:r>
        <w:rPr>
          <w:b/>
        </w:rPr>
        <w:t xml:space="preserve">FRED — Indian Rupees to U.S. Dollar Spot Exchange Rate (EXINUS): </w:t>
      </w:r>
      <w:r>
        <w:t>https://fred.stlouisfed.org/series/EXINUS — Monthly observations are averages of daily figures; current-month values may be preliminary and data may be revised.</w:t>
      </w:r>
    </w:p>
    <w:p>
      <w:pPr>
        <w:pStyle w:val="ListBullet"/>
      </w:pPr>
      <w:r>
        <w:rPr>
          <w:b/>
        </w:rPr>
        <w:t xml:space="preserve">World Gold Council — Gold spot prices and historical averages: </w:t>
      </w:r>
      <w:r>
        <w:t>https://www.gold.org/goldhub/data/gold-prices — Historical average prices across currencies and frequencies; verify series and units.</w:t>
      </w:r>
    </w:p>
    <w:p>
      <w:pPr>
        <w:pStyle w:val="ListBullet"/>
      </w:pPr>
      <w:r>
        <w:rPr>
          <w:b/>
        </w:rPr>
        <w:t xml:space="preserve">NSE Indices — Historical data and total-return index values: </w:t>
      </w:r>
      <w:r>
        <w:t>https://www.niftyindices.com/reports — Official portal for historical index data and TRI values.</w:t>
      </w:r>
    </w:p>
    <w:p>
      <w:pPr>
        <w:pStyle w:val="ListBullet"/>
      </w:pPr>
      <w:r>
        <w:rPr>
          <w:b/>
        </w:rPr>
        <w:t xml:space="preserve">MoSPI — CPI data catalogue: </w:t>
      </w:r>
      <w:r>
        <w:t>https://esankhyiki.mospi.gov.in/catalogue-main/catalogue?product=CPI — Verify CPI series, base, dates and provisional/final status.</w:t>
      </w:r>
    </w:p>
    <w:p>
      <w:pPr>
        <w:pStyle w:val="ListBullet"/>
      </w:pPr>
      <w:r>
        <w:rPr>
          <w:b/>
        </w:rPr>
        <w:t xml:space="preserve">S&amp;P Dow Jones Indices — S&amp;P 500: </w:t>
      </w:r>
      <w:r>
        <w:t>https://www.spglobal.com/spdji/en/indices/equity/sp-500/ — Confirm the exact total-return variant; the label “S&amp;P 500” alone does not establish dividend treatment.</w:t>
      </w:r>
    </w:p>
    <w:p>
      <w:pPr>
        <w:pStyle w:val="Heading1"/>
      </w:pPr>
      <w:r>
        <w:t>Suggested Disclaimer</w:t>
      </w:r>
    </w:p>
    <w:p>
      <w:r>
        <w:t>This report is for educational and research purposes only and is not investment advice. Historical returns do not predict future performance. Results depend on source series, data conventions and assumptions. The S&amp;P 500 INR series is a constructed proxy and does not represent the realised return of any specific investment product. Independently verify all figures before investment use or formal publication.</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The ₹100 Dollar Question • Research draft for review • 10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RESEARCH REPORT | FINANCIAL ANALYSIS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