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Account Creation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Publisher: User Account Creation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Subscriber: User Data Management Service,Authentication Service,Personalized Content Service,Email Notification Service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S2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Login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Publisher: Authentication Service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Subscriber: User Interaction Tracking Service,Usage Statistics Service,Third Party Login Integration 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S3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Subscription Creation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Publisher: Subscription 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Subscribers: Owner's Service,Subscription Management Service,Payment Gateway Service,Notification Service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S4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Channel Creation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Publisher: Channel Creation Service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Subscribers: Channel Initialization Service, User Channel Management Service,Metadata Extraxtion Service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S5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Video Upload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Publisher: Video Upload 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Subscribers: Video Processing Service, Content Delivery Network (CDN) Service,Video Meta Data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