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F294D"/>
          <w:sz w:val="52"/>
        </w:rPr>
        <w:t>INFUSION PUMP SAFETY SIMULATOR</w:t>
      </w:r>
    </w:p>
    <w:p>
      <w:pPr>
        <w:jc w:val="center"/>
      </w:pPr>
      <w:r>
        <w:rPr>
          <w:color w:val="8250DF"/>
          <w:sz w:val="36"/>
        </w:rPr>
        <w:t>AI Pipeline &amp; Model Specification</w:t>
      </w:r>
    </w:p>
    <w:p/>
    <w:p>
      <w:pPr>
        <w:jc w:val="center"/>
      </w:pPr>
      <w:r>
        <w:rPr>
          <w:color w:val="656D76"/>
          <w:sz w:val="22"/>
        </w:rPr>
        <w:t>Version 1.0  ·  QR Seed Pilot Study</w:t>
      </w:r>
    </w:p>
    <w:p>
      <w:pPr>
        <w:jc w:val="center"/>
      </w:pPr>
      <w:r>
        <w:rPr>
          <w:color w:val="656D76"/>
          <w:sz w:val="22"/>
        </w:rPr>
        <w:t>University Research  ·  Confidential</w:t>
      </w:r>
    </w:p>
    <w:p/>
    <w:p/>
    <w:tbl>
      <w:tblPr>
        <w:tblW w:type="auto" w:w="0"/>
        <w:tblLook w:firstColumn="1" w:firstRow="1" w:lastColumn="0" w:lastRow="0" w:noHBand="0" w:noVBand="1" w:val="04A0"/>
      </w:tblPr>
      <w:tblGrid>
        <w:gridCol w:w="9066"/>
      </w:tblGrid>
      <w:tr>
        <w:tc>
          <w:tcPr>
            <w:tcW w:type="dxa" w:w="9066"/>
            <w:shd w:val="clear" w:color="auto" w:fill="8250DF"/>
          </w:tcPr>
          <w:p>
            <w:pPr>
              <w:spacing w:before="80" w:after="80"/>
            </w:pPr>
          </w:p>
        </w:tc>
      </w:tr>
    </w:tbl>
    <w:p/>
    <w:p>
      <w:pPr>
        <w:jc w:val="center"/>
      </w:pPr>
      <w:r>
        <w:rPr>
          <w:i/>
          <w:color w:val="656D76"/>
          <w:sz w:val="22"/>
        </w:rPr>
        <w:t>This document specifies the complete AI training pipeline — from raw session log to training record to model training, evaluation, and versioning — for the Infusion Pump Safety Simulator research project.</w:t>
      </w:r>
    </w:p>
    <w:p>
      <w:r>
        <w:br w:type="page"/>
      </w:r>
    </w:p>
    <w:p>
      <w:pPr>
        <w:spacing w:before="480" w:after="120"/>
        <w:pBdr>
          <w:bottom w:val="single" w:sz="6" w:space="4" w:color="8250DF"/>
        </w:pBdr>
      </w:pPr>
      <w:r>
        <w:rPr>
          <w:b/>
          <w:color w:val="0F294D"/>
          <w:sz w:val="40"/>
        </w:rPr>
        <w:t>1. Pipeline Overview</w:t>
      </w:r>
    </w:p>
    <w:p>
      <w:pPr>
        <w:spacing w:after="120"/>
      </w:pPr>
      <w:r>
        <w:rPr>
          <w:b w:val="0"/>
          <w:color w:val="1F2328"/>
          <w:sz w:val="22"/>
        </w:rPr>
        <w:t>The AI pipeline transforms simulated nurse–pump interactions into a structured training dataset, then trains a classifier to predict the risk level of novel infusion pump sessions. The pipeline has three stages:</w:t>
      </w:r>
    </w:p>
    <w:tbl>
      <w:tblPr>
        <w:tblStyle w:val="TableGrid"/>
        <w:tblW w:type="auto" w:w="0"/>
        <w:tblLook w:firstColumn="1" w:firstRow="1" w:lastColumn="0" w:lastRow="0" w:noHBand="0" w:noVBand="1" w:val="04A0"/>
      </w:tblPr>
      <w:tblGrid>
        <w:gridCol w:w="4533"/>
        <w:gridCol w:w="4533"/>
      </w:tblGrid>
      <w:tr>
        <w:tc>
          <w:tcPr>
            <w:tcW w:type="dxa" w:w="2016"/>
            <w:shd w:val="clear" w:color="auto" w:fill="EDE9FA"/>
          </w:tcPr>
          <w:p>
            <w:pPr>
              <w:jc w:val="center"/>
            </w:pPr>
            <w:r>
              <w:rPr>
                <w:b/>
                <w:color w:val="8250DF"/>
                <w:sz w:val="26"/>
              </w:rPr>
              <w:t>Stage 1</w:t>
              <w:br/>
            </w:r>
            <w:r>
              <w:rPr>
                <w:b/>
                <w:color w:val="0F294D"/>
                <w:sz w:val="20"/>
              </w:rPr>
              <w:t>Data Generation</w:t>
            </w:r>
          </w:p>
        </w:tc>
        <w:tc>
          <w:tcPr>
            <w:tcW w:type="dxa" w:w="4533"/>
          </w:tcPr>
          <w:p>
            <w:r>
              <w:rPr>
                <w:sz w:val="20"/>
              </w:rPr>
              <w:t>Interactive or synthetic sessions drive the pump state machines. Every session produces a SessionLogEntry[] and final PumpState. The feature extractor converts these into a TrainingRecord with 40+ typed fields.</w:t>
            </w:r>
          </w:p>
        </w:tc>
      </w:tr>
    </w:tbl>
    <w:p/>
    <w:tbl>
      <w:tblPr>
        <w:tblStyle w:val="TableGrid"/>
        <w:tblW w:type="auto" w:w="0"/>
        <w:tblLook w:firstColumn="1" w:firstRow="1" w:lastColumn="0" w:lastRow="0" w:noHBand="0" w:noVBand="1" w:val="04A0"/>
      </w:tblPr>
      <w:tblGrid>
        <w:gridCol w:w="4533"/>
        <w:gridCol w:w="4533"/>
      </w:tblGrid>
      <w:tr>
        <w:tc>
          <w:tcPr>
            <w:tcW w:type="dxa" w:w="2016"/>
            <w:shd w:val="clear" w:color="auto" w:fill="EDE9FA"/>
          </w:tcPr>
          <w:p>
            <w:pPr>
              <w:jc w:val="center"/>
            </w:pPr>
            <w:r>
              <w:rPr>
                <w:b/>
                <w:color w:val="8250DF"/>
                <w:sz w:val="26"/>
              </w:rPr>
              <w:t>Stage 2</w:t>
              <w:br/>
            </w:r>
            <w:r>
              <w:rPr>
                <w:b/>
                <w:color w:val="0F294D"/>
                <w:sz w:val="20"/>
              </w:rPr>
              <w:t>Labelling</w:t>
            </w:r>
          </w:p>
        </w:tc>
        <w:tc>
          <w:tcPr>
            <w:tcW w:type="dxa" w:w="4533"/>
          </w:tcPr>
          <w:p>
            <w:r>
              <w:rPr>
                <w:sz w:val="20"/>
              </w:rPr>
              <w:t>The labelling rules engine (R01–R21 + BB-R01–BB-R05) assigns risk_label, risk_score, and per-layer sub-scores to every record. Layer 0 design_score is merged from the device registry. The composite_score and grade are computed.</w:t>
            </w:r>
          </w:p>
        </w:tc>
      </w:tr>
    </w:tbl>
    <w:p/>
    <w:tbl>
      <w:tblPr>
        <w:tblStyle w:val="TableGrid"/>
        <w:tblW w:type="auto" w:w="0"/>
        <w:tblLook w:firstColumn="1" w:firstRow="1" w:lastColumn="0" w:lastRow="0" w:noHBand="0" w:noVBand="1" w:val="04A0"/>
      </w:tblPr>
      <w:tblGrid>
        <w:gridCol w:w="4533"/>
        <w:gridCol w:w="4533"/>
      </w:tblGrid>
      <w:tr>
        <w:tc>
          <w:tcPr>
            <w:tcW w:type="dxa" w:w="2016"/>
            <w:shd w:val="clear" w:color="auto" w:fill="EDE9FA"/>
          </w:tcPr>
          <w:p>
            <w:pPr>
              <w:jc w:val="center"/>
            </w:pPr>
            <w:r>
              <w:rPr>
                <w:b/>
                <w:color w:val="8250DF"/>
                <w:sz w:val="26"/>
              </w:rPr>
              <w:t>Stage 3</w:t>
              <w:br/>
            </w:r>
            <w:r>
              <w:rPr>
                <w:b/>
                <w:color w:val="0F294D"/>
                <w:sz w:val="20"/>
              </w:rPr>
              <w:t>Training &amp; Evaluation</w:t>
            </w:r>
          </w:p>
        </w:tc>
        <w:tc>
          <w:tcPr>
            <w:tcW w:type="dxa" w:w="4533"/>
          </w:tcPr>
          <w:p>
            <w:r>
              <w:rPr>
                <w:sz w:val="20"/>
              </w:rPr>
              <w:t>The assembled dataset (CSV) is passed to the Research Panel Training tab, which sends it to the FastAPI backend. The backend trains the selected model type, evaluates accuracy and feature importance, and returns the model metadata for versioned storage.</w:t>
            </w:r>
          </w:p>
        </w:tc>
      </w:tr>
    </w:tbl>
    <w:p/>
    <w:p>
      <w:r>
        <w:br w:type="page"/>
      </w:r>
    </w:p>
    <w:p>
      <w:pPr>
        <w:spacing w:before="480" w:after="120"/>
        <w:pBdr>
          <w:bottom w:val="single" w:sz="6" w:space="4" w:color="8250DF"/>
        </w:pBdr>
      </w:pPr>
      <w:r>
        <w:rPr>
          <w:b/>
          <w:color w:val="0F294D"/>
          <w:sz w:val="40"/>
        </w:rPr>
        <w:t>2. Session Log to Training Record</w:t>
      </w:r>
    </w:p>
    <w:p>
      <w:pPr>
        <w:spacing w:before="320" w:after="80"/>
      </w:pPr>
      <w:r>
        <w:rPr>
          <w:b/>
          <w:color w:val="8250DF"/>
          <w:sz w:val="28"/>
        </w:rPr>
        <w:t>2.1  SessionLogEntry Schema</w:t>
      </w:r>
    </w:p>
    <w:p>
      <w:pPr>
        <w:spacing w:after="120"/>
      </w:pPr>
      <w:r>
        <w:rPr>
          <w:b w:val="0"/>
          <w:color w:val="1F2328"/>
          <w:sz w:val="22"/>
        </w:rPr>
        <w:t>Every user action on any pump produces a SessionLogEntry. These are immutable (never mutated after creation). The log is the raw data source for all features.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20"/>
              </w:rPr>
              <w:t>Field</w:t>
            </w:r>
          </w:p>
        </w:tc>
        <w:tc>
          <w:tcPr>
            <w:tcW w:type="dxa" w:w="3022"/>
            <w:shd w:val="clear" w:color="auto" w:fill="0F294D"/>
          </w:tcPr>
          <w:p>
            <w:r>
              <w:rPr>
                <w:b/>
                <w:color w:val="FFFFFF"/>
                <w:sz w:val="20"/>
              </w:rPr>
              <w:t>Type</w:t>
            </w:r>
          </w:p>
        </w:tc>
        <w:tc>
          <w:tcPr>
            <w:tcW w:type="dxa" w:w="3022"/>
            <w:shd w:val="clear" w:color="auto" w:fill="0F294D"/>
          </w:tcPr>
          <w:p>
            <w:r>
              <w:rPr>
                <w:b/>
                <w:color w:val="FFFFFF"/>
                <w:sz w:val="20"/>
              </w:rPr>
              <w:t>Description</w:t>
            </w:r>
          </w:p>
        </w:tc>
      </w:tr>
      <w:tr>
        <w:tc>
          <w:tcPr>
            <w:tcW w:type="dxa" w:w="3022"/>
          </w:tcPr>
          <w:p>
            <w:r>
              <w:rPr>
                <w:rFonts w:ascii="Courier New" w:hAnsi="Courier New"/>
                <w:color w:val="0969DA"/>
                <w:sz w:val="18"/>
              </w:rPr>
              <w:t>timestamp</w:t>
            </w:r>
          </w:p>
        </w:tc>
        <w:tc>
          <w:tcPr>
            <w:tcW w:type="dxa" w:w="3022"/>
          </w:tcPr>
          <w:p>
            <w:r>
              <w:rPr>
                <w:rFonts w:ascii="Courier New" w:hAnsi="Courier New"/>
                <w:color w:val="8250DF"/>
                <w:sz w:val="18"/>
              </w:rPr>
              <w:t>number</w:t>
            </w:r>
          </w:p>
        </w:tc>
        <w:tc>
          <w:tcPr>
            <w:tcW w:type="dxa" w:w="3022"/>
          </w:tcPr>
          <w:p>
            <w:r>
              <w:rPr>
                <w:sz w:val="20"/>
              </w:rPr>
              <w:t>Milliseconds since session start (monotonically increasing)</w:t>
            </w:r>
          </w:p>
        </w:tc>
      </w:tr>
      <w:tr>
        <w:tc>
          <w:tcPr>
            <w:tcW w:type="dxa" w:w="3022"/>
          </w:tcPr>
          <w:p>
            <w:r>
              <w:rPr>
                <w:rFonts w:ascii="Courier New" w:hAnsi="Courier New"/>
                <w:color w:val="0969DA"/>
                <w:sz w:val="18"/>
              </w:rPr>
              <w:t>screen</w:t>
            </w:r>
          </w:p>
        </w:tc>
        <w:tc>
          <w:tcPr>
            <w:tcW w:type="dxa" w:w="3022"/>
          </w:tcPr>
          <w:p>
            <w:r>
              <w:rPr>
                <w:rFonts w:ascii="Courier New" w:hAnsi="Courier New"/>
                <w:color w:val="8250DF"/>
                <w:sz w:val="18"/>
              </w:rPr>
              <w:t>PumpScreen</w:t>
            </w:r>
          </w:p>
        </w:tc>
        <w:tc>
          <w:tcPr>
            <w:tcW w:type="dxa" w:w="3022"/>
          </w:tcPr>
          <w:p>
            <w:r>
              <w:rPr>
                <w:sz w:val="20"/>
              </w:rPr>
              <w:t>Active screen when the event occurred</w:t>
            </w:r>
          </w:p>
        </w:tc>
      </w:tr>
      <w:tr>
        <w:tc>
          <w:tcPr>
            <w:tcW w:type="dxa" w:w="3022"/>
          </w:tcPr>
          <w:p>
            <w:r>
              <w:rPr>
                <w:rFonts w:ascii="Courier New" w:hAnsi="Courier New"/>
                <w:color w:val="0969DA"/>
                <w:sz w:val="18"/>
              </w:rPr>
              <w:t>event</w:t>
            </w:r>
          </w:p>
        </w:tc>
        <w:tc>
          <w:tcPr>
            <w:tcW w:type="dxa" w:w="3022"/>
          </w:tcPr>
          <w:p>
            <w:r>
              <w:rPr>
                <w:rFonts w:ascii="Courier New" w:hAnsi="Courier New"/>
                <w:color w:val="8250DF"/>
                <w:sz w:val="18"/>
              </w:rPr>
              <w:t>EventType</w:t>
            </w:r>
          </w:p>
        </w:tc>
        <w:tc>
          <w:tcPr>
            <w:tcW w:type="dxa" w:w="3022"/>
          </w:tcPr>
          <w:p>
            <w:r>
              <w:rPr>
                <w:sz w:val="20"/>
              </w:rPr>
              <w:t>Categorised event type — see EventType below</w:t>
            </w:r>
          </w:p>
        </w:tc>
      </w:tr>
      <w:tr>
        <w:tc>
          <w:tcPr>
            <w:tcW w:type="dxa" w:w="3022"/>
          </w:tcPr>
          <w:p>
            <w:r>
              <w:rPr>
                <w:rFonts w:ascii="Courier New" w:hAnsi="Courier New"/>
                <w:color w:val="0969DA"/>
                <w:sz w:val="18"/>
              </w:rPr>
              <w:t>rate</w:t>
            </w:r>
          </w:p>
        </w:tc>
        <w:tc>
          <w:tcPr>
            <w:tcW w:type="dxa" w:w="3022"/>
          </w:tcPr>
          <w:p>
            <w:r>
              <w:rPr>
                <w:rFonts w:ascii="Courier New" w:hAnsi="Courier New"/>
                <w:color w:val="8250DF"/>
                <w:sz w:val="18"/>
              </w:rPr>
              <w:t>number?</w:t>
            </w:r>
          </w:p>
        </w:tc>
        <w:tc>
          <w:tcPr>
            <w:tcW w:type="dxa" w:w="3022"/>
          </w:tcPr>
          <w:p>
            <w:r>
              <w:rPr>
                <w:sz w:val="20"/>
              </w:rPr>
              <w:t>Rate buffer value at the time of the event</w:t>
            </w:r>
          </w:p>
        </w:tc>
      </w:tr>
      <w:tr>
        <w:tc>
          <w:tcPr>
            <w:tcW w:type="dxa" w:w="3022"/>
          </w:tcPr>
          <w:p>
            <w:r>
              <w:rPr>
                <w:rFonts w:ascii="Courier New" w:hAnsi="Courier New"/>
                <w:color w:val="0969DA"/>
                <w:sz w:val="18"/>
              </w:rPr>
              <w:t>delta</w:t>
            </w:r>
          </w:p>
        </w:tc>
        <w:tc>
          <w:tcPr>
            <w:tcW w:type="dxa" w:w="3022"/>
          </w:tcPr>
          <w:p>
            <w:r>
              <w:rPr>
                <w:rFonts w:ascii="Courier New" w:hAnsi="Courier New"/>
                <w:color w:val="8250DF"/>
                <w:sz w:val="18"/>
              </w:rPr>
              <w:t>number?</w:t>
            </w:r>
          </w:p>
        </w:tc>
        <w:tc>
          <w:tcPr>
            <w:tcW w:type="dxa" w:w="3022"/>
          </w:tcPr>
          <w:p>
            <w:r>
              <w:rPr>
                <w:sz w:val="20"/>
              </w:rPr>
              <w:t>Chevron delta (+10, -1, etc.) for rate_adjust events</w:t>
            </w:r>
          </w:p>
        </w:tc>
      </w:tr>
      <w:tr>
        <w:tc>
          <w:tcPr>
            <w:tcW w:type="dxa" w:w="3022"/>
          </w:tcPr>
          <w:p>
            <w:r>
              <w:rPr>
                <w:rFonts w:ascii="Courier New" w:hAnsi="Courier New"/>
                <w:color w:val="0969DA"/>
                <w:sz w:val="18"/>
              </w:rPr>
              <w:t>newRate</w:t>
            </w:r>
          </w:p>
        </w:tc>
        <w:tc>
          <w:tcPr>
            <w:tcW w:type="dxa" w:w="3022"/>
          </w:tcPr>
          <w:p>
            <w:r>
              <w:rPr>
                <w:rFonts w:ascii="Courier New" w:hAnsi="Courier New"/>
                <w:color w:val="8250DF"/>
                <w:sz w:val="18"/>
              </w:rPr>
              <w:t>number?</w:t>
            </w:r>
          </w:p>
        </w:tc>
        <w:tc>
          <w:tcPr>
            <w:tcW w:type="dxa" w:w="3022"/>
          </w:tcPr>
          <w:p>
            <w:r>
              <w:rPr>
                <w:sz w:val="20"/>
              </w:rPr>
              <w:t>Rate buffer after applying the delta</w:t>
            </w:r>
          </w:p>
        </w:tc>
      </w:tr>
      <w:tr>
        <w:tc>
          <w:tcPr>
            <w:tcW w:type="dxa" w:w="3022"/>
          </w:tcPr>
          <w:p>
            <w:r>
              <w:rPr>
                <w:rFonts w:ascii="Courier New" w:hAnsi="Courier New"/>
                <w:color w:val="0969DA"/>
                <w:sz w:val="18"/>
              </w:rPr>
              <w:t>drug</w:t>
            </w:r>
          </w:p>
        </w:tc>
        <w:tc>
          <w:tcPr>
            <w:tcW w:type="dxa" w:w="3022"/>
          </w:tcPr>
          <w:p>
            <w:r>
              <w:rPr>
                <w:rFonts w:ascii="Courier New" w:hAnsi="Courier New"/>
                <w:color w:val="8250DF"/>
                <w:sz w:val="18"/>
              </w:rPr>
              <w:t>string?</w:t>
            </w:r>
          </w:p>
        </w:tc>
        <w:tc>
          <w:tcPr>
            <w:tcW w:type="dxa" w:w="3022"/>
          </w:tcPr>
          <w:p>
            <w:r>
              <w:rPr>
                <w:sz w:val="20"/>
              </w:rPr>
              <w:t>Drug name if relevant (drug_selected events)</w:t>
            </w:r>
          </w:p>
        </w:tc>
      </w:tr>
      <w:tr>
        <w:tc>
          <w:tcPr>
            <w:tcW w:type="dxa" w:w="3022"/>
          </w:tcPr>
          <w:p>
            <w:r>
              <w:rPr>
                <w:rFonts w:ascii="Courier New" w:hAnsi="Courier New"/>
                <w:color w:val="0969DA"/>
                <w:sz w:val="18"/>
              </w:rPr>
              <w:t>vtbi</w:t>
            </w:r>
          </w:p>
        </w:tc>
        <w:tc>
          <w:tcPr>
            <w:tcW w:type="dxa" w:w="3022"/>
          </w:tcPr>
          <w:p>
            <w:r>
              <w:rPr>
                <w:rFonts w:ascii="Courier New" w:hAnsi="Courier New"/>
                <w:color w:val="8250DF"/>
                <w:sz w:val="18"/>
              </w:rPr>
              <w:t>number?</w:t>
            </w:r>
          </w:p>
        </w:tc>
        <w:tc>
          <w:tcPr>
            <w:tcW w:type="dxa" w:w="3022"/>
          </w:tcPr>
          <w:p>
            <w:r>
              <w:rPr>
                <w:sz w:val="20"/>
              </w:rPr>
              <w:t>VTBI value in ml if relevant</w:t>
            </w:r>
          </w:p>
        </w:tc>
      </w:tr>
      <w:tr>
        <w:tc>
          <w:tcPr>
            <w:tcW w:type="dxa" w:w="3022"/>
          </w:tcPr>
          <w:p>
            <w:r>
              <w:rPr>
                <w:rFonts w:ascii="Courier New" w:hAnsi="Courier New"/>
                <w:color w:val="0969DA"/>
                <w:sz w:val="18"/>
              </w:rPr>
              <w:t>guardrailStatus</w:t>
            </w:r>
          </w:p>
        </w:tc>
        <w:tc>
          <w:tcPr>
            <w:tcW w:type="dxa" w:w="3022"/>
          </w:tcPr>
          <w:p>
            <w:r>
              <w:rPr>
                <w:rFonts w:ascii="Courier New" w:hAnsi="Courier New"/>
                <w:color w:val="8250DF"/>
                <w:sz w:val="18"/>
              </w:rPr>
              <w:t>string?</w:t>
            </w:r>
          </w:p>
        </w:tc>
        <w:tc>
          <w:tcPr>
            <w:tcW w:type="dxa" w:w="3022"/>
          </w:tcPr>
          <w:p>
            <w:r>
              <w:rPr>
                <w:sz w:val="20"/>
              </w:rPr>
              <w:t>"ok" | "warning" | "blocked"</w:t>
            </w:r>
          </w:p>
        </w:tc>
      </w:tr>
      <w:tr>
        <w:tc>
          <w:tcPr>
            <w:tcW w:type="dxa" w:w="3022"/>
          </w:tcPr>
          <w:p>
            <w:r>
              <w:rPr>
                <w:rFonts w:ascii="Courier New" w:hAnsi="Courier New"/>
                <w:color w:val="0969DA"/>
                <w:sz w:val="18"/>
              </w:rPr>
              <w:t>overrideChoice</w:t>
            </w:r>
          </w:p>
        </w:tc>
        <w:tc>
          <w:tcPr>
            <w:tcW w:type="dxa" w:w="3022"/>
          </w:tcPr>
          <w:p>
            <w:r>
              <w:rPr>
                <w:rFonts w:ascii="Courier New" w:hAnsi="Courier New"/>
                <w:color w:val="8250DF"/>
                <w:sz w:val="18"/>
              </w:rPr>
              <w:t>string?</w:t>
            </w:r>
          </w:p>
        </w:tc>
        <w:tc>
          <w:tcPr>
            <w:tcW w:type="dxa" w:w="3022"/>
          </w:tcPr>
          <w:p>
            <w:r>
              <w:rPr>
                <w:sz w:val="20"/>
              </w:rPr>
              <w:t>"override" | "re-enter" — logs the nurse's guardrail decision</w:t>
            </w:r>
          </w:p>
        </w:tc>
      </w:tr>
      <w:tr>
        <w:tc>
          <w:tcPr>
            <w:tcW w:type="dxa" w:w="3022"/>
          </w:tcPr>
          <w:p>
            <w:r>
              <w:rPr>
                <w:rFonts w:ascii="Courier New" w:hAnsi="Courier New"/>
                <w:color w:val="0969DA"/>
                <w:sz w:val="18"/>
              </w:rPr>
              <w:t>alarmType</w:t>
            </w:r>
          </w:p>
        </w:tc>
        <w:tc>
          <w:tcPr>
            <w:tcW w:type="dxa" w:w="3022"/>
          </w:tcPr>
          <w:p>
            <w:r>
              <w:rPr>
                <w:rFonts w:ascii="Courier New" w:hAnsi="Courier New"/>
                <w:color w:val="8250DF"/>
                <w:sz w:val="18"/>
              </w:rPr>
              <w:t>AlarmType?</w:t>
            </w:r>
          </w:p>
        </w:tc>
        <w:tc>
          <w:tcPr>
            <w:tcW w:type="dxa" w:w="3022"/>
          </w:tcPr>
          <w:p>
            <w:r>
              <w:rPr>
                <w:sz w:val="20"/>
              </w:rPr>
              <w:t>Alarm type if alarm_triggered</w:t>
            </w:r>
          </w:p>
        </w:tc>
      </w:tr>
      <w:tr>
        <w:tc>
          <w:tcPr>
            <w:tcW w:type="dxa" w:w="3022"/>
          </w:tcPr>
          <w:p>
            <w:r>
              <w:rPr>
                <w:rFonts w:ascii="Courier New" w:hAnsi="Courier New"/>
                <w:color w:val="0969DA"/>
                <w:sz w:val="18"/>
              </w:rPr>
              <w:t>bolusVolume</w:t>
            </w:r>
          </w:p>
        </w:tc>
        <w:tc>
          <w:tcPr>
            <w:tcW w:type="dxa" w:w="3022"/>
          </w:tcPr>
          <w:p>
            <w:r>
              <w:rPr>
                <w:rFonts w:ascii="Courier New" w:hAnsi="Courier New"/>
                <w:color w:val="8250DF"/>
                <w:sz w:val="18"/>
              </w:rPr>
              <w:t>number?</w:t>
            </w:r>
          </w:p>
        </w:tc>
        <w:tc>
          <w:tcPr>
            <w:tcW w:type="dxa" w:w="3022"/>
          </w:tcPr>
          <w:p>
            <w:r>
              <w:rPr>
                <w:sz w:val="20"/>
              </w:rPr>
              <w:t>Volume delivered (ml) for bolus events</w:t>
            </w:r>
          </w:p>
        </w:tc>
      </w:tr>
      <w:tr>
        <w:tc>
          <w:tcPr>
            <w:tcW w:type="dxa" w:w="3022"/>
          </w:tcPr>
          <w:p>
            <w:r>
              <w:rPr>
                <w:rFonts w:ascii="Courier New" w:hAnsi="Courier New"/>
                <w:color w:val="0969DA"/>
                <w:sz w:val="18"/>
              </w:rPr>
              <w:t>pressureLevel</w:t>
            </w:r>
          </w:p>
        </w:tc>
        <w:tc>
          <w:tcPr>
            <w:tcW w:type="dxa" w:w="3022"/>
          </w:tcPr>
          <w:p>
            <w:r>
              <w:rPr>
                <w:rFonts w:ascii="Courier New" w:hAnsi="Courier New"/>
                <w:color w:val="8250DF"/>
                <w:sz w:val="18"/>
              </w:rPr>
              <w:t>number?</w:t>
            </w:r>
          </w:p>
        </w:tc>
        <w:tc>
          <w:tcPr>
            <w:tcW w:type="dxa" w:w="3022"/>
          </w:tcPr>
          <w:p>
            <w:r>
              <w:rPr>
                <w:sz w:val="20"/>
              </w:rPr>
              <w:t>Pressure level L0–L8 for pressure events</w:t>
            </w:r>
          </w:p>
        </w:tc>
      </w:tr>
    </w:tbl>
    <w:p/>
    <w:p>
      <w:pPr>
        <w:spacing w:before="320" w:after="80"/>
      </w:pPr>
      <w:r>
        <w:rPr>
          <w:b/>
          <w:color w:val="8250DF"/>
          <w:sz w:val="28"/>
        </w:rPr>
        <w:t>2.2  EventType Enumeration</w:t>
      </w:r>
    </w:p>
    <w:p>
      <w:pPr>
        <w:spacing w:after="120"/>
      </w:pPr>
      <w:r>
        <w:rPr>
          <w:b w:val="0"/>
          <w:color w:val="1F2328"/>
          <w:sz w:val="22"/>
        </w:rPr>
        <w:t>The complete set of loggable event types:</w:t>
      </w:r>
    </w:p>
    <w:p>
      <w:pPr>
        <w:spacing w:after="60"/>
        <w:ind w:left="288"/>
      </w:pPr>
      <w:r>
        <w:rPr>
          <w:rFonts w:ascii="Courier New" w:hAnsi="Courier New"/>
          <w:b/>
          <w:color w:val="0A7A5A"/>
          <w:sz w:val="20"/>
        </w:rPr>
        <w:t>session_start / session_end</w:t>
      </w:r>
      <w:r>
        <w:rPr>
          <w:color w:val="1F2328"/>
          <w:sz w:val="20"/>
        </w:rPr>
        <w:t xml:space="preserve">  —  Bookend events — every session has exactly one of each</w:t>
      </w:r>
    </w:p>
    <w:p>
      <w:pPr>
        <w:spacing w:after="60"/>
        <w:ind w:left="288"/>
      </w:pPr>
      <w:r>
        <w:rPr>
          <w:rFonts w:ascii="Courier New" w:hAnsi="Courier New"/>
          <w:b/>
          <w:color w:val="0A7A5A"/>
          <w:sz w:val="20"/>
        </w:rPr>
        <w:t>language_selected</w:t>
      </w:r>
      <w:r>
        <w:rPr>
          <w:color w:val="1F2328"/>
          <w:sz w:val="20"/>
        </w:rPr>
        <w:t xml:space="preserve">  —  First user action — boot sequence complete</w:t>
      </w:r>
    </w:p>
    <w:p>
      <w:pPr>
        <w:spacing w:after="60"/>
        <w:ind w:left="288"/>
      </w:pPr>
      <w:r>
        <w:rPr>
          <w:rFonts w:ascii="Courier New" w:hAnsi="Courier New"/>
          <w:b/>
          <w:color w:val="0A7A5A"/>
          <w:sz w:val="20"/>
        </w:rPr>
        <w:t>drug_selected</w:t>
      </w:r>
      <w:r>
        <w:rPr>
          <w:color w:val="1F2328"/>
          <w:sz w:val="20"/>
        </w:rPr>
        <w:t xml:space="preserve">  —  Drug chosen from library or MANUAL mode selected</w:t>
      </w:r>
    </w:p>
    <w:p>
      <w:pPr>
        <w:spacing w:after="60"/>
        <w:ind w:left="288"/>
      </w:pPr>
      <w:r>
        <w:rPr>
          <w:rFonts w:ascii="Courier New" w:hAnsi="Courier New"/>
          <w:b/>
          <w:color w:val="0A7A5A"/>
          <w:sz w:val="20"/>
        </w:rPr>
        <w:t>rate_adjust</w:t>
      </w:r>
      <w:r>
        <w:rPr>
          <w:color w:val="1F2328"/>
          <w:sz w:val="20"/>
        </w:rPr>
        <w:t xml:space="preserve">  —  Chevron pressed — most frequent event type in dataset</w:t>
      </w:r>
    </w:p>
    <w:p>
      <w:pPr>
        <w:spacing w:after="60"/>
        <w:ind w:left="288"/>
      </w:pPr>
      <w:r>
        <w:rPr>
          <w:rFonts w:ascii="Courier New" w:hAnsi="Courier New"/>
          <w:b/>
          <w:color w:val="0A7A5A"/>
          <w:sz w:val="20"/>
        </w:rPr>
        <w:t>boundary_hit</w:t>
      </w:r>
      <w:r>
        <w:rPr>
          <w:color w:val="1F2328"/>
          <w:sz w:val="20"/>
        </w:rPr>
        <w:t xml:space="preserve">  —  Attempted to move past RATE_MIN or RATE_MAX</w:t>
      </w:r>
    </w:p>
    <w:p>
      <w:pPr>
        <w:spacing w:after="60"/>
        <w:ind w:left="288"/>
      </w:pPr>
      <w:r>
        <w:rPr>
          <w:rFonts w:ascii="Courier New" w:hAnsi="Courier New"/>
          <w:b/>
          <w:color w:val="0A7A5A"/>
          <w:sz w:val="20"/>
        </w:rPr>
        <w:t>correction</w:t>
      </w:r>
      <w:r>
        <w:rPr>
          <w:color w:val="1F2328"/>
          <w:sz w:val="20"/>
        </w:rPr>
        <w:t xml:space="preserve">  —  Direction reversal detected — key metric for R14</w:t>
      </w:r>
    </w:p>
    <w:p>
      <w:pPr>
        <w:spacing w:after="60"/>
        <w:ind w:left="288"/>
      </w:pPr>
      <w:r>
        <w:rPr>
          <w:rFonts w:ascii="Courier New" w:hAnsi="Courier New"/>
          <w:b/>
          <w:color w:val="0A7A5A"/>
          <w:sz w:val="20"/>
        </w:rPr>
        <w:t>guardrail_warning</w:t>
      </w:r>
      <w:r>
        <w:rPr>
          <w:color w:val="1F2328"/>
          <w:sz w:val="20"/>
        </w:rPr>
        <w:t xml:space="preserve">  —  Soft limit hit on RUN — screen transition to GUARDRAIL_WARNING</w:t>
      </w:r>
    </w:p>
    <w:p>
      <w:pPr>
        <w:spacing w:after="60"/>
        <w:ind w:left="288"/>
      </w:pPr>
      <w:r>
        <w:rPr>
          <w:rFonts w:ascii="Courier New" w:hAnsi="Courier New"/>
          <w:b/>
          <w:color w:val="0A7A5A"/>
          <w:sz w:val="20"/>
        </w:rPr>
        <w:t>guardrail_override</w:t>
      </w:r>
      <w:r>
        <w:rPr>
          <w:color w:val="1F2328"/>
          <w:sz w:val="20"/>
        </w:rPr>
        <w:t xml:space="preserve">  —  Nurse chose OVERRIDE — MOST SAFETY-CRITICAL EVENT</w:t>
      </w:r>
    </w:p>
    <w:p>
      <w:pPr>
        <w:spacing w:after="60"/>
        <w:ind w:left="288"/>
      </w:pPr>
      <w:r>
        <w:rPr>
          <w:rFonts w:ascii="Courier New" w:hAnsi="Courier New"/>
          <w:b/>
          <w:color w:val="0A7A5A"/>
          <w:sz w:val="20"/>
        </w:rPr>
        <w:t>guardrail_blocked</w:t>
      </w:r>
      <w:r>
        <w:rPr>
          <w:color w:val="1F2328"/>
          <w:sz w:val="20"/>
        </w:rPr>
        <w:t xml:space="preserve">  —  Hard limit hit on RUN — screen transition to GUARDRAIL_BLOCKED</w:t>
      </w:r>
    </w:p>
    <w:p>
      <w:pPr>
        <w:spacing w:after="60"/>
        <w:ind w:left="288"/>
      </w:pPr>
      <w:r>
        <w:rPr>
          <w:rFonts w:ascii="Courier New" w:hAnsi="Courier New"/>
          <w:b/>
          <w:color w:val="0A7A5A"/>
          <w:sz w:val="20"/>
        </w:rPr>
        <w:t>guardrail_re_entered</w:t>
      </w:r>
      <w:r>
        <w:rPr>
          <w:color w:val="1F2328"/>
          <w:sz w:val="20"/>
        </w:rPr>
        <w:t xml:space="preserve">  —  Nurse chose RE-ENTER after warning</w:t>
      </w:r>
    </w:p>
    <w:p>
      <w:pPr>
        <w:spacing w:after="60"/>
        <w:ind w:left="288"/>
      </w:pPr>
      <w:r>
        <w:rPr>
          <w:rFonts w:ascii="Courier New" w:hAnsi="Courier New"/>
          <w:b/>
          <w:color w:val="0A7A5A"/>
          <w:sz w:val="20"/>
        </w:rPr>
        <w:t>vtbi_set / vtbi_cleared</w:t>
      </w:r>
      <w:r>
        <w:rPr>
          <w:color w:val="1F2328"/>
          <w:sz w:val="20"/>
        </w:rPr>
        <w:t xml:space="preserve">  —  VTBI programmed or removed</w:t>
      </w:r>
    </w:p>
    <w:p>
      <w:pPr>
        <w:spacing w:after="60"/>
        <w:ind w:left="288"/>
      </w:pPr>
      <w:r>
        <w:rPr>
          <w:rFonts w:ascii="Courier New" w:hAnsi="Courier New"/>
          <w:b/>
          <w:color w:val="0A7A5A"/>
          <w:sz w:val="20"/>
        </w:rPr>
        <w:t>infusion_started</w:t>
      </w:r>
      <w:r>
        <w:rPr>
          <w:color w:val="1F2328"/>
          <w:sz w:val="20"/>
        </w:rPr>
        <w:t xml:space="preserve">  —  RUN confirmed, infusion begins — feature extraction trigger</w:t>
      </w:r>
    </w:p>
    <w:p>
      <w:pPr>
        <w:spacing w:after="60"/>
        <w:ind w:left="288"/>
      </w:pPr>
      <w:r>
        <w:rPr>
          <w:rFonts w:ascii="Courier New" w:hAnsi="Courier New"/>
          <w:b/>
          <w:color w:val="0A7A5A"/>
          <w:sz w:val="20"/>
        </w:rPr>
        <w:t>infusion_held / resumed</w:t>
      </w:r>
      <w:r>
        <w:rPr>
          <w:color w:val="1F2328"/>
          <w:sz w:val="20"/>
        </w:rPr>
        <w:t xml:space="preserve">  —  HOLD / RUN pressed during active infusion</w:t>
      </w:r>
    </w:p>
    <w:p>
      <w:pPr>
        <w:spacing w:after="60"/>
        <w:ind w:left="288"/>
      </w:pPr>
      <w:r>
        <w:rPr>
          <w:rFonts w:ascii="Courier New" w:hAnsi="Courier New"/>
          <w:b/>
          <w:color w:val="0A7A5A"/>
          <w:sz w:val="20"/>
        </w:rPr>
        <w:t>infusion_complete</w:t>
      </w:r>
      <w:r>
        <w:rPr>
          <w:color w:val="1F2328"/>
          <w:sz w:val="20"/>
        </w:rPr>
        <w:t xml:space="preserve">  —  volumeInfused ≥ vtbi — KVO mode begins</w:t>
      </w:r>
    </w:p>
    <w:p>
      <w:pPr>
        <w:spacing w:after="60"/>
        <w:ind w:left="288"/>
      </w:pPr>
      <w:r>
        <w:rPr>
          <w:rFonts w:ascii="Courier New" w:hAnsi="Courier New"/>
          <w:b/>
          <w:color w:val="0A7A5A"/>
          <w:sz w:val="20"/>
        </w:rPr>
        <w:t>bolus_started / ended</w:t>
      </w:r>
      <w:r>
        <w:rPr>
          <w:color w:val="1F2328"/>
          <w:sz w:val="20"/>
        </w:rPr>
        <w:t xml:space="preserve">  —  Hold-to-deliver bolus; volume accumulated between events</w:t>
      </w:r>
    </w:p>
    <w:p>
      <w:pPr>
        <w:spacing w:after="60"/>
        <w:ind w:left="288"/>
      </w:pPr>
      <w:r>
        <w:rPr>
          <w:rFonts w:ascii="Courier New" w:hAnsi="Courier New"/>
          <w:b/>
          <w:color w:val="0A7A5A"/>
          <w:sz w:val="20"/>
        </w:rPr>
        <w:t>alarm_triggered / silenced</w:t>
      </w:r>
      <w:r>
        <w:rPr>
          <w:color w:val="1F2328"/>
          <w:sz w:val="20"/>
        </w:rPr>
        <w:t xml:space="preserve">  —  Alarm state entered; MUTE pressed or SILENCE softkey</w:t>
      </w:r>
    </w:p>
    <w:p>
      <w:pPr>
        <w:spacing w:after="60"/>
        <w:ind w:left="288"/>
      </w:pPr>
      <w:r>
        <w:rPr>
          <w:rFonts w:ascii="Courier New" w:hAnsi="Courier New"/>
          <w:b/>
          <w:color w:val="0A7A5A"/>
          <w:sz w:val="20"/>
        </w:rPr>
        <w:t>pressure_viewed / adjusted</w:t>
      </w:r>
      <w:r>
        <w:rPr>
          <w:color w:val="1F2328"/>
          <w:sz w:val="20"/>
        </w:rPr>
        <w:t xml:space="preserve">  —  Pressure screen entered; L-level changed</w:t>
      </w:r>
    </w:p>
    <w:p>
      <w:pPr>
        <w:spacing w:after="60"/>
        <w:ind w:left="288"/>
      </w:pPr>
      <w:r>
        <w:rPr>
          <w:rFonts w:ascii="Courier New" w:hAnsi="Courier New"/>
          <w:b/>
          <w:color w:val="0A7A5A"/>
          <w:sz w:val="20"/>
        </w:rPr>
        <w:t>options_opened</w:t>
      </w:r>
      <w:r>
        <w:rPr>
          <w:color w:val="1F2328"/>
          <w:sz w:val="20"/>
        </w:rPr>
        <w:t xml:space="preserve">  —  OPTIONS menu accessed</w:t>
      </w:r>
    </w:p>
    <w:p>
      <w:pPr>
        <w:spacing w:after="60"/>
        <w:ind w:left="288"/>
      </w:pPr>
      <w:r>
        <w:rPr>
          <w:rFonts w:ascii="Courier New" w:hAnsi="Courier New"/>
          <w:b/>
          <w:color w:val="0A7A5A"/>
          <w:sz w:val="20"/>
        </w:rPr>
        <w:t>volume_cleared</w:t>
      </w:r>
      <w:r>
        <w:rPr>
          <w:color w:val="1F2328"/>
          <w:sz w:val="20"/>
        </w:rPr>
        <w:t xml:space="preserve">  —  Volume infused counter reset</w:t>
      </w:r>
    </w:p>
    <w:p>
      <w:pPr>
        <w:spacing w:after="60"/>
        <w:ind w:left="288"/>
      </w:pPr>
      <w:r>
        <w:rPr>
          <w:rFonts w:ascii="Courier New" w:hAnsi="Courier New"/>
          <w:b/>
          <w:color w:val="0A7A5A"/>
          <w:sz w:val="20"/>
        </w:rPr>
        <w:t>mute_pressed</w:t>
      </w:r>
      <w:r>
        <w:rPr>
          <w:color w:val="1F2328"/>
          <w:sz w:val="20"/>
        </w:rPr>
        <w:t xml:space="preserve">  —  MUTE button pressed — 120-second silence period</w:t>
      </w:r>
    </w:p>
    <w:p/>
    <w:p>
      <w:r>
        <w:br w:type="page"/>
      </w:r>
    </w:p>
    <w:p>
      <w:pPr>
        <w:spacing w:before="480" w:after="120"/>
        <w:pBdr>
          <w:bottom w:val="single" w:sz="6" w:space="4" w:color="8250DF"/>
        </w:pBdr>
      </w:pPr>
      <w:r>
        <w:rPr>
          <w:b/>
          <w:color w:val="0F294D"/>
          <w:sz w:val="40"/>
        </w:rPr>
        <w:t>3. Unified Training Record Schema (TrainingRecord)</w:t>
      </w:r>
    </w:p>
    <w:p>
      <w:pPr>
        <w:spacing w:after="120"/>
      </w:pPr>
      <w:r>
        <w:rPr>
          <w:b w:val="0"/>
          <w:color w:val="1F2328"/>
          <w:sz w:val="22"/>
        </w:rPr>
        <w:t>Every session — whether from the Alaris GP, B. Braun Infusomat, or Graseby 3100 — is serialised to a TrainingRecord with this exact schema. The schema is device-agnostic; device-specific fields are set to 0 / null / "N/A" for devices that do not support them. This allows a single ML model to train on data from all devices simultaneously.</w:t>
      </w:r>
    </w:p>
    <w:p>
      <w:pPr>
        <w:spacing w:after="120"/>
        <w:ind w:left="288"/>
      </w:pPr>
      <w:r>
        <w:rPr>
          <w:b/>
          <w:color w:val="9A6700"/>
          <w:sz w:val="20"/>
        </w:rPr>
        <w:t xml:space="preserve">Serialisation: </w:t>
      </w:r>
      <w:r>
        <w:rPr>
          <w:i/>
          <w:color w:val="656D76"/>
          <w:sz w:val="20"/>
        </w:rPr>
        <w:t>Every TrainingRecord is JSON-serialisable and CSV-compatible without transformation. The toCSV() function in featureExtractor.ts produces a header row matching exactly the field order below.</w:t>
      </w:r>
    </w:p>
    <w:p>
      <w:pPr>
        <w:spacing w:before="200" w:after="40"/>
      </w:pPr>
      <w:r>
        <w:rPr>
          <w:b/>
          <w:color w:val="0A7A5A"/>
          <w:sz w:val="24"/>
        </w:rPr>
        <w:t>Metadata</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18"/>
              </w:rPr>
              <w:t>Field</w:t>
            </w:r>
          </w:p>
        </w:tc>
        <w:tc>
          <w:tcPr>
            <w:tcW w:type="dxa" w:w="3022"/>
            <w:shd w:val="clear" w:color="auto" w:fill="0F294D"/>
          </w:tcPr>
          <w:p>
            <w:r>
              <w:rPr>
                <w:b/>
                <w:color w:val="FFFFFF"/>
                <w:sz w:val="18"/>
              </w:rPr>
              <w:t>Type</w:t>
            </w:r>
          </w:p>
        </w:tc>
        <w:tc>
          <w:tcPr>
            <w:tcW w:type="dxa" w:w="3022"/>
            <w:shd w:val="clear" w:color="auto" w:fill="0F294D"/>
          </w:tcPr>
          <w:p>
            <w:r>
              <w:rPr>
                <w:b/>
                <w:color w:val="FFFFFF"/>
                <w:sz w:val="18"/>
              </w:rPr>
              <w:t>Description</w:t>
            </w:r>
          </w:p>
        </w:tc>
      </w:tr>
      <w:tr>
        <w:tc>
          <w:tcPr>
            <w:tcW w:type="dxa" w:w="3022"/>
          </w:tcPr>
          <w:p>
            <w:r>
              <w:rPr>
                <w:rFonts w:ascii="Courier New" w:hAnsi="Courier New"/>
                <w:color w:val="0969DA"/>
                <w:sz w:val="18"/>
              </w:rPr>
              <w:t>record_id</w:t>
            </w:r>
          </w:p>
        </w:tc>
        <w:tc>
          <w:tcPr>
            <w:tcW w:type="dxa" w:w="3022"/>
          </w:tcPr>
          <w:p>
            <w:r>
              <w:rPr>
                <w:rFonts w:ascii="Courier New" w:hAnsi="Courier New"/>
                <w:color w:val="8250DF"/>
                <w:sz w:val="18"/>
              </w:rPr>
              <w:t>string</w:t>
            </w:r>
          </w:p>
        </w:tc>
        <w:tc>
          <w:tcPr>
            <w:tcW w:type="dxa" w:w="3022"/>
          </w:tcPr>
          <w:p>
            <w:r>
              <w:rPr>
                <w:sz w:val="18"/>
              </w:rPr>
              <w:t>Unique record identifier, e.g. "alaris_001_task_03"</w:t>
            </w:r>
          </w:p>
        </w:tc>
      </w:tr>
      <w:tr>
        <w:tc>
          <w:tcPr>
            <w:tcW w:type="dxa" w:w="3022"/>
          </w:tcPr>
          <w:p>
            <w:r>
              <w:rPr>
                <w:rFonts w:ascii="Courier New" w:hAnsi="Courier New"/>
                <w:color w:val="0969DA"/>
                <w:sz w:val="18"/>
              </w:rPr>
              <w:t>session_id</w:t>
            </w:r>
          </w:p>
        </w:tc>
        <w:tc>
          <w:tcPr>
            <w:tcW w:type="dxa" w:w="3022"/>
          </w:tcPr>
          <w:p>
            <w:r>
              <w:rPr>
                <w:rFonts w:ascii="Courier New" w:hAnsi="Courier New"/>
                <w:color w:val="8250DF"/>
                <w:sz w:val="18"/>
              </w:rPr>
              <w:t>string</w:t>
            </w:r>
          </w:p>
        </w:tc>
        <w:tc>
          <w:tcPr>
            <w:tcW w:type="dxa" w:w="3022"/>
          </w:tcPr>
          <w:p>
            <w:r>
              <w:rPr>
                <w:sz w:val="18"/>
              </w:rPr>
              <w:t>UUID — unique per simulated session</w:t>
            </w:r>
          </w:p>
        </w:tc>
      </w:tr>
      <w:tr>
        <w:tc>
          <w:tcPr>
            <w:tcW w:type="dxa" w:w="3022"/>
          </w:tcPr>
          <w:p>
            <w:r>
              <w:rPr>
                <w:rFonts w:ascii="Courier New" w:hAnsi="Courier New"/>
                <w:color w:val="0969DA"/>
                <w:sz w:val="18"/>
              </w:rPr>
              <w:t>timestamp_iso</w:t>
            </w:r>
          </w:p>
        </w:tc>
        <w:tc>
          <w:tcPr>
            <w:tcW w:type="dxa" w:w="3022"/>
          </w:tcPr>
          <w:p>
            <w:r>
              <w:rPr>
                <w:rFonts w:ascii="Courier New" w:hAnsi="Courier New"/>
                <w:color w:val="8250DF"/>
                <w:sz w:val="18"/>
              </w:rPr>
              <w:t>string</w:t>
            </w:r>
          </w:p>
        </w:tc>
        <w:tc>
          <w:tcPr>
            <w:tcW w:type="dxa" w:w="3022"/>
          </w:tcPr>
          <w:p>
            <w:r>
              <w:rPr>
                <w:sz w:val="18"/>
              </w:rPr>
              <w:t>ISO 8601 datetime of session start</w:t>
            </w:r>
          </w:p>
        </w:tc>
      </w:tr>
      <w:tr>
        <w:tc>
          <w:tcPr>
            <w:tcW w:type="dxa" w:w="3022"/>
          </w:tcPr>
          <w:p>
            <w:r>
              <w:rPr>
                <w:rFonts w:ascii="Courier New" w:hAnsi="Courier New"/>
                <w:color w:val="0969DA"/>
                <w:sz w:val="18"/>
              </w:rPr>
              <w:t>pump_model</w:t>
            </w:r>
          </w:p>
        </w:tc>
        <w:tc>
          <w:tcPr>
            <w:tcW w:type="dxa" w:w="3022"/>
          </w:tcPr>
          <w:p>
            <w:r>
              <w:rPr>
                <w:rFonts w:ascii="Courier New" w:hAnsi="Courier New"/>
                <w:color w:val="8250DF"/>
                <w:sz w:val="18"/>
              </w:rPr>
              <w:t>string</w:t>
            </w:r>
          </w:p>
        </w:tc>
        <w:tc>
          <w:tcPr>
            <w:tcW w:type="dxa" w:w="3022"/>
          </w:tcPr>
          <w:p>
            <w:r>
              <w:rPr>
                <w:sz w:val="18"/>
              </w:rPr>
              <w:t>"alaris_gp" | "braun_infusomat" | "graseby_3100"</w:t>
            </w:r>
          </w:p>
        </w:tc>
      </w:tr>
      <w:tr>
        <w:tc>
          <w:tcPr>
            <w:tcW w:type="dxa" w:w="3022"/>
          </w:tcPr>
          <w:p>
            <w:r>
              <w:rPr>
                <w:rFonts w:ascii="Courier New" w:hAnsi="Courier New"/>
                <w:color w:val="0969DA"/>
                <w:sz w:val="18"/>
              </w:rPr>
              <w:t>firmware_version</w:t>
            </w:r>
          </w:p>
        </w:tc>
        <w:tc>
          <w:tcPr>
            <w:tcW w:type="dxa" w:w="3022"/>
          </w:tcPr>
          <w:p>
            <w:r>
              <w:rPr>
                <w:rFonts w:ascii="Courier New" w:hAnsi="Courier New"/>
                <w:color w:val="8250DF"/>
                <w:sz w:val="18"/>
              </w:rPr>
              <w:t>string</w:t>
            </w:r>
          </w:p>
        </w:tc>
        <w:tc>
          <w:tcPr>
            <w:tcW w:type="dxa" w:w="3022"/>
          </w:tcPr>
          <w:p>
            <w:r>
              <w:rPr>
                <w:sz w:val="18"/>
              </w:rPr>
              <w:t>Simulated firmware version string</w:t>
            </w:r>
          </w:p>
        </w:tc>
      </w:tr>
    </w:tbl>
    <w:p/>
    <w:p>
      <w:pPr>
        <w:spacing w:before="200" w:after="40"/>
      </w:pPr>
      <w:r>
        <w:rPr>
          <w:b/>
          <w:color w:val="0A7A5A"/>
          <w:sz w:val="24"/>
        </w:rPr>
        <w:t>Layer 1 — Interaction Features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18"/>
              </w:rPr>
              <w:t>Field</w:t>
            </w:r>
          </w:p>
        </w:tc>
        <w:tc>
          <w:tcPr>
            <w:tcW w:type="dxa" w:w="3022"/>
            <w:shd w:val="clear" w:color="auto" w:fill="0F294D"/>
          </w:tcPr>
          <w:p>
            <w:r>
              <w:rPr>
                <w:b/>
                <w:color w:val="FFFFFF"/>
                <w:sz w:val="18"/>
              </w:rPr>
              <w:t>Type</w:t>
            </w:r>
          </w:p>
        </w:tc>
        <w:tc>
          <w:tcPr>
            <w:tcW w:type="dxa" w:w="3022"/>
            <w:shd w:val="clear" w:color="auto" w:fill="0F294D"/>
          </w:tcPr>
          <w:p>
            <w:r>
              <w:rPr>
                <w:b/>
                <w:color w:val="FFFFFF"/>
                <w:sz w:val="18"/>
              </w:rPr>
              <w:t>Description</w:t>
            </w:r>
          </w:p>
        </w:tc>
      </w:tr>
      <w:tr>
        <w:tc>
          <w:tcPr>
            <w:tcW w:type="dxa" w:w="3022"/>
          </w:tcPr>
          <w:p>
            <w:r>
              <w:rPr>
                <w:rFonts w:ascii="Courier New" w:hAnsi="Courier New"/>
                <w:color w:val="0969DA"/>
                <w:sz w:val="18"/>
              </w:rPr>
              <w:t>entry_time_ms</w:t>
            </w:r>
          </w:p>
        </w:tc>
        <w:tc>
          <w:tcPr>
            <w:tcW w:type="dxa" w:w="3022"/>
          </w:tcPr>
          <w:p>
            <w:r>
              <w:rPr>
                <w:rFonts w:ascii="Courier New" w:hAnsi="Courier New"/>
                <w:color w:val="8250DF"/>
                <w:sz w:val="18"/>
              </w:rPr>
              <w:t>number</w:t>
            </w:r>
          </w:p>
        </w:tc>
        <w:tc>
          <w:tcPr>
            <w:tcW w:type="dxa" w:w="3022"/>
          </w:tcPr>
          <w:p>
            <w:r>
              <w:rPr>
                <w:sz w:val="18"/>
              </w:rPr>
              <w:t>Wall-clock ms from first keypress to RUN confirmation</w:t>
            </w:r>
          </w:p>
        </w:tc>
      </w:tr>
      <w:tr>
        <w:tc>
          <w:tcPr>
            <w:tcW w:type="dxa" w:w="3022"/>
          </w:tcPr>
          <w:p>
            <w:r>
              <w:rPr>
                <w:rFonts w:ascii="Courier New" w:hAnsi="Courier New"/>
                <w:color w:val="0969DA"/>
                <w:sz w:val="18"/>
              </w:rPr>
              <w:t>total_keypresses</w:t>
            </w:r>
          </w:p>
        </w:tc>
        <w:tc>
          <w:tcPr>
            <w:tcW w:type="dxa" w:w="3022"/>
          </w:tcPr>
          <w:p>
            <w:r>
              <w:rPr>
                <w:rFonts w:ascii="Courier New" w:hAnsi="Courier New"/>
                <w:color w:val="8250DF"/>
                <w:sz w:val="18"/>
              </w:rPr>
              <w:t>number</w:t>
            </w:r>
          </w:p>
        </w:tc>
        <w:tc>
          <w:tcPr>
            <w:tcW w:type="dxa" w:w="3022"/>
          </w:tcPr>
          <w:p>
            <w:r>
              <w:rPr>
                <w:sz w:val="18"/>
              </w:rPr>
              <w:t>All chevron presses during rate entry</w:t>
            </w:r>
          </w:p>
        </w:tc>
      </w:tr>
      <w:tr>
        <w:tc>
          <w:tcPr>
            <w:tcW w:type="dxa" w:w="3022"/>
          </w:tcPr>
          <w:p>
            <w:r>
              <w:rPr>
                <w:rFonts w:ascii="Courier New" w:hAnsi="Courier New"/>
                <w:color w:val="0969DA"/>
                <w:sz w:val="18"/>
              </w:rPr>
              <w:t>large_up_count</w:t>
            </w:r>
          </w:p>
        </w:tc>
        <w:tc>
          <w:tcPr>
            <w:tcW w:type="dxa" w:w="3022"/>
          </w:tcPr>
          <w:p>
            <w:r>
              <w:rPr>
                <w:rFonts w:ascii="Courier New" w:hAnsi="Courier New"/>
                <w:color w:val="8250DF"/>
                <w:sz w:val="18"/>
              </w:rPr>
              <w:t>number</w:t>
            </w:r>
          </w:p>
        </w:tc>
        <w:tc>
          <w:tcPr>
            <w:tcW w:type="dxa" w:w="3022"/>
          </w:tcPr>
          <w:p>
            <w:r>
              <w:rPr>
                <w:sz w:val="18"/>
              </w:rPr>
              <w:t>»» presses (delta = +10)</w:t>
            </w:r>
          </w:p>
        </w:tc>
      </w:tr>
      <w:tr>
        <w:tc>
          <w:tcPr>
            <w:tcW w:type="dxa" w:w="3022"/>
          </w:tcPr>
          <w:p>
            <w:r>
              <w:rPr>
                <w:rFonts w:ascii="Courier New" w:hAnsi="Courier New"/>
                <w:color w:val="0969DA"/>
                <w:sz w:val="18"/>
              </w:rPr>
              <w:t>small_up_count</w:t>
            </w:r>
          </w:p>
        </w:tc>
        <w:tc>
          <w:tcPr>
            <w:tcW w:type="dxa" w:w="3022"/>
          </w:tcPr>
          <w:p>
            <w:r>
              <w:rPr>
                <w:rFonts w:ascii="Courier New" w:hAnsi="Courier New"/>
                <w:color w:val="8250DF"/>
                <w:sz w:val="18"/>
              </w:rPr>
              <w:t>number</w:t>
            </w:r>
          </w:p>
        </w:tc>
        <w:tc>
          <w:tcPr>
            <w:tcW w:type="dxa" w:w="3022"/>
          </w:tcPr>
          <w:p>
            <w:r>
              <w:rPr>
                <w:sz w:val="18"/>
              </w:rPr>
              <w:t>» presses (delta = +1)</w:t>
            </w:r>
          </w:p>
        </w:tc>
      </w:tr>
      <w:tr>
        <w:tc>
          <w:tcPr>
            <w:tcW w:type="dxa" w:w="3022"/>
          </w:tcPr>
          <w:p>
            <w:r>
              <w:rPr>
                <w:rFonts w:ascii="Courier New" w:hAnsi="Courier New"/>
                <w:color w:val="0969DA"/>
                <w:sz w:val="18"/>
              </w:rPr>
              <w:t>small_down_count</w:t>
            </w:r>
          </w:p>
        </w:tc>
        <w:tc>
          <w:tcPr>
            <w:tcW w:type="dxa" w:w="3022"/>
          </w:tcPr>
          <w:p>
            <w:r>
              <w:rPr>
                <w:rFonts w:ascii="Courier New" w:hAnsi="Courier New"/>
                <w:color w:val="8250DF"/>
                <w:sz w:val="18"/>
              </w:rPr>
              <w:t>number</w:t>
            </w:r>
          </w:p>
        </w:tc>
        <w:tc>
          <w:tcPr>
            <w:tcW w:type="dxa" w:w="3022"/>
          </w:tcPr>
          <w:p>
            <w:r>
              <w:rPr>
                <w:sz w:val="18"/>
              </w:rPr>
              <w:t>« presses (delta = -1)</w:t>
            </w:r>
          </w:p>
        </w:tc>
      </w:tr>
      <w:tr>
        <w:tc>
          <w:tcPr>
            <w:tcW w:type="dxa" w:w="3022"/>
          </w:tcPr>
          <w:p>
            <w:r>
              <w:rPr>
                <w:rFonts w:ascii="Courier New" w:hAnsi="Courier New"/>
                <w:color w:val="0969DA"/>
                <w:sz w:val="18"/>
              </w:rPr>
              <w:t>large_down_count</w:t>
            </w:r>
          </w:p>
        </w:tc>
        <w:tc>
          <w:tcPr>
            <w:tcW w:type="dxa" w:w="3022"/>
          </w:tcPr>
          <w:p>
            <w:r>
              <w:rPr>
                <w:rFonts w:ascii="Courier New" w:hAnsi="Courier New"/>
                <w:color w:val="8250DF"/>
                <w:sz w:val="18"/>
              </w:rPr>
              <w:t>number</w:t>
            </w:r>
          </w:p>
        </w:tc>
        <w:tc>
          <w:tcPr>
            <w:tcW w:type="dxa" w:w="3022"/>
          </w:tcPr>
          <w:p>
            <w:r>
              <w:rPr>
                <w:sz w:val="18"/>
              </w:rPr>
              <w:t>«« presses (delta = -10)</w:t>
            </w:r>
          </w:p>
        </w:tc>
      </w:tr>
      <w:tr>
        <w:tc>
          <w:tcPr>
            <w:tcW w:type="dxa" w:w="3022"/>
          </w:tcPr>
          <w:p>
            <w:r>
              <w:rPr>
                <w:rFonts w:ascii="Courier New" w:hAnsi="Courier New"/>
                <w:color w:val="0969DA"/>
                <w:sz w:val="18"/>
              </w:rPr>
              <w:t>correction_count</w:t>
            </w:r>
          </w:p>
        </w:tc>
        <w:tc>
          <w:tcPr>
            <w:tcW w:type="dxa" w:w="3022"/>
          </w:tcPr>
          <w:p>
            <w:r>
              <w:rPr>
                <w:rFonts w:ascii="Courier New" w:hAnsi="Courier New"/>
                <w:color w:val="8250DF"/>
                <w:sz w:val="18"/>
              </w:rPr>
              <w:t>number</w:t>
            </w:r>
          </w:p>
        </w:tc>
        <w:tc>
          <w:tcPr>
            <w:tcW w:type="dxa" w:w="3022"/>
          </w:tcPr>
          <w:p>
            <w:r>
              <w:rPr>
                <w:sz w:val="18"/>
              </w:rPr>
              <w:t>Direction reversals — primary Cauchi et al. metric</w:t>
            </w:r>
          </w:p>
        </w:tc>
      </w:tr>
      <w:tr>
        <w:tc>
          <w:tcPr>
            <w:tcW w:type="dxa" w:w="3022"/>
          </w:tcPr>
          <w:p>
            <w:r>
              <w:rPr>
                <w:rFonts w:ascii="Courier New" w:hAnsi="Courier New"/>
                <w:color w:val="0969DA"/>
                <w:sz w:val="18"/>
              </w:rPr>
              <w:t>boundary_hit_count</w:t>
            </w:r>
          </w:p>
        </w:tc>
        <w:tc>
          <w:tcPr>
            <w:tcW w:type="dxa" w:w="3022"/>
          </w:tcPr>
          <w:p>
            <w:r>
              <w:rPr>
                <w:rFonts w:ascii="Courier New" w:hAnsi="Courier New"/>
                <w:color w:val="8250DF"/>
                <w:sz w:val="18"/>
              </w:rPr>
              <w:t>number</w:t>
            </w:r>
          </w:p>
        </w:tc>
        <w:tc>
          <w:tcPr>
            <w:tcW w:type="dxa" w:w="3022"/>
          </w:tcPr>
          <w:p>
            <w:r>
              <w:rPr>
                <w:sz w:val="18"/>
              </w:rPr>
              <w:t>Times RATE_MIN or RATE_MAX was reached</w:t>
            </w:r>
          </w:p>
        </w:tc>
      </w:tr>
      <w:tr>
        <w:tc>
          <w:tcPr>
            <w:tcW w:type="dxa" w:w="3022"/>
          </w:tcPr>
          <w:p>
            <w:r>
              <w:rPr>
                <w:rFonts w:ascii="Courier New" w:hAnsi="Courier New"/>
                <w:color w:val="0969DA"/>
                <w:sz w:val="18"/>
              </w:rPr>
              <w:t>large_btn_ratio</w:t>
            </w:r>
          </w:p>
        </w:tc>
        <w:tc>
          <w:tcPr>
            <w:tcW w:type="dxa" w:w="3022"/>
          </w:tcPr>
          <w:p>
            <w:r>
              <w:rPr>
                <w:rFonts w:ascii="Courier New" w:hAnsi="Courier New"/>
                <w:color w:val="8250DF"/>
                <w:sz w:val="18"/>
              </w:rPr>
              <w:t>number</w:t>
            </w:r>
          </w:p>
        </w:tc>
        <w:tc>
          <w:tcPr>
            <w:tcW w:type="dxa" w:w="3022"/>
          </w:tcPr>
          <w:p>
            <w:r>
              <w:rPr>
                <w:sz w:val="18"/>
              </w:rPr>
              <w:t>(large_up + large_down) / total_keypresses (0–1)</w:t>
            </w:r>
          </w:p>
        </w:tc>
      </w:tr>
      <w:tr>
        <w:tc>
          <w:tcPr>
            <w:tcW w:type="dxa" w:w="3022"/>
          </w:tcPr>
          <w:p>
            <w:r>
              <w:rPr>
                <w:rFonts w:ascii="Courier New" w:hAnsi="Courier New"/>
                <w:color w:val="0969DA"/>
                <w:sz w:val="18"/>
              </w:rPr>
              <w:t>golden_path_ratio</w:t>
            </w:r>
          </w:p>
        </w:tc>
        <w:tc>
          <w:tcPr>
            <w:tcW w:type="dxa" w:w="3022"/>
          </w:tcPr>
          <w:p>
            <w:r>
              <w:rPr>
                <w:rFonts w:ascii="Courier New" w:hAnsi="Courier New"/>
                <w:color w:val="8250DF"/>
                <w:sz w:val="18"/>
              </w:rPr>
              <w:t>number</w:t>
            </w:r>
          </w:p>
        </w:tc>
        <w:tc>
          <w:tcPr>
            <w:tcW w:type="dxa" w:w="3022"/>
          </w:tcPr>
          <w:p>
            <w:r>
              <w:rPr>
                <w:sz w:val="18"/>
              </w:rPr>
              <w:t>actual_keypresses / minimum_possible_keypresses (≥1.0)</w:t>
            </w:r>
          </w:p>
        </w:tc>
      </w:tr>
      <w:tr>
        <w:tc>
          <w:tcPr>
            <w:tcW w:type="dxa" w:w="3022"/>
          </w:tcPr>
          <w:p>
            <w:r>
              <w:rPr>
                <w:rFonts w:ascii="Courier New" w:hAnsi="Courier New"/>
                <w:color w:val="0969DA"/>
                <w:sz w:val="18"/>
              </w:rPr>
              <w:t>final_rate_ml_h</w:t>
            </w:r>
          </w:p>
        </w:tc>
        <w:tc>
          <w:tcPr>
            <w:tcW w:type="dxa" w:w="3022"/>
          </w:tcPr>
          <w:p>
            <w:r>
              <w:rPr>
                <w:rFonts w:ascii="Courier New" w:hAnsi="Courier New"/>
                <w:color w:val="8250DF"/>
                <w:sz w:val="18"/>
              </w:rPr>
              <w:t>number</w:t>
            </w:r>
          </w:p>
        </w:tc>
        <w:tc>
          <w:tcPr>
            <w:tcW w:type="dxa" w:w="3022"/>
          </w:tcPr>
          <w:p>
            <w:r>
              <w:rPr>
                <w:sz w:val="18"/>
              </w:rPr>
              <w:t>Actual programmed rate converted to ml/h</w:t>
            </w:r>
          </w:p>
        </w:tc>
      </w:tr>
      <w:tr>
        <w:tc>
          <w:tcPr>
            <w:tcW w:type="dxa" w:w="3022"/>
          </w:tcPr>
          <w:p>
            <w:r>
              <w:rPr>
                <w:rFonts w:ascii="Courier New" w:hAnsi="Courier New"/>
                <w:color w:val="0969DA"/>
                <w:sz w:val="18"/>
              </w:rPr>
              <w:t>intended_rate_ml_h</w:t>
            </w:r>
          </w:p>
        </w:tc>
        <w:tc>
          <w:tcPr>
            <w:tcW w:type="dxa" w:w="3022"/>
          </w:tcPr>
          <w:p>
            <w:r>
              <w:rPr>
                <w:rFonts w:ascii="Courier New" w:hAnsi="Courier New"/>
                <w:color w:val="8250DF"/>
                <w:sz w:val="18"/>
              </w:rPr>
              <w:t>number</w:t>
            </w:r>
          </w:p>
        </w:tc>
        <w:tc>
          <w:tcPr>
            <w:tcW w:type="dxa" w:w="3022"/>
          </w:tcPr>
          <w:p>
            <w:r>
              <w:rPr>
                <w:sz w:val="18"/>
              </w:rPr>
              <w:t>Target rate (task mode) converted to ml/h</w:t>
            </w:r>
          </w:p>
        </w:tc>
      </w:tr>
      <w:tr>
        <w:tc>
          <w:tcPr>
            <w:tcW w:type="dxa" w:w="3022"/>
          </w:tcPr>
          <w:p>
            <w:r>
              <w:rPr>
                <w:rFonts w:ascii="Courier New" w:hAnsi="Courier New"/>
                <w:color w:val="0969DA"/>
                <w:sz w:val="18"/>
              </w:rPr>
              <w:t>error_magnitude_ml_h</w:t>
            </w:r>
          </w:p>
        </w:tc>
        <w:tc>
          <w:tcPr>
            <w:tcW w:type="dxa" w:w="3022"/>
          </w:tcPr>
          <w:p>
            <w:r>
              <w:rPr>
                <w:rFonts w:ascii="Courier New" w:hAnsi="Courier New"/>
                <w:color w:val="8250DF"/>
                <w:sz w:val="18"/>
              </w:rPr>
              <w:t>number</w:t>
            </w:r>
          </w:p>
        </w:tc>
        <w:tc>
          <w:tcPr>
            <w:tcW w:type="dxa" w:w="3022"/>
          </w:tcPr>
          <w:p>
            <w:r>
              <w:rPr>
                <w:sz w:val="18"/>
              </w:rPr>
              <w:t>|final - intended| in ml/h</w:t>
            </w:r>
          </w:p>
        </w:tc>
      </w:tr>
      <w:tr>
        <w:tc>
          <w:tcPr>
            <w:tcW w:type="dxa" w:w="3022"/>
          </w:tcPr>
          <w:p>
            <w:r>
              <w:rPr>
                <w:rFonts w:ascii="Courier New" w:hAnsi="Courier New"/>
                <w:color w:val="0969DA"/>
                <w:sz w:val="18"/>
              </w:rPr>
              <w:t>relative_error</w:t>
            </w:r>
          </w:p>
        </w:tc>
        <w:tc>
          <w:tcPr>
            <w:tcW w:type="dxa" w:w="3022"/>
          </w:tcPr>
          <w:p>
            <w:r>
              <w:rPr>
                <w:rFonts w:ascii="Courier New" w:hAnsi="Courier New"/>
                <w:color w:val="8250DF"/>
                <w:sz w:val="18"/>
              </w:rPr>
              <w:t>number</w:t>
            </w:r>
          </w:p>
        </w:tc>
        <w:tc>
          <w:tcPr>
            <w:tcW w:type="dxa" w:w="3022"/>
          </w:tcPr>
          <w:p>
            <w:r>
              <w:rPr>
                <w:sz w:val="18"/>
              </w:rPr>
              <w:t>error_magnitude / intended (0 = perfect)</w:t>
            </w:r>
          </w:p>
        </w:tc>
      </w:tr>
      <w:tr>
        <w:tc>
          <w:tcPr>
            <w:tcW w:type="dxa" w:w="3022"/>
          </w:tcPr>
          <w:p>
            <w:r>
              <w:rPr>
                <w:rFonts w:ascii="Courier New" w:hAnsi="Courier New"/>
                <w:color w:val="0969DA"/>
                <w:sz w:val="18"/>
              </w:rPr>
              <w:t>confirmed_incorrect</w:t>
            </w:r>
          </w:p>
        </w:tc>
        <w:tc>
          <w:tcPr>
            <w:tcW w:type="dxa" w:w="3022"/>
          </w:tcPr>
          <w:p>
            <w:r>
              <w:rPr>
                <w:rFonts w:ascii="Courier New" w:hAnsi="Courier New"/>
                <w:color w:val="8250DF"/>
                <w:sz w:val="18"/>
              </w:rPr>
              <w:t>0|1</w:t>
            </w:r>
          </w:p>
        </w:tc>
        <w:tc>
          <w:tcPr>
            <w:tcW w:type="dxa" w:w="3022"/>
          </w:tcPr>
          <w:p>
            <w:r>
              <w:rPr>
                <w:sz w:val="18"/>
              </w:rPr>
              <w:t>1 if infusion started with the wrong value</w:t>
            </w:r>
          </w:p>
        </w:tc>
      </w:tr>
      <w:tr>
        <w:tc>
          <w:tcPr>
            <w:tcW w:type="dxa" w:w="3022"/>
          </w:tcPr>
          <w:p>
            <w:r>
              <w:rPr>
                <w:rFonts w:ascii="Courier New" w:hAnsi="Courier New"/>
                <w:color w:val="0969DA"/>
                <w:sz w:val="18"/>
              </w:rPr>
              <w:t>drug_unit_used</w:t>
            </w:r>
          </w:p>
        </w:tc>
        <w:tc>
          <w:tcPr>
            <w:tcW w:type="dxa" w:w="3022"/>
          </w:tcPr>
          <w:p>
            <w:r>
              <w:rPr>
                <w:rFonts w:ascii="Courier New" w:hAnsi="Courier New"/>
                <w:color w:val="8250DF"/>
                <w:sz w:val="18"/>
              </w:rPr>
              <w:t>string</w:t>
            </w:r>
          </w:p>
        </w:tc>
        <w:tc>
          <w:tcPr>
            <w:tcW w:type="dxa" w:w="3022"/>
          </w:tcPr>
          <w:p>
            <w:r>
              <w:rPr>
                <w:sz w:val="18"/>
              </w:rPr>
              <w:t>Dose unit displayed during entry (e.g. "µg/kg/min")</w:t>
            </w:r>
          </w:p>
        </w:tc>
      </w:tr>
    </w:tbl>
    <w:p/>
    <w:p>
      <w:pPr>
        <w:spacing w:before="200" w:after="40"/>
      </w:pPr>
      <w:r>
        <w:rPr>
          <w:b/>
          <w:color w:val="0A7A5A"/>
          <w:sz w:val="24"/>
        </w:rPr>
        <w:t>Layer 2 — Configuration Features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18"/>
              </w:rPr>
              <w:t>Field</w:t>
            </w:r>
          </w:p>
        </w:tc>
        <w:tc>
          <w:tcPr>
            <w:tcW w:type="dxa" w:w="3022"/>
            <w:shd w:val="clear" w:color="auto" w:fill="0F294D"/>
          </w:tcPr>
          <w:p>
            <w:r>
              <w:rPr>
                <w:b/>
                <w:color w:val="FFFFFF"/>
                <w:sz w:val="18"/>
              </w:rPr>
              <w:t>Type</w:t>
            </w:r>
          </w:p>
        </w:tc>
        <w:tc>
          <w:tcPr>
            <w:tcW w:type="dxa" w:w="3022"/>
            <w:shd w:val="clear" w:color="auto" w:fill="0F294D"/>
          </w:tcPr>
          <w:p>
            <w:r>
              <w:rPr>
                <w:b/>
                <w:color w:val="FFFFFF"/>
                <w:sz w:val="18"/>
              </w:rPr>
              <w:t>Description</w:t>
            </w:r>
          </w:p>
        </w:tc>
      </w:tr>
      <w:tr>
        <w:tc>
          <w:tcPr>
            <w:tcW w:type="dxa" w:w="3022"/>
          </w:tcPr>
          <w:p>
            <w:r>
              <w:rPr>
                <w:rFonts w:ascii="Courier New" w:hAnsi="Courier New"/>
                <w:color w:val="0969DA"/>
                <w:sz w:val="18"/>
              </w:rPr>
              <w:t>drug_id</w:t>
            </w:r>
          </w:p>
        </w:tc>
        <w:tc>
          <w:tcPr>
            <w:tcW w:type="dxa" w:w="3022"/>
          </w:tcPr>
          <w:p>
            <w:r>
              <w:rPr>
                <w:rFonts w:ascii="Courier New" w:hAnsi="Courier New"/>
                <w:color w:val="8250DF"/>
                <w:sz w:val="18"/>
              </w:rPr>
              <w:t>string</w:t>
            </w:r>
          </w:p>
        </w:tc>
        <w:tc>
          <w:tcPr>
            <w:tcW w:type="dxa" w:w="3022"/>
          </w:tcPr>
          <w:p>
            <w:r>
              <w:rPr>
                <w:sz w:val="18"/>
              </w:rPr>
              <w:t>Drug library ID (e.g. "morphine", "manual")</w:t>
            </w:r>
          </w:p>
        </w:tc>
      </w:tr>
      <w:tr>
        <w:tc>
          <w:tcPr>
            <w:tcW w:type="dxa" w:w="3022"/>
          </w:tcPr>
          <w:p>
            <w:r>
              <w:rPr>
                <w:rFonts w:ascii="Courier New" w:hAnsi="Courier New"/>
                <w:color w:val="0969DA"/>
                <w:sz w:val="18"/>
              </w:rPr>
              <w:t>drug_name</w:t>
            </w:r>
          </w:p>
        </w:tc>
        <w:tc>
          <w:tcPr>
            <w:tcW w:type="dxa" w:w="3022"/>
          </w:tcPr>
          <w:p>
            <w:r>
              <w:rPr>
                <w:rFonts w:ascii="Courier New" w:hAnsi="Courier New"/>
                <w:color w:val="8250DF"/>
                <w:sz w:val="18"/>
              </w:rPr>
              <w:t>string</w:t>
            </w:r>
          </w:p>
        </w:tc>
        <w:tc>
          <w:tcPr>
            <w:tcW w:type="dxa" w:w="3022"/>
          </w:tcPr>
          <w:p>
            <w:r>
              <w:rPr>
                <w:sz w:val="18"/>
              </w:rPr>
              <w:t>Display name (max 12 chars for LCD)</w:t>
            </w:r>
          </w:p>
        </w:tc>
      </w:tr>
      <w:tr>
        <w:tc>
          <w:tcPr>
            <w:tcW w:type="dxa" w:w="3022"/>
          </w:tcPr>
          <w:p>
            <w:r>
              <w:rPr>
                <w:rFonts w:ascii="Courier New" w:hAnsi="Courier New"/>
                <w:color w:val="0969DA"/>
                <w:sz w:val="18"/>
              </w:rPr>
              <w:t>drug_library_used</w:t>
            </w:r>
          </w:p>
        </w:tc>
        <w:tc>
          <w:tcPr>
            <w:tcW w:type="dxa" w:w="3022"/>
          </w:tcPr>
          <w:p>
            <w:r>
              <w:rPr>
                <w:rFonts w:ascii="Courier New" w:hAnsi="Courier New"/>
                <w:color w:val="8250DF"/>
                <w:sz w:val="18"/>
              </w:rPr>
              <w:t>0|1</w:t>
            </w:r>
          </w:p>
        </w:tc>
        <w:tc>
          <w:tcPr>
            <w:tcW w:type="dxa" w:w="3022"/>
          </w:tcPr>
          <w:p>
            <w:r>
              <w:rPr>
                <w:sz w:val="18"/>
              </w:rPr>
              <w:t>1 if drug selected from library; 0 = MANUAL</w:t>
            </w:r>
          </w:p>
        </w:tc>
      </w:tr>
      <w:tr>
        <w:tc>
          <w:tcPr>
            <w:tcW w:type="dxa" w:w="3022"/>
          </w:tcPr>
          <w:p>
            <w:r>
              <w:rPr>
                <w:rFonts w:ascii="Courier New" w:hAnsi="Courier New"/>
                <w:color w:val="0969DA"/>
                <w:sz w:val="18"/>
              </w:rPr>
              <w:t>guardrail_soft_min</w:t>
            </w:r>
          </w:p>
        </w:tc>
        <w:tc>
          <w:tcPr>
            <w:tcW w:type="dxa" w:w="3022"/>
          </w:tcPr>
          <w:p>
            <w:r>
              <w:rPr>
                <w:rFonts w:ascii="Courier New" w:hAnsi="Courier New"/>
                <w:color w:val="8250DF"/>
                <w:sz w:val="18"/>
              </w:rPr>
              <w:t>number</w:t>
            </w:r>
          </w:p>
        </w:tc>
        <w:tc>
          <w:tcPr>
            <w:tcW w:type="dxa" w:w="3022"/>
          </w:tcPr>
          <w:p>
            <w:r>
              <w:rPr>
                <w:sz w:val="18"/>
              </w:rPr>
              <w:t>Drug soft minimum in drug units</w:t>
            </w:r>
          </w:p>
        </w:tc>
      </w:tr>
      <w:tr>
        <w:tc>
          <w:tcPr>
            <w:tcW w:type="dxa" w:w="3022"/>
          </w:tcPr>
          <w:p>
            <w:r>
              <w:rPr>
                <w:rFonts w:ascii="Courier New" w:hAnsi="Courier New"/>
                <w:color w:val="0969DA"/>
                <w:sz w:val="18"/>
              </w:rPr>
              <w:t>guardrail_soft_max</w:t>
            </w:r>
          </w:p>
        </w:tc>
        <w:tc>
          <w:tcPr>
            <w:tcW w:type="dxa" w:w="3022"/>
          </w:tcPr>
          <w:p>
            <w:r>
              <w:rPr>
                <w:rFonts w:ascii="Courier New" w:hAnsi="Courier New"/>
                <w:color w:val="8250DF"/>
                <w:sz w:val="18"/>
              </w:rPr>
              <w:t>number</w:t>
            </w:r>
          </w:p>
        </w:tc>
        <w:tc>
          <w:tcPr>
            <w:tcW w:type="dxa" w:w="3022"/>
          </w:tcPr>
          <w:p>
            <w:r>
              <w:rPr>
                <w:sz w:val="18"/>
              </w:rPr>
              <w:t>Drug soft maximum in drug units</w:t>
            </w:r>
          </w:p>
        </w:tc>
      </w:tr>
      <w:tr>
        <w:tc>
          <w:tcPr>
            <w:tcW w:type="dxa" w:w="3022"/>
          </w:tcPr>
          <w:p>
            <w:r>
              <w:rPr>
                <w:rFonts w:ascii="Courier New" w:hAnsi="Courier New"/>
                <w:color w:val="0969DA"/>
                <w:sz w:val="18"/>
              </w:rPr>
              <w:t>guardrail_hard_min</w:t>
            </w:r>
          </w:p>
        </w:tc>
        <w:tc>
          <w:tcPr>
            <w:tcW w:type="dxa" w:w="3022"/>
          </w:tcPr>
          <w:p>
            <w:r>
              <w:rPr>
                <w:rFonts w:ascii="Courier New" w:hAnsi="Courier New"/>
                <w:color w:val="8250DF"/>
                <w:sz w:val="18"/>
              </w:rPr>
              <w:t>number</w:t>
            </w:r>
          </w:p>
        </w:tc>
        <w:tc>
          <w:tcPr>
            <w:tcW w:type="dxa" w:w="3022"/>
          </w:tcPr>
          <w:p>
            <w:r>
              <w:rPr>
                <w:sz w:val="18"/>
              </w:rPr>
              <w:t>Drug hard minimum in drug units</w:t>
            </w:r>
          </w:p>
        </w:tc>
      </w:tr>
      <w:tr>
        <w:tc>
          <w:tcPr>
            <w:tcW w:type="dxa" w:w="3022"/>
          </w:tcPr>
          <w:p>
            <w:r>
              <w:rPr>
                <w:rFonts w:ascii="Courier New" w:hAnsi="Courier New"/>
                <w:color w:val="0969DA"/>
                <w:sz w:val="18"/>
              </w:rPr>
              <w:t>guardrail_hard_max</w:t>
            </w:r>
          </w:p>
        </w:tc>
        <w:tc>
          <w:tcPr>
            <w:tcW w:type="dxa" w:w="3022"/>
          </w:tcPr>
          <w:p>
            <w:r>
              <w:rPr>
                <w:rFonts w:ascii="Courier New" w:hAnsi="Courier New"/>
                <w:color w:val="8250DF"/>
                <w:sz w:val="18"/>
              </w:rPr>
              <w:t>number</w:t>
            </w:r>
          </w:p>
        </w:tc>
        <w:tc>
          <w:tcPr>
            <w:tcW w:type="dxa" w:w="3022"/>
          </w:tcPr>
          <w:p>
            <w:r>
              <w:rPr>
                <w:sz w:val="18"/>
              </w:rPr>
              <w:t>Drug hard maximum in drug units</w:t>
            </w:r>
          </w:p>
        </w:tc>
      </w:tr>
      <w:tr>
        <w:tc>
          <w:tcPr>
            <w:tcW w:type="dxa" w:w="3022"/>
          </w:tcPr>
          <w:p>
            <w:r>
              <w:rPr>
                <w:rFonts w:ascii="Courier New" w:hAnsi="Courier New"/>
                <w:color w:val="0969DA"/>
                <w:sz w:val="18"/>
              </w:rPr>
              <w:t>guardrail_warning_shown</w:t>
            </w:r>
          </w:p>
        </w:tc>
        <w:tc>
          <w:tcPr>
            <w:tcW w:type="dxa" w:w="3022"/>
          </w:tcPr>
          <w:p>
            <w:r>
              <w:rPr>
                <w:rFonts w:ascii="Courier New" w:hAnsi="Courier New"/>
                <w:color w:val="8250DF"/>
                <w:sz w:val="18"/>
              </w:rPr>
              <w:t>0|1</w:t>
            </w:r>
          </w:p>
        </w:tc>
        <w:tc>
          <w:tcPr>
            <w:tcW w:type="dxa" w:w="3022"/>
          </w:tcPr>
          <w:p>
            <w:r>
              <w:rPr>
                <w:sz w:val="18"/>
              </w:rPr>
              <w:t>1 if soft limit warning appeared this session</w:t>
            </w:r>
          </w:p>
        </w:tc>
      </w:tr>
      <w:tr>
        <w:tc>
          <w:tcPr>
            <w:tcW w:type="dxa" w:w="3022"/>
          </w:tcPr>
          <w:p>
            <w:r>
              <w:rPr>
                <w:rFonts w:ascii="Courier New" w:hAnsi="Courier New"/>
                <w:color w:val="0969DA"/>
                <w:sz w:val="18"/>
              </w:rPr>
              <w:t>guardrail_override</w:t>
            </w:r>
          </w:p>
        </w:tc>
        <w:tc>
          <w:tcPr>
            <w:tcW w:type="dxa" w:w="3022"/>
          </w:tcPr>
          <w:p>
            <w:r>
              <w:rPr>
                <w:rFonts w:ascii="Courier New" w:hAnsi="Courier New"/>
                <w:color w:val="8250DF"/>
                <w:sz w:val="18"/>
              </w:rPr>
              <w:t>0|1</w:t>
            </w:r>
          </w:p>
        </w:tc>
        <w:tc>
          <w:tcPr>
            <w:tcW w:type="dxa" w:w="3022"/>
          </w:tcPr>
          <w:p>
            <w:r>
              <w:rPr>
                <w:sz w:val="18"/>
              </w:rPr>
              <w:t>1 if nurse clicked OVERRIDE on warning</w:t>
            </w:r>
          </w:p>
        </w:tc>
      </w:tr>
      <w:tr>
        <w:tc>
          <w:tcPr>
            <w:tcW w:type="dxa" w:w="3022"/>
          </w:tcPr>
          <w:p>
            <w:r>
              <w:rPr>
                <w:rFonts w:ascii="Courier New" w:hAnsi="Courier New"/>
                <w:color w:val="0969DA"/>
                <w:sz w:val="18"/>
              </w:rPr>
              <w:t>guardrail_blocked</w:t>
            </w:r>
          </w:p>
        </w:tc>
        <w:tc>
          <w:tcPr>
            <w:tcW w:type="dxa" w:w="3022"/>
          </w:tcPr>
          <w:p>
            <w:r>
              <w:rPr>
                <w:rFonts w:ascii="Courier New" w:hAnsi="Courier New"/>
                <w:color w:val="8250DF"/>
                <w:sz w:val="18"/>
              </w:rPr>
              <w:t>0|1</w:t>
            </w:r>
          </w:p>
        </w:tc>
        <w:tc>
          <w:tcPr>
            <w:tcW w:type="dxa" w:w="3022"/>
          </w:tcPr>
          <w:p>
            <w:r>
              <w:rPr>
                <w:sz w:val="18"/>
              </w:rPr>
              <w:t>1 if hard limit was hit at any point</w:t>
            </w:r>
          </w:p>
        </w:tc>
      </w:tr>
      <w:tr>
        <w:tc>
          <w:tcPr>
            <w:tcW w:type="dxa" w:w="3022"/>
          </w:tcPr>
          <w:p>
            <w:r>
              <w:rPr>
                <w:rFonts w:ascii="Courier New" w:hAnsi="Courier New"/>
                <w:color w:val="0969DA"/>
                <w:sz w:val="18"/>
              </w:rPr>
              <w:t>rate_within_soft_limits</w:t>
            </w:r>
          </w:p>
        </w:tc>
        <w:tc>
          <w:tcPr>
            <w:tcW w:type="dxa" w:w="3022"/>
          </w:tcPr>
          <w:p>
            <w:r>
              <w:rPr>
                <w:rFonts w:ascii="Courier New" w:hAnsi="Courier New"/>
                <w:color w:val="8250DF"/>
                <w:sz w:val="18"/>
              </w:rPr>
              <w:t>0|1</w:t>
            </w:r>
          </w:p>
        </w:tc>
        <w:tc>
          <w:tcPr>
            <w:tcW w:type="dxa" w:w="3022"/>
          </w:tcPr>
          <w:p>
            <w:r>
              <w:rPr>
                <w:sz w:val="18"/>
              </w:rPr>
              <w:t>1 if final rate is within soft limits</w:t>
            </w:r>
          </w:p>
        </w:tc>
      </w:tr>
      <w:tr>
        <w:tc>
          <w:tcPr>
            <w:tcW w:type="dxa" w:w="3022"/>
          </w:tcPr>
          <w:p>
            <w:r>
              <w:rPr>
                <w:rFonts w:ascii="Courier New" w:hAnsi="Courier New"/>
                <w:color w:val="0969DA"/>
                <w:sz w:val="18"/>
              </w:rPr>
              <w:t>vtbi_set</w:t>
            </w:r>
          </w:p>
        </w:tc>
        <w:tc>
          <w:tcPr>
            <w:tcW w:type="dxa" w:w="3022"/>
          </w:tcPr>
          <w:p>
            <w:r>
              <w:rPr>
                <w:rFonts w:ascii="Courier New" w:hAnsi="Courier New"/>
                <w:color w:val="8250DF"/>
                <w:sz w:val="18"/>
              </w:rPr>
              <w:t>0|1</w:t>
            </w:r>
          </w:p>
        </w:tc>
        <w:tc>
          <w:tcPr>
            <w:tcW w:type="dxa" w:w="3022"/>
          </w:tcPr>
          <w:p>
            <w:r>
              <w:rPr>
                <w:sz w:val="18"/>
              </w:rPr>
              <w:t>1 if VTBI was programmed</w:t>
            </w:r>
          </w:p>
        </w:tc>
      </w:tr>
      <w:tr>
        <w:tc>
          <w:tcPr>
            <w:tcW w:type="dxa" w:w="3022"/>
          </w:tcPr>
          <w:p>
            <w:r>
              <w:rPr>
                <w:rFonts w:ascii="Courier New" w:hAnsi="Courier New"/>
                <w:color w:val="0969DA"/>
                <w:sz w:val="18"/>
              </w:rPr>
              <w:t>vtbi_value_ml</w:t>
            </w:r>
          </w:p>
        </w:tc>
        <w:tc>
          <w:tcPr>
            <w:tcW w:type="dxa" w:w="3022"/>
          </w:tcPr>
          <w:p>
            <w:r>
              <w:rPr>
                <w:rFonts w:ascii="Courier New" w:hAnsi="Courier New"/>
                <w:color w:val="8250DF"/>
                <w:sz w:val="18"/>
              </w:rPr>
              <w:t>number</w:t>
            </w:r>
          </w:p>
        </w:tc>
        <w:tc>
          <w:tcPr>
            <w:tcW w:type="dxa" w:w="3022"/>
          </w:tcPr>
          <w:p>
            <w:r>
              <w:rPr>
                <w:sz w:val="18"/>
              </w:rPr>
              <w:t>VTBI in ml (0 if not set)</w:t>
            </w:r>
          </w:p>
        </w:tc>
      </w:tr>
      <w:tr>
        <w:tc>
          <w:tcPr>
            <w:tcW w:type="dxa" w:w="3022"/>
          </w:tcPr>
          <w:p>
            <w:r>
              <w:rPr>
                <w:rFonts w:ascii="Courier New" w:hAnsi="Courier New"/>
                <w:color w:val="0969DA"/>
                <w:sz w:val="18"/>
              </w:rPr>
              <w:t>kvo_rate_ml_h</w:t>
            </w:r>
          </w:p>
        </w:tc>
        <w:tc>
          <w:tcPr>
            <w:tcW w:type="dxa" w:w="3022"/>
          </w:tcPr>
          <w:p>
            <w:r>
              <w:rPr>
                <w:rFonts w:ascii="Courier New" w:hAnsi="Courier New"/>
                <w:color w:val="8250DF"/>
                <w:sz w:val="18"/>
              </w:rPr>
              <w:t>number</w:t>
            </w:r>
          </w:p>
        </w:tc>
        <w:tc>
          <w:tcPr>
            <w:tcW w:type="dxa" w:w="3022"/>
          </w:tcPr>
          <w:p>
            <w:r>
              <w:rPr>
                <w:sz w:val="18"/>
              </w:rPr>
              <w:t>KVO rate configured</w:t>
            </w:r>
          </w:p>
        </w:tc>
      </w:tr>
      <w:tr>
        <w:tc>
          <w:tcPr>
            <w:tcW w:type="dxa" w:w="3022"/>
          </w:tcPr>
          <w:p>
            <w:r>
              <w:rPr>
                <w:rFonts w:ascii="Courier New" w:hAnsi="Courier New"/>
                <w:color w:val="0969DA"/>
                <w:sz w:val="18"/>
              </w:rPr>
              <w:t>bolus_delivered</w:t>
            </w:r>
          </w:p>
        </w:tc>
        <w:tc>
          <w:tcPr>
            <w:tcW w:type="dxa" w:w="3022"/>
          </w:tcPr>
          <w:p>
            <w:r>
              <w:rPr>
                <w:rFonts w:ascii="Courier New" w:hAnsi="Courier New"/>
                <w:color w:val="8250DF"/>
                <w:sz w:val="18"/>
              </w:rPr>
              <w:t>0|1</w:t>
            </w:r>
          </w:p>
        </w:tc>
        <w:tc>
          <w:tcPr>
            <w:tcW w:type="dxa" w:w="3022"/>
          </w:tcPr>
          <w:p>
            <w:r>
              <w:rPr>
                <w:sz w:val="18"/>
              </w:rPr>
              <w:t>1 if bolus was used during session</w:t>
            </w:r>
          </w:p>
        </w:tc>
      </w:tr>
      <w:tr>
        <w:tc>
          <w:tcPr>
            <w:tcW w:type="dxa" w:w="3022"/>
          </w:tcPr>
          <w:p>
            <w:r>
              <w:rPr>
                <w:rFonts w:ascii="Courier New" w:hAnsi="Courier New"/>
                <w:color w:val="0969DA"/>
                <w:sz w:val="18"/>
              </w:rPr>
              <w:t>bolus_volume_ml</w:t>
            </w:r>
          </w:p>
        </w:tc>
        <w:tc>
          <w:tcPr>
            <w:tcW w:type="dxa" w:w="3022"/>
          </w:tcPr>
          <w:p>
            <w:r>
              <w:rPr>
                <w:rFonts w:ascii="Courier New" w:hAnsi="Courier New"/>
                <w:color w:val="8250DF"/>
                <w:sz w:val="18"/>
              </w:rPr>
              <w:t>number</w:t>
            </w:r>
          </w:p>
        </w:tc>
        <w:tc>
          <w:tcPr>
            <w:tcW w:type="dxa" w:w="3022"/>
          </w:tcPr>
          <w:p>
            <w:r>
              <w:rPr>
                <w:sz w:val="18"/>
              </w:rPr>
              <w:t>Total bolus volume delivered in ml</w:t>
            </w:r>
          </w:p>
        </w:tc>
      </w:tr>
      <w:tr>
        <w:tc>
          <w:tcPr>
            <w:tcW w:type="dxa" w:w="3022"/>
          </w:tcPr>
          <w:p>
            <w:r>
              <w:rPr>
                <w:rFonts w:ascii="Courier New" w:hAnsi="Courier New"/>
                <w:color w:val="0969DA"/>
                <w:sz w:val="18"/>
              </w:rPr>
              <w:t>secondary_infusion</w:t>
            </w:r>
          </w:p>
        </w:tc>
        <w:tc>
          <w:tcPr>
            <w:tcW w:type="dxa" w:w="3022"/>
          </w:tcPr>
          <w:p>
            <w:r>
              <w:rPr>
                <w:rFonts w:ascii="Courier New" w:hAnsi="Courier New"/>
                <w:color w:val="8250DF"/>
                <w:sz w:val="18"/>
              </w:rPr>
              <w:t>0|1</w:t>
            </w:r>
          </w:p>
        </w:tc>
        <w:tc>
          <w:tcPr>
            <w:tcW w:type="dxa" w:w="3022"/>
          </w:tcPr>
          <w:p>
            <w:r>
              <w:rPr>
                <w:sz w:val="18"/>
              </w:rPr>
              <w:t>1 if secondary infusion configured</w:t>
            </w:r>
          </w:p>
        </w:tc>
      </w:tr>
      <w:tr>
        <w:tc>
          <w:tcPr>
            <w:tcW w:type="dxa" w:w="3022"/>
          </w:tcPr>
          <w:p>
            <w:r>
              <w:rPr>
                <w:rFonts w:ascii="Courier New" w:hAnsi="Courier New"/>
                <w:color w:val="0969DA"/>
                <w:sz w:val="18"/>
              </w:rPr>
              <w:t>patient_weight_kg</w:t>
            </w:r>
          </w:p>
        </w:tc>
        <w:tc>
          <w:tcPr>
            <w:tcW w:type="dxa" w:w="3022"/>
          </w:tcPr>
          <w:p>
            <w:r>
              <w:rPr>
                <w:rFonts w:ascii="Courier New" w:hAnsi="Courier New"/>
                <w:color w:val="8250DF"/>
                <w:sz w:val="18"/>
              </w:rPr>
              <w:t>number</w:t>
            </w:r>
          </w:p>
        </w:tc>
        <w:tc>
          <w:tcPr>
            <w:tcW w:type="dxa" w:w="3022"/>
          </w:tcPr>
          <w:p>
            <w:r>
              <w:rPr>
                <w:sz w:val="18"/>
              </w:rPr>
              <w:t>Patient weight for dose/kg calculations</w:t>
            </w:r>
          </w:p>
        </w:tc>
      </w:tr>
      <w:tr>
        <w:tc>
          <w:tcPr>
            <w:tcW w:type="dxa" w:w="3022"/>
          </w:tcPr>
          <w:p>
            <w:r>
              <w:rPr>
                <w:rFonts w:ascii="Courier New" w:hAnsi="Courier New"/>
                <w:color w:val="0969DA"/>
                <w:sz w:val="18"/>
              </w:rPr>
              <w:t>pressure_alarm_level</w:t>
            </w:r>
          </w:p>
        </w:tc>
        <w:tc>
          <w:tcPr>
            <w:tcW w:type="dxa" w:w="3022"/>
          </w:tcPr>
          <w:p>
            <w:r>
              <w:rPr>
                <w:rFonts w:ascii="Courier New" w:hAnsi="Courier New"/>
                <w:color w:val="8250DF"/>
                <w:sz w:val="18"/>
              </w:rPr>
              <w:t>number</w:t>
            </w:r>
          </w:p>
        </w:tc>
        <w:tc>
          <w:tcPr>
            <w:tcW w:type="dxa" w:w="3022"/>
          </w:tcPr>
          <w:p>
            <w:r>
              <w:rPr>
                <w:sz w:val="18"/>
              </w:rPr>
              <w:t>1–8 (L1–L8); L5 = factory default</w:t>
            </w:r>
          </w:p>
        </w:tc>
      </w:tr>
    </w:tbl>
    <w:p/>
    <w:p>
      <w:pPr>
        <w:spacing w:before="200" w:after="40"/>
      </w:pPr>
      <w:r>
        <w:rPr>
          <w:b/>
          <w:color w:val="0A7A5A"/>
          <w:sz w:val="24"/>
        </w:rPr>
        <w:t>Layer 3 — System / Device State Features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18"/>
              </w:rPr>
              <w:t>Field</w:t>
            </w:r>
          </w:p>
        </w:tc>
        <w:tc>
          <w:tcPr>
            <w:tcW w:type="dxa" w:w="3022"/>
            <w:shd w:val="clear" w:color="auto" w:fill="0F294D"/>
          </w:tcPr>
          <w:p>
            <w:r>
              <w:rPr>
                <w:b/>
                <w:color w:val="FFFFFF"/>
                <w:sz w:val="18"/>
              </w:rPr>
              <w:t>Type</w:t>
            </w:r>
          </w:p>
        </w:tc>
        <w:tc>
          <w:tcPr>
            <w:tcW w:type="dxa" w:w="3022"/>
            <w:shd w:val="clear" w:color="auto" w:fill="0F294D"/>
          </w:tcPr>
          <w:p>
            <w:r>
              <w:rPr>
                <w:b/>
                <w:color w:val="FFFFFF"/>
                <w:sz w:val="18"/>
              </w:rPr>
              <w:t>Description</w:t>
            </w:r>
          </w:p>
        </w:tc>
      </w:tr>
      <w:tr>
        <w:tc>
          <w:tcPr>
            <w:tcW w:type="dxa" w:w="3022"/>
          </w:tcPr>
          <w:p>
            <w:r>
              <w:rPr>
                <w:rFonts w:ascii="Courier New" w:hAnsi="Courier New"/>
                <w:color w:val="0969DA"/>
                <w:sz w:val="18"/>
              </w:rPr>
              <w:t>days_since_maintenance</w:t>
            </w:r>
          </w:p>
        </w:tc>
        <w:tc>
          <w:tcPr>
            <w:tcW w:type="dxa" w:w="3022"/>
          </w:tcPr>
          <w:p>
            <w:r>
              <w:rPr>
                <w:rFonts w:ascii="Courier New" w:hAnsi="Courier New"/>
                <w:color w:val="8250DF"/>
                <w:sz w:val="18"/>
              </w:rPr>
              <w:t>number</w:t>
            </w:r>
          </w:p>
        </w:tc>
        <w:tc>
          <w:tcPr>
            <w:tcW w:type="dxa" w:w="3022"/>
          </w:tcPr>
          <w:p>
            <w:r>
              <w:rPr>
                <w:sz w:val="18"/>
              </w:rPr>
              <w:t>0–730 (2 years max)</w:t>
            </w:r>
          </w:p>
        </w:tc>
      </w:tr>
      <w:tr>
        <w:tc>
          <w:tcPr>
            <w:tcW w:type="dxa" w:w="3022"/>
          </w:tcPr>
          <w:p>
            <w:r>
              <w:rPr>
                <w:rFonts w:ascii="Courier New" w:hAnsi="Courier New"/>
                <w:color w:val="0969DA"/>
                <w:sz w:val="18"/>
              </w:rPr>
              <w:t>battery_level_pct</w:t>
            </w:r>
          </w:p>
        </w:tc>
        <w:tc>
          <w:tcPr>
            <w:tcW w:type="dxa" w:w="3022"/>
          </w:tcPr>
          <w:p>
            <w:r>
              <w:rPr>
                <w:rFonts w:ascii="Courier New" w:hAnsi="Courier New"/>
                <w:color w:val="8250DF"/>
                <w:sz w:val="18"/>
              </w:rPr>
              <w:t>number</w:t>
            </w:r>
          </w:p>
        </w:tc>
        <w:tc>
          <w:tcPr>
            <w:tcW w:type="dxa" w:w="3022"/>
          </w:tcPr>
          <w:p>
            <w:r>
              <w:rPr>
                <w:sz w:val="18"/>
              </w:rPr>
              <w:t>0–100</w:t>
            </w:r>
          </w:p>
        </w:tc>
      </w:tr>
      <w:tr>
        <w:tc>
          <w:tcPr>
            <w:tcW w:type="dxa" w:w="3022"/>
          </w:tcPr>
          <w:p>
            <w:r>
              <w:rPr>
                <w:rFonts w:ascii="Courier New" w:hAnsi="Courier New"/>
                <w:color w:val="0969DA"/>
                <w:sz w:val="18"/>
              </w:rPr>
              <w:t>firmware_version_risk</w:t>
            </w:r>
          </w:p>
        </w:tc>
        <w:tc>
          <w:tcPr>
            <w:tcW w:type="dxa" w:w="3022"/>
          </w:tcPr>
          <w:p>
            <w:r>
              <w:rPr>
                <w:rFonts w:ascii="Courier New" w:hAnsi="Courier New"/>
                <w:color w:val="8250DF"/>
                <w:sz w:val="18"/>
              </w:rPr>
              <w:t>0|1</w:t>
            </w:r>
          </w:p>
        </w:tc>
        <w:tc>
          <w:tcPr>
            <w:tcW w:type="dxa" w:w="3022"/>
          </w:tcPr>
          <w:p>
            <w:r>
              <w:rPr>
                <w:sz w:val="18"/>
              </w:rPr>
              <w:t>1 if firmware version is in the CVE list</w:t>
            </w:r>
          </w:p>
        </w:tc>
      </w:tr>
      <w:tr>
        <w:tc>
          <w:tcPr>
            <w:tcW w:type="dxa" w:w="3022"/>
          </w:tcPr>
          <w:p>
            <w:r>
              <w:rPr>
                <w:rFonts w:ascii="Courier New" w:hAnsi="Courier New"/>
                <w:color w:val="0969DA"/>
                <w:sz w:val="18"/>
              </w:rPr>
              <w:t>network_connected</w:t>
            </w:r>
          </w:p>
        </w:tc>
        <w:tc>
          <w:tcPr>
            <w:tcW w:type="dxa" w:w="3022"/>
          </w:tcPr>
          <w:p>
            <w:r>
              <w:rPr>
                <w:rFonts w:ascii="Courier New" w:hAnsi="Courier New"/>
                <w:color w:val="8250DF"/>
                <w:sz w:val="18"/>
              </w:rPr>
              <w:t>0|1</w:t>
            </w:r>
          </w:p>
        </w:tc>
        <w:tc>
          <w:tcPr>
            <w:tcW w:type="dxa" w:w="3022"/>
          </w:tcPr>
          <w:p>
            <w:r>
              <w:rPr>
                <w:sz w:val="18"/>
              </w:rPr>
              <w:t>1 if connected to Gateway</w:t>
            </w:r>
          </w:p>
        </w:tc>
      </w:tr>
      <w:tr>
        <w:tc>
          <w:tcPr>
            <w:tcW w:type="dxa" w:w="3022"/>
          </w:tcPr>
          <w:p>
            <w:r>
              <w:rPr>
                <w:rFonts w:ascii="Courier New" w:hAnsi="Courier New"/>
                <w:color w:val="0969DA"/>
                <w:sz w:val="18"/>
              </w:rPr>
              <w:t>drug_library_age_days</w:t>
            </w:r>
          </w:p>
        </w:tc>
        <w:tc>
          <w:tcPr>
            <w:tcW w:type="dxa" w:w="3022"/>
          </w:tcPr>
          <w:p>
            <w:r>
              <w:rPr>
                <w:rFonts w:ascii="Courier New" w:hAnsi="Courier New"/>
                <w:color w:val="8250DF"/>
                <w:sz w:val="18"/>
              </w:rPr>
              <w:t>number</w:t>
            </w:r>
          </w:p>
        </w:tc>
        <w:tc>
          <w:tcPr>
            <w:tcW w:type="dxa" w:w="3022"/>
          </w:tcPr>
          <w:p>
            <w:r>
              <w:rPr>
                <w:sz w:val="18"/>
              </w:rPr>
              <w:t>Days since drug library was last updated</w:t>
            </w:r>
          </w:p>
        </w:tc>
      </w:tr>
      <w:tr>
        <w:tc>
          <w:tcPr>
            <w:tcW w:type="dxa" w:w="3022"/>
          </w:tcPr>
          <w:p>
            <w:r>
              <w:rPr>
                <w:rFonts w:ascii="Courier New" w:hAnsi="Courier New"/>
                <w:color w:val="0969DA"/>
                <w:sz w:val="18"/>
              </w:rPr>
              <w:t>config_drift_score</w:t>
            </w:r>
          </w:p>
        </w:tc>
        <w:tc>
          <w:tcPr>
            <w:tcW w:type="dxa" w:w="3022"/>
          </w:tcPr>
          <w:p>
            <w:r>
              <w:rPr>
                <w:rFonts w:ascii="Courier New" w:hAnsi="Courier New"/>
                <w:color w:val="8250DF"/>
                <w:sz w:val="18"/>
              </w:rPr>
              <w:t>number</w:t>
            </w:r>
          </w:p>
        </w:tc>
        <w:tc>
          <w:tcPr>
            <w:tcW w:type="dxa" w:w="3022"/>
          </w:tcPr>
          <w:p>
            <w:r>
              <w:rPr>
                <w:sz w:val="18"/>
              </w:rPr>
              <w:t>0.0–1.0 deviation from hospital standard config</w:t>
            </w:r>
          </w:p>
        </w:tc>
      </w:tr>
      <w:tr>
        <w:tc>
          <w:tcPr>
            <w:tcW w:type="dxa" w:w="3022"/>
          </w:tcPr>
          <w:p>
            <w:r>
              <w:rPr>
                <w:rFonts w:ascii="Courier New" w:hAnsi="Courier New"/>
                <w:color w:val="0969DA"/>
                <w:sz w:val="18"/>
              </w:rPr>
              <w:t>recent_occlusion_alarms</w:t>
            </w:r>
          </w:p>
        </w:tc>
        <w:tc>
          <w:tcPr>
            <w:tcW w:type="dxa" w:w="3022"/>
          </w:tcPr>
          <w:p>
            <w:r>
              <w:rPr>
                <w:rFonts w:ascii="Courier New" w:hAnsi="Courier New"/>
                <w:color w:val="8250DF"/>
                <w:sz w:val="18"/>
              </w:rPr>
              <w:t>number</w:t>
            </w:r>
          </w:p>
        </w:tc>
        <w:tc>
          <w:tcPr>
            <w:tcW w:type="dxa" w:w="3022"/>
          </w:tcPr>
          <w:p>
            <w:r>
              <w:rPr>
                <w:sz w:val="18"/>
              </w:rPr>
              <w:t>Occlusion alarms in simulated last 24h</w:t>
            </w:r>
          </w:p>
        </w:tc>
      </w:tr>
      <w:tr>
        <w:tc>
          <w:tcPr>
            <w:tcW w:type="dxa" w:w="3022"/>
          </w:tcPr>
          <w:p>
            <w:r>
              <w:rPr>
                <w:rFonts w:ascii="Courier New" w:hAnsi="Courier New"/>
                <w:color w:val="0969DA"/>
                <w:sz w:val="18"/>
              </w:rPr>
              <w:t>alarms_during_session</w:t>
            </w:r>
          </w:p>
        </w:tc>
        <w:tc>
          <w:tcPr>
            <w:tcW w:type="dxa" w:w="3022"/>
          </w:tcPr>
          <w:p>
            <w:r>
              <w:rPr>
                <w:rFonts w:ascii="Courier New" w:hAnsi="Courier New"/>
                <w:color w:val="8250DF"/>
                <w:sz w:val="18"/>
              </w:rPr>
              <w:t>number</w:t>
            </w:r>
          </w:p>
        </w:tc>
        <w:tc>
          <w:tcPr>
            <w:tcW w:type="dxa" w:w="3022"/>
          </w:tcPr>
          <w:p>
            <w:r>
              <w:rPr>
                <w:sz w:val="18"/>
              </w:rPr>
              <w:t>Alarms triggered in this session</w:t>
            </w:r>
          </w:p>
        </w:tc>
      </w:tr>
    </w:tbl>
    <w:p/>
    <w:p>
      <w:pPr>
        <w:spacing w:before="200" w:after="40"/>
      </w:pPr>
      <w:r>
        <w:rPr>
          <w:b/>
          <w:color w:val="0A7A5A"/>
          <w:sz w:val="24"/>
        </w:rPr>
        <w:t>Layer 0 — Design Score + All Layer Scores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18"/>
              </w:rPr>
              <w:t>Field</w:t>
            </w:r>
          </w:p>
        </w:tc>
        <w:tc>
          <w:tcPr>
            <w:tcW w:type="dxa" w:w="3022"/>
            <w:shd w:val="clear" w:color="auto" w:fill="0F294D"/>
          </w:tcPr>
          <w:p>
            <w:r>
              <w:rPr>
                <w:b/>
                <w:color w:val="FFFFFF"/>
                <w:sz w:val="18"/>
              </w:rPr>
              <w:t>Type</w:t>
            </w:r>
          </w:p>
        </w:tc>
        <w:tc>
          <w:tcPr>
            <w:tcW w:type="dxa" w:w="3022"/>
            <w:shd w:val="clear" w:color="auto" w:fill="0F294D"/>
          </w:tcPr>
          <w:p>
            <w:r>
              <w:rPr>
                <w:b/>
                <w:color w:val="FFFFFF"/>
                <w:sz w:val="18"/>
              </w:rPr>
              <w:t>Description</w:t>
            </w:r>
          </w:p>
        </w:tc>
      </w:tr>
      <w:tr>
        <w:tc>
          <w:tcPr>
            <w:tcW w:type="dxa" w:w="3022"/>
          </w:tcPr>
          <w:p>
            <w:r>
              <w:rPr>
                <w:rFonts w:ascii="Courier New" w:hAnsi="Courier New"/>
                <w:color w:val="0969DA"/>
                <w:sz w:val="18"/>
              </w:rPr>
              <w:t>design_score</w:t>
            </w:r>
          </w:p>
        </w:tc>
        <w:tc>
          <w:tcPr>
            <w:tcW w:type="dxa" w:w="3022"/>
          </w:tcPr>
          <w:p>
            <w:r>
              <w:rPr>
                <w:rFonts w:ascii="Courier New" w:hAnsi="Courier New"/>
                <w:color w:val="8250DF"/>
                <w:sz w:val="18"/>
              </w:rPr>
              <w:t>number</w:t>
            </w:r>
          </w:p>
        </w:tc>
        <w:tc>
          <w:tcPr>
            <w:tcW w:type="dxa" w:w="3022"/>
          </w:tcPr>
          <w:p>
            <w:r>
              <w:rPr>
                <w:sz w:val="18"/>
              </w:rPr>
              <w:t>Layer 0 penalty-based design score (0–1)</w:t>
            </w:r>
          </w:p>
        </w:tc>
      </w:tr>
      <w:tr>
        <w:tc>
          <w:tcPr>
            <w:tcW w:type="dxa" w:w="3022"/>
          </w:tcPr>
          <w:p>
            <w:r>
              <w:rPr>
                <w:rFonts w:ascii="Courier New" w:hAnsi="Courier New"/>
                <w:color w:val="0969DA"/>
                <w:sz w:val="18"/>
              </w:rPr>
              <w:t>interaction_score</w:t>
            </w:r>
          </w:p>
        </w:tc>
        <w:tc>
          <w:tcPr>
            <w:tcW w:type="dxa" w:w="3022"/>
          </w:tcPr>
          <w:p>
            <w:r>
              <w:rPr>
                <w:rFonts w:ascii="Courier New" w:hAnsi="Courier New"/>
                <w:color w:val="8250DF"/>
                <w:sz w:val="18"/>
              </w:rPr>
              <w:t>number</w:t>
            </w:r>
          </w:p>
        </w:tc>
        <w:tc>
          <w:tcPr>
            <w:tcW w:type="dxa" w:w="3022"/>
          </w:tcPr>
          <w:p>
            <w:r>
              <w:rPr>
                <w:sz w:val="18"/>
              </w:rPr>
              <w:t>Layer 1 sub-score (0–1)</w:t>
            </w:r>
          </w:p>
        </w:tc>
      </w:tr>
      <w:tr>
        <w:tc>
          <w:tcPr>
            <w:tcW w:type="dxa" w:w="3022"/>
          </w:tcPr>
          <w:p>
            <w:r>
              <w:rPr>
                <w:rFonts w:ascii="Courier New" w:hAnsi="Courier New"/>
                <w:color w:val="0969DA"/>
                <w:sz w:val="18"/>
              </w:rPr>
              <w:t>configuration_score</w:t>
            </w:r>
          </w:p>
        </w:tc>
        <w:tc>
          <w:tcPr>
            <w:tcW w:type="dxa" w:w="3022"/>
          </w:tcPr>
          <w:p>
            <w:r>
              <w:rPr>
                <w:rFonts w:ascii="Courier New" w:hAnsi="Courier New"/>
                <w:color w:val="8250DF"/>
                <w:sz w:val="18"/>
              </w:rPr>
              <w:t>number</w:t>
            </w:r>
          </w:p>
        </w:tc>
        <w:tc>
          <w:tcPr>
            <w:tcW w:type="dxa" w:w="3022"/>
          </w:tcPr>
          <w:p>
            <w:r>
              <w:rPr>
                <w:sz w:val="18"/>
              </w:rPr>
              <w:t>Layer 2 sub-score (0–1)</w:t>
            </w:r>
          </w:p>
        </w:tc>
      </w:tr>
      <w:tr>
        <w:tc>
          <w:tcPr>
            <w:tcW w:type="dxa" w:w="3022"/>
          </w:tcPr>
          <w:p>
            <w:r>
              <w:rPr>
                <w:rFonts w:ascii="Courier New" w:hAnsi="Courier New"/>
                <w:color w:val="0969DA"/>
                <w:sz w:val="18"/>
              </w:rPr>
              <w:t>system_score</w:t>
            </w:r>
          </w:p>
        </w:tc>
        <w:tc>
          <w:tcPr>
            <w:tcW w:type="dxa" w:w="3022"/>
          </w:tcPr>
          <w:p>
            <w:r>
              <w:rPr>
                <w:rFonts w:ascii="Courier New" w:hAnsi="Courier New"/>
                <w:color w:val="8250DF"/>
                <w:sz w:val="18"/>
              </w:rPr>
              <w:t>number</w:t>
            </w:r>
          </w:p>
        </w:tc>
        <w:tc>
          <w:tcPr>
            <w:tcW w:type="dxa" w:w="3022"/>
          </w:tcPr>
          <w:p>
            <w:r>
              <w:rPr>
                <w:sz w:val="18"/>
              </w:rPr>
              <w:t>Layer 3 sub-score (0–1)</w:t>
            </w:r>
          </w:p>
        </w:tc>
      </w:tr>
      <w:tr>
        <w:tc>
          <w:tcPr>
            <w:tcW w:type="dxa" w:w="3022"/>
          </w:tcPr>
          <w:p>
            <w:r>
              <w:rPr>
                <w:rFonts w:ascii="Courier New" w:hAnsi="Courier New"/>
                <w:color w:val="0969DA"/>
                <w:sz w:val="18"/>
              </w:rPr>
              <w:t>composite_score</w:t>
            </w:r>
          </w:p>
        </w:tc>
        <w:tc>
          <w:tcPr>
            <w:tcW w:type="dxa" w:w="3022"/>
          </w:tcPr>
          <w:p>
            <w:r>
              <w:rPr>
                <w:rFonts w:ascii="Courier New" w:hAnsi="Courier New"/>
                <w:color w:val="8250DF"/>
                <w:sz w:val="18"/>
              </w:rPr>
              <w:t>number</w:t>
            </w:r>
          </w:p>
        </w:tc>
        <w:tc>
          <w:tcPr>
            <w:tcW w:type="dxa" w:w="3022"/>
          </w:tcPr>
          <w:p>
            <w:r>
              <w:rPr>
                <w:sz w:val="18"/>
              </w:rPr>
              <w:t>Weighted composite (0–1); primary ML target</w:t>
            </w:r>
          </w:p>
        </w:tc>
      </w:tr>
      <w:tr>
        <w:tc>
          <w:tcPr>
            <w:tcW w:type="dxa" w:w="3022"/>
          </w:tcPr>
          <w:p>
            <w:r>
              <w:rPr>
                <w:rFonts w:ascii="Courier New" w:hAnsi="Courier New"/>
                <w:color w:val="0969DA"/>
                <w:sz w:val="18"/>
              </w:rPr>
              <w:t>grade</w:t>
            </w:r>
          </w:p>
        </w:tc>
        <w:tc>
          <w:tcPr>
            <w:tcW w:type="dxa" w:w="3022"/>
          </w:tcPr>
          <w:p>
            <w:r>
              <w:rPr>
                <w:rFonts w:ascii="Courier New" w:hAnsi="Courier New"/>
                <w:color w:val="8250DF"/>
                <w:sz w:val="18"/>
              </w:rPr>
              <w:t>string</w:t>
            </w:r>
          </w:p>
        </w:tc>
        <w:tc>
          <w:tcPr>
            <w:tcW w:type="dxa" w:w="3022"/>
          </w:tcPr>
          <w:p>
            <w:r>
              <w:rPr>
                <w:sz w:val="18"/>
              </w:rPr>
              <w:t>"A+" | "A" | "B" | "C" | "D" | "E" | "F"</w:t>
            </w:r>
          </w:p>
        </w:tc>
      </w:tr>
      <w:tr>
        <w:tc>
          <w:tcPr>
            <w:tcW w:type="dxa" w:w="3022"/>
          </w:tcPr>
          <w:p>
            <w:r>
              <w:rPr>
                <w:rFonts w:ascii="Courier New" w:hAnsi="Courier New"/>
                <w:color w:val="0969DA"/>
                <w:sz w:val="18"/>
              </w:rPr>
              <w:t>design_reasons</w:t>
            </w:r>
          </w:p>
        </w:tc>
        <w:tc>
          <w:tcPr>
            <w:tcW w:type="dxa" w:w="3022"/>
          </w:tcPr>
          <w:p>
            <w:r>
              <w:rPr>
                <w:rFonts w:ascii="Courier New" w:hAnsi="Courier New"/>
                <w:color w:val="8250DF"/>
                <w:sz w:val="18"/>
              </w:rPr>
              <w:t>string[]</w:t>
            </w:r>
          </w:p>
        </w:tc>
        <w:tc>
          <w:tcPr>
            <w:tcW w:type="dxa" w:w="3022"/>
          </w:tcPr>
          <w:p>
            <w:r>
              <w:rPr>
                <w:sz w:val="18"/>
              </w:rPr>
              <w:t>Penalty factors fired for Layer 0</w:t>
            </w:r>
          </w:p>
        </w:tc>
      </w:tr>
      <w:tr>
        <w:tc>
          <w:tcPr>
            <w:tcW w:type="dxa" w:w="3022"/>
          </w:tcPr>
          <w:p>
            <w:r>
              <w:rPr>
                <w:rFonts w:ascii="Courier New" w:hAnsi="Courier New"/>
                <w:color w:val="0969DA"/>
                <w:sz w:val="18"/>
              </w:rPr>
              <w:t>interaction_reasons</w:t>
            </w:r>
          </w:p>
        </w:tc>
        <w:tc>
          <w:tcPr>
            <w:tcW w:type="dxa" w:w="3022"/>
          </w:tcPr>
          <w:p>
            <w:r>
              <w:rPr>
                <w:rFonts w:ascii="Courier New" w:hAnsi="Courier New"/>
                <w:color w:val="8250DF"/>
                <w:sz w:val="18"/>
              </w:rPr>
              <w:t>string[]</w:t>
            </w:r>
          </w:p>
        </w:tc>
        <w:tc>
          <w:tcPr>
            <w:tcW w:type="dxa" w:w="3022"/>
          </w:tcPr>
          <w:p>
            <w:r>
              <w:rPr>
                <w:sz w:val="18"/>
              </w:rPr>
              <w:t>Rule IDs fired for Layer 1</w:t>
            </w:r>
          </w:p>
        </w:tc>
      </w:tr>
      <w:tr>
        <w:tc>
          <w:tcPr>
            <w:tcW w:type="dxa" w:w="3022"/>
          </w:tcPr>
          <w:p>
            <w:r>
              <w:rPr>
                <w:rFonts w:ascii="Courier New" w:hAnsi="Courier New"/>
                <w:color w:val="0969DA"/>
                <w:sz w:val="18"/>
              </w:rPr>
              <w:t>configuration_reasons</w:t>
            </w:r>
          </w:p>
        </w:tc>
        <w:tc>
          <w:tcPr>
            <w:tcW w:type="dxa" w:w="3022"/>
          </w:tcPr>
          <w:p>
            <w:r>
              <w:rPr>
                <w:rFonts w:ascii="Courier New" w:hAnsi="Courier New"/>
                <w:color w:val="8250DF"/>
                <w:sz w:val="18"/>
              </w:rPr>
              <w:t>string[]</w:t>
            </w:r>
          </w:p>
        </w:tc>
        <w:tc>
          <w:tcPr>
            <w:tcW w:type="dxa" w:w="3022"/>
          </w:tcPr>
          <w:p>
            <w:r>
              <w:rPr>
                <w:sz w:val="18"/>
              </w:rPr>
              <w:t>Rule IDs fired for Layer 2</w:t>
            </w:r>
          </w:p>
        </w:tc>
      </w:tr>
      <w:tr>
        <w:tc>
          <w:tcPr>
            <w:tcW w:type="dxa" w:w="3022"/>
          </w:tcPr>
          <w:p>
            <w:r>
              <w:rPr>
                <w:rFonts w:ascii="Courier New" w:hAnsi="Courier New"/>
                <w:color w:val="0969DA"/>
                <w:sz w:val="18"/>
              </w:rPr>
              <w:t>system_reasons</w:t>
            </w:r>
          </w:p>
        </w:tc>
        <w:tc>
          <w:tcPr>
            <w:tcW w:type="dxa" w:w="3022"/>
          </w:tcPr>
          <w:p>
            <w:r>
              <w:rPr>
                <w:rFonts w:ascii="Courier New" w:hAnsi="Courier New"/>
                <w:color w:val="8250DF"/>
                <w:sz w:val="18"/>
              </w:rPr>
              <w:t>string[]</w:t>
            </w:r>
          </w:p>
        </w:tc>
        <w:tc>
          <w:tcPr>
            <w:tcW w:type="dxa" w:w="3022"/>
          </w:tcPr>
          <w:p>
            <w:r>
              <w:rPr>
                <w:sz w:val="18"/>
              </w:rPr>
              <w:t>Rule IDs fired for Layer 3</w:t>
            </w:r>
          </w:p>
        </w:tc>
      </w:tr>
    </w:tbl>
    <w:p/>
    <w:p>
      <w:pPr>
        <w:spacing w:before="200" w:after="40"/>
      </w:pPr>
      <w:r>
        <w:rPr>
          <w:b/>
          <w:color w:val="0A7A5A"/>
          <w:sz w:val="24"/>
        </w:rPr>
        <w:t>Risk Label (Target Variable)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18"/>
              </w:rPr>
              <w:t>Field</w:t>
            </w:r>
          </w:p>
        </w:tc>
        <w:tc>
          <w:tcPr>
            <w:tcW w:type="dxa" w:w="3022"/>
            <w:shd w:val="clear" w:color="auto" w:fill="0F294D"/>
          </w:tcPr>
          <w:p>
            <w:r>
              <w:rPr>
                <w:b/>
                <w:color w:val="FFFFFF"/>
                <w:sz w:val="18"/>
              </w:rPr>
              <w:t>Type</w:t>
            </w:r>
          </w:p>
        </w:tc>
        <w:tc>
          <w:tcPr>
            <w:tcW w:type="dxa" w:w="3022"/>
            <w:shd w:val="clear" w:color="auto" w:fill="0F294D"/>
          </w:tcPr>
          <w:p>
            <w:r>
              <w:rPr>
                <w:b/>
                <w:color w:val="FFFFFF"/>
                <w:sz w:val="18"/>
              </w:rPr>
              <w:t>Description</w:t>
            </w:r>
          </w:p>
        </w:tc>
      </w:tr>
      <w:tr>
        <w:tc>
          <w:tcPr>
            <w:tcW w:type="dxa" w:w="3022"/>
          </w:tcPr>
          <w:p>
            <w:r>
              <w:rPr>
                <w:rFonts w:ascii="Courier New" w:hAnsi="Courier New"/>
                <w:color w:val="0969DA"/>
                <w:sz w:val="18"/>
              </w:rPr>
              <w:t>risk_label</w:t>
            </w:r>
          </w:p>
        </w:tc>
        <w:tc>
          <w:tcPr>
            <w:tcW w:type="dxa" w:w="3022"/>
          </w:tcPr>
          <w:p>
            <w:r>
              <w:rPr>
                <w:rFonts w:ascii="Courier New" w:hAnsi="Courier New"/>
                <w:color w:val="8250DF"/>
                <w:sz w:val="18"/>
              </w:rPr>
              <w:t>"low"|"medium"|"high"</w:t>
            </w:r>
          </w:p>
        </w:tc>
        <w:tc>
          <w:tcPr>
            <w:tcW w:type="dxa" w:w="3022"/>
          </w:tcPr>
          <w:p>
            <w:r>
              <w:rPr>
                <w:sz w:val="18"/>
              </w:rPr>
              <w:t>Classification target for AI model training</w:t>
            </w:r>
          </w:p>
        </w:tc>
      </w:tr>
      <w:tr>
        <w:tc>
          <w:tcPr>
            <w:tcW w:type="dxa" w:w="3022"/>
          </w:tcPr>
          <w:p>
            <w:r>
              <w:rPr>
                <w:rFonts w:ascii="Courier New" w:hAnsi="Courier New"/>
                <w:color w:val="0969DA"/>
                <w:sz w:val="18"/>
              </w:rPr>
              <w:t>risk_score</w:t>
            </w:r>
          </w:p>
        </w:tc>
        <w:tc>
          <w:tcPr>
            <w:tcW w:type="dxa" w:w="3022"/>
          </w:tcPr>
          <w:p>
            <w:r>
              <w:rPr>
                <w:rFonts w:ascii="Courier New" w:hAnsi="Courier New"/>
                <w:color w:val="8250DF"/>
                <w:sz w:val="18"/>
              </w:rPr>
              <w:t>number</w:t>
            </w:r>
          </w:p>
        </w:tc>
        <w:tc>
          <w:tcPr>
            <w:tcW w:type="dxa" w:w="3022"/>
          </w:tcPr>
          <w:p>
            <w:r>
              <w:rPr>
                <w:sz w:val="18"/>
              </w:rPr>
              <w:t>Same as composite_score (continuous target for regression)</w:t>
            </w:r>
          </w:p>
        </w:tc>
      </w:tr>
      <w:tr>
        <w:tc>
          <w:tcPr>
            <w:tcW w:type="dxa" w:w="3022"/>
          </w:tcPr>
          <w:p>
            <w:r>
              <w:rPr>
                <w:rFonts w:ascii="Courier New" w:hAnsi="Courier New"/>
                <w:color w:val="0969DA"/>
                <w:sz w:val="18"/>
              </w:rPr>
              <w:t>risk_reasons</w:t>
            </w:r>
          </w:p>
        </w:tc>
        <w:tc>
          <w:tcPr>
            <w:tcW w:type="dxa" w:w="3022"/>
          </w:tcPr>
          <w:p>
            <w:r>
              <w:rPr>
                <w:rFonts w:ascii="Courier New" w:hAnsi="Courier New"/>
                <w:color w:val="8250DF"/>
                <w:sz w:val="18"/>
              </w:rPr>
              <w:t>string[]</w:t>
            </w:r>
          </w:p>
        </w:tc>
        <w:tc>
          <w:tcPr>
            <w:tcW w:type="dxa" w:w="3022"/>
          </w:tcPr>
          <w:p>
            <w:r>
              <w:rPr>
                <w:sz w:val="18"/>
              </w:rPr>
              <w:t>All rule IDs that fired, prefixed with rule ID</w:t>
            </w:r>
          </w:p>
        </w:tc>
      </w:tr>
    </w:tbl>
    <w:p/>
    <w:p>
      <w:r>
        <w:br w:type="page"/>
      </w:r>
    </w:p>
    <w:p>
      <w:pPr>
        <w:spacing w:before="480" w:after="120"/>
        <w:pBdr>
          <w:bottom w:val="single" w:sz="6" w:space="4" w:color="8250DF"/>
        </w:pBdr>
      </w:pPr>
      <w:r>
        <w:rPr>
          <w:b/>
          <w:color w:val="0F294D"/>
          <w:sz w:val="40"/>
        </w:rPr>
        <w:t>4. Synthetic Data Generation</w:t>
      </w:r>
    </w:p>
    <w:p>
      <w:pPr>
        <w:spacing w:before="320" w:after="80"/>
      </w:pPr>
      <w:r>
        <w:rPr>
          <w:b/>
          <w:color w:val="8250DF"/>
          <w:sz w:val="28"/>
        </w:rPr>
        <w:t>4.1  Scenario Profiles</w:t>
      </w:r>
    </w:p>
    <w:p>
      <w:pPr>
        <w:spacing w:after="120"/>
      </w:pPr>
      <w:r>
        <w:rPr>
          <w:b w:val="0"/>
          <w:color w:val="1F2328"/>
          <w:sz w:val="22"/>
        </w:rPr>
        <w:t>Synthetic sessions are generated by driving the pure pump state machines (no React, no timers) with a deterministic LCG random number generator. Four scenario profiles control device state and nurse behaviour:</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0F294D"/>
          </w:tcPr>
          <w:p>
            <w:r>
              <w:rPr>
                <w:b/>
                <w:color w:val="FFFFFF"/>
                <w:sz w:val="18"/>
              </w:rPr>
              <w:t>Profile ID</w:t>
            </w:r>
          </w:p>
        </w:tc>
        <w:tc>
          <w:tcPr>
            <w:tcW w:type="dxa" w:w="1813"/>
            <w:shd w:val="clear" w:color="auto" w:fill="0F294D"/>
          </w:tcPr>
          <w:p>
            <w:r>
              <w:rPr>
                <w:b/>
                <w:color w:val="FFFFFF"/>
                <w:sz w:val="18"/>
              </w:rPr>
              <w:t>Name</w:t>
            </w:r>
          </w:p>
        </w:tc>
        <w:tc>
          <w:tcPr>
            <w:tcW w:type="dxa" w:w="1813"/>
            <w:shd w:val="clear" w:color="auto" w:fill="0F294D"/>
          </w:tcPr>
          <w:p>
            <w:r>
              <w:rPr>
                <w:b/>
                <w:color w:val="FFFFFF"/>
                <w:sz w:val="18"/>
              </w:rPr>
              <w:t>Device State &amp; Behaviour</w:t>
            </w:r>
          </w:p>
        </w:tc>
        <w:tc>
          <w:tcPr>
            <w:tcW w:type="dxa" w:w="1813"/>
            <w:shd w:val="clear" w:color="auto" w:fill="0F294D"/>
          </w:tcPr>
          <w:p>
            <w:r>
              <w:rPr>
                <w:b/>
                <w:color w:val="FFFFFF"/>
                <w:sz w:val="18"/>
              </w:rPr>
              <w:t>Dataset Share</w:t>
            </w:r>
          </w:p>
        </w:tc>
        <w:tc>
          <w:tcPr>
            <w:tcW w:type="dxa" w:w="1813"/>
            <w:shd w:val="clear" w:color="auto" w:fill="0F294D"/>
          </w:tcPr>
          <w:p>
            <w:r>
              <w:rPr>
                <w:b/>
                <w:color w:val="FFFFFF"/>
                <w:sz w:val="18"/>
              </w:rPr>
              <w:t>Expected Label</w:t>
            </w:r>
          </w:p>
        </w:tc>
      </w:tr>
      <w:tr>
        <w:tc>
          <w:tcPr>
            <w:tcW w:type="dxa" w:w="1813"/>
          </w:tcPr>
          <w:p>
            <w:r>
              <w:rPr>
                <w:rFonts w:ascii="Courier New" w:hAnsi="Courier New"/>
                <w:color w:val="0969DA"/>
                <w:sz w:val="18"/>
              </w:rPr>
              <w:t>ideal</w:t>
            </w:r>
          </w:p>
        </w:tc>
        <w:tc>
          <w:tcPr>
            <w:tcW w:type="dxa" w:w="1813"/>
          </w:tcPr>
          <w:p>
            <w:r>
              <w:rPr>
                <w:sz w:val="20"/>
              </w:rPr>
              <w:t>Well-maintained, connected</w:t>
            </w:r>
          </w:p>
        </w:tc>
        <w:tc>
          <w:tcPr>
            <w:tcW w:type="dxa" w:w="1813"/>
          </w:tcPr>
          <w:p>
            <w:r>
              <w:rPr>
                <w:sz w:val="18"/>
              </w:rPr>
              <w:t>Ideal ward conditions — 0–30 days maintenance, 80–100% battery, WiFi connected, library current (0–14 days). Max rate error 5%. Correction probability 5%.</w:t>
            </w:r>
          </w:p>
        </w:tc>
        <w:tc>
          <w:tcPr>
            <w:tcW w:type="dxa" w:w="1813"/>
          </w:tcPr>
          <w:p>
            <w:r>
              <w:rPr>
                <w:sz w:val="18"/>
              </w:rPr>
              <w:t>~40% weight</w:t>
            </w:r>
          </w:p>
        </w:tc>
        <w:tc>
          <w:tcPr>
            <w:tcW w:type="dxa" w:w="1813"/>
          </w:tcPr>
          <w:p>
            <w:r>
              <w:rPr>
                <w:sz w:val="18"/>
              </w:rPr>
              <w:t>Low–medium</w:t>
            </w:r>
          </w:p>
        </w:tc>
      </w:tr>
      <w:tr>
        <w:tc>
          <w:tcPr>
            <w:tcW w:type="dxa" w:w="1813"/>
          </w:tcPr>
          <w:p>
            <w:r>
              <w:rPr>
                <w:rFonts w:ascii="Courier New" w:hAnsi="Courier New"/>
                <w:color w:val="0969DA"/>
                <w:sz w:val="18"/>
              </w:rPr>
              <w:t>neglected</w:t>
            </w:r>
          </w:p>
        </w:tc>
        <w:tc>
          <w:tcPr>
            <w:tcW w:type="dxa" w:w="1813"/>
          </w:tcPr>
          <w:p>
            <w:r>
              <w:rPr>
                <w:sz w:val="20"/>
              </w:rPr>
              <w:t>Overdue maintenance, isolated</w:t>
            </w:r>
          </w:p>
        </w:tc>
        <w:tc>
          <w:tcPr>
            <w:tcW w:type="dxa" w:w="1813"/>
          </w:tcPr>
          <w:p>
            <w:r>
              <w:rPr>
                <w:sz w:val="18"/>
              </w:rPr>
              <w:t>Common ward scenario — 180–730 days maintenance, 10–40% battery, no network, library 90–365 days old, config drift 0.3–0.8. Max rate error 15%.</w:t>
            </w:r>
          </w:p>
        </w:tc>
        <w:tc>
          <w:tcPr>
            <w:tcW w:type="dxa" w:w="1813"/>
          </w:tcPr>
          <w:p>
            <w:r>
              <w:rPr>
                <w:sz w:val="18"/>
              </w:rPr>
              <w:t>~30% weight</w:t>
            </w:r>
          </w:p>
        </w:tc>
        <w:tc>
          <w:tcPr>
            <w:tcW w:type="dxa" w:w="1813"/>
          </w:tcPr>
          <w:p>
            <w:r>
              <w:rPr>
                <w:sz w:val="18"/>
              </w:rPr>
              <w:t>Medium–high</w:t>
            </w:r>
          </w:p>
        </w:tc>
      </w:tr>
      <w:tr>
        <w:tc>
          <w:tcPr>
            <w:tcW w:type="dxa" w:w="1813"/>
          </w:tcPr>
          <w:p>
            <w:r>
              <w:rPr>
                <w:rFonts w:ascii="Courier New" w:hAnsi="Courier New"/>
                <w:color w:val="0969DA"/>
                <w:sz w:val="18"/>
              </w:rPr>
              <w:t>cyber_risk</w:t>
            </w:r>
          </w:p>
        </w:tc>
        <w:tc>
          <w:tcPr>
            <w:tcW w:type="dxa" w:w="1813"/>
          </w:tcPr>
          <w:p>
            <w:r>
              <w:rPr>
                <w:sz w:val="20"/>
              </w:rPr>
              <w:t>Known vulnerable firmware</w:t>
            </w:r>
          </w:p>
        </w:tc>
        <w:tc>
          <w:tcPr>
            <w:tcW w:type="dxa" w:w="1813"/>
          </w:tcPr>
          <w:p>
            <w:r>
              <w:rPr>
                <w:sz w:val="18"/>
              </w:rPr>
              <w:t>Device firmware from CVE vulnerability list. Maintenance 30–180 days. Network connected. Library current. Max rate error 8%.</w:t>
            </w:r>
          </w:p>
        </w:tc>
        <w:tc>
          <w:tcPr>
            <w:tcW w:type="dxa" w:w="1813"/>
          </w:tcPr>
          <w:p>
            <w:r>
              <w:rPr>
                <w:sz w:val="18"/>
              </w:rPr>
              <w:t>~15% weight</w:t>
            </w:r>
          </w:p>
        </w:tc>
        <w:tc>
          <w:tcPr>
            <w:tcW w:type="dxa" w:w="1813"/>
          </w:tcPr>
          <w:p>
            <w:r>
              <w:rPr>
                <w:sz w:val="18"/>
              </w:rPr>
              <w:t>High</w:t>
            </w:r>
          </w:p>
        </w:tc>
      </w:tr>
      <w:tr>
        <w:tc>
          <w:tcPr>
            <w:tcW w:type="dxa" w:w="1813"/>
          </w:tcPr>
          <w:p>
            <w:r>
              <w:rPr>
                <w:rFonts w:ascii="Courier New" w:hAnsi="Courier New"/>
                <w:color w:val="0969DA"/>
                <w:sz w:val="18"/>
              </w:rPr>
              <w:t>emergency</w:t>
            </w:r>
          </w:p>
        </w:tc>
        <w:tc>
          <w:tcPr>
            <w:tcW w:type="dxa" w:w="1813"/>
          </w:tcPr>
          <w:p>
            <w:r>
              <w:rPr>
                <w:sz w:val="20"/>
              </w:rPr>
              <w:t>Emergency use, MANUAL mode</w:t>
            </w:r>
          </w:p>
        </w:tc>
        <w:tc>
          <w:tcPr>
            <w:tcW w:type="dxa" w:w="1813"/>
          </w:tcPr>
          <w:p>
            <w:r>
              <w:rPr>
                <w:sz w:val="18"/>
              </w:rPr>
              <w:t>Force MANUAL mode (no drug library). Mixed network state. Variable maintenance. Max rate error 20%. High VTBI omission rate.</w:t>
            </w:r>
          </w:p>
        </w:tc>
        <w:tc>
          <w:tcPr>
            <w:tcW w:type="dxa" w:w="1813"/>
          </w:tcPr>
          <w:p>
            <w:r>
              <w:rPr>
                <w:sz w:val="18"/>
              </w:rPr>
              <w:t>~15% weight</w:t>
            </w:r>
          </w:p>
        </w:tc>
        <w:tc>
          <w:tcPr>
            <w:tcW w:type="dxa" w:w="1813"/>
          </w:tcPr>
          <w:p>
            <w:r>
              <w:rPr>
                <w:sz w:val="18"/>
              </w:rPr>
              <w:t>Medium–high</w:t>
            </w:r>
          </w:p>
        </w:tc>
      </w:tr>
    </w:tbl>
    <w:p/>
    <w:p>
      <w:pPr>
        <w:spacing w:before="320" w:after="80"/>
      </w:pPr>
      <w:r>
        <w:rPr>
          <w:b/>
          <w:color w:val="8250DF"/>
          <w:sz w:val="28"/>
        </w:rPr>
        <w:t>4.2  Behaviour Parameters per Profile</w:t>
      </w:r>
    </w:p>
    <w:p>
      <w:pPr>
        <w:spacing w:after="120"/>
      </w:pPr>
      <w:r>
        <w:rPr>
          <w:b w:val="0"/>
          <w:color w:val="1F2328"/>
          <w:sz w:val="22"/>
        </w:rPr>
        <w:t>Each profile configures these simulation behaviour parameters:</w:t>
      </w:r>
    </w:p>
    <w:p>
      <w:pPr>
        <w:spacing w:after="60"/>
        <w:ind w:left="288"/>
      </w:pPr>
      <w:r>
        <w:rPr>
          <w:rFonts w:ascii="Courier New" w:hAnsi="Courier New"/>
          <w:b/>
          <w:color w:val="0A7A5A"/>
          <w:sz w:val="20"/>
        </w:rPr>
        <w:t>keypress_interval_ms</w:t>
      </w:r>
      <w:r>
        <w:rPr>
          <w:sz w:val="20"/>
        </w:rPr>
        <w:t xml:space="preserve">  —  Time between simulated chevron presses (ms). Lower = faster typist.</w:t>
      </w:r>
    </w:p>
    <w:p>
      <w:pPr>
        <w:spacing w:after="60"/>
        <w:ind w:left="288"/>
      </w:pPr>
      <w:r>
        <w:rPr>
          <w:rFonts w:ascii="Courier New" w:hAnsi="Courier New"/>
          <w:b/>
          <w:color w:val="0A7A5A"/>
          <w:sz w:val="20"/>
        </w:rPr>
        <w:t>correction_probability</w:t>
      </w:r>
      <w:r>
        <w:rPr>
          <w:sz w:val="20"/>
        </w:rPr>
        <w:t xml:space="preserve">  —  Probability (0–1) of inserting a direction reversal before the main entry.</w:t>
      </w:r>
    </w:p>
    <w:p>
      <w:pPr>
        <w:spacing w:after="60"/>
        <w:ind w:left="288"/>
      </w:pPr>
      <w:r>
        <w:rPr>
          <w:rFonts w:ascii="Courier New" w:hAnsi="Courier New"/>
          <w:b/>
          <w:color w:val="0A7A5A"/>
          <w:sz w:val="20"/>
        </w:rPr>
        <w:t>max_rate_error</w:t>
      </w:r>
      <w:r>
        <w:rPr>
          <w:sz w:val="20"/>
        </w:rPr>
        <w:t xml:space="preserve">  —  Maximum fractional error applied to the intended rate (e.g. 0.10 = ±10%).</w:t>
      </w:r>
    </w:p>
    <w:p>
      <w:pPr>
        <w:spacing w:after="60"/>
        <w:ind w:left="288"/>
      </w:pPr>
      <w:r>
        <w:rPr>
          <w:rFonts w:ascii="Courier New" w:hAnsi="Courier New"/>
          <w:b/>
          <w:color w:val="0A7A5A"/>
          <w:sz w:val="20"/>
        </w:rPr>
        <w:t>vtbi_omission_rate</w:t>
      </w:r>
      <w:r>
        <w:rPr>
          <w:sz w:val="20"/>
        </w:rPr>
        <w:t xml:space="preserve">  —  Probability (0–1) of omitting VTBI programming (triggers R13).</w:t>
      </w:r>
    </w:p>
    <w:p>
      <w:pPr>
        <w:spacing w:after="60"/>
        <w:ind w:left="288"/>
      </w:pPr>
      <w:r>
        <w:rPr>
          <w:rFonts w:ascii="Courier New" w:hAnsi="Courier New"/>
          <w:b/>
          <w:color w:val="0A7A5A"/>
          <w:sz w:val="20"/>
        </w:rPr>
        <w:t>override_probability</w:t>
      </w:r>
      <w:r>
        <w:rPr>
          <w:sz w:val="20"/>
        </w:rPr>
        <w:t xml:space="preserve">  —  Probability (0–1) of choosing OVERRIDE when a guardrail warning appears.</w:t>
      </w:r>
    </w:p>
    <w:p>
      <w:pPr>
        <w:spacing w:after="60"/>
        <w:ind w:left="288"/>
      </w:pPr>
      <w:r>
        <w:rPr>
          <w:rFonts w:ascii="Courier New" w:hAnsi="Courier New"/>
          <w:b/>
          <w:color w:val="0A7A5A"/>
          <w:sz w:val="20"/>
        </w:rPr>
        <w:t>force_manual</w:t>
      </w:r>
      <w:r>
        <w:rPr>
          <w:sz w:val="20"/>
        </w:rPr>
        <w:t xml:space="preserve">  —  Boolean — forces MANUAL mode selection regardless of drug library state.</w:t>
      </w:r>
    </w:p>
    <w:p/>
    <w:p>
      <w:pPr>
        <w:spacing w:before="320" w:after="80"/>
      </w:pPr>
      <w:r>
        <w:rPr>
          <w:b/>
          <w:color w:val="8250DF"/>
          <w:sz w:val="28"/>
        </w:rPr>
        <w:t>4.3  Dataset Size and Distribution Target</w:t>
      </w:r>
    </w:p>
    <w:p>
      <w:pPr>
        <w:spacing w:after="120"/>
      </w:pPr>
      <w:r>
        <w:rPr>
          <w:b w:val="0"/>
          <w:color w:val="1F2328"/>
          <w:sz w:val="22"/>
        </w:rPr>
        <w:t>Default generation: 500 records (npm run generate). Seed 42 is the default for reproducibility. Target distribution:</w:t>
      </w:r>
    </w:p>
    <w:p>
      <w:pPr>
        <w:pStyle w:val="ListBullet"/>
        <w:spacing w:after="60"/>
        <w:ind w:left="360"/>
      </w:pPr>
      <w:r>
        <w:rPr>
          <w:color w:val="1F2328"/>
          <w:sz w:val="22"/>
        </w:rPr>
        <w:t>Low risk:    ~30% of records</w:t>
      </w:r>
    </w:p>
    <w:p>
      <w:pPr>
        <w:pStyle w:val="ListBullet"/>
        <w:spacing w:after="60"/>
        <w:ind w:left="360"/>
      </w:pPr>
      <w:r>
        <w:rPr>
          <w:color w:val="1F2328"/>
          <w:sz w:val="22"/>
        </w:rPr>
        <w:t>Medium risk: ~40% of records</w:t>
      </w:r>
    </w:p>
    <w:p>
      <w:pPr>
        <w:pStyle w:val="ListBullet"/>
        <w:spacing w:after="60"/>
        <w:ind w:left="360"/>
      </w:pPr>
      <w:r>
        <w:rPr>
          <w:color w:val="1F2328"/>
          <w:sz w:val="22"/>
        </w:rPr>
        <w:t>High risk:   ~30% of records</w:t>
      </w:r>
    </w:p>
    <w:p>
      <w:pPr>
        <w:spacing w:after="120"/>
      </w:pPr>
      <w:r>
        <w:rPr>
          <w:b w:val="0"/>
          <w:color w:val="1F2328"/>
          <w:sz w:val="22"/>
        </w:rPr>
        <w:t>The profile weights are calibrated to approximate this distribution. Actual distribution varies with RNG seed. Use summariseDistribution() to verify.</w:t>
      </w:r>
    </w:p>
    <w:p>
      <w:pPr>
        <w:spacing w:after="120"/>
        <w:ind w:left="288"/>
      </w:pPr>
      <w:r>
        <w:rPr>
          <w:b/>
          <w:color w:val="9A6700"/>
          <w:sz w:val="20"/>
        </w:rPr>
        <w:t xml:space="preserve">Braun note: </w:t>
      </w:r>
      <w:r>
        <w:rPr>
          <w:i/>
          <w:color w:val="656D76"/>
          <w:sz w:val="20"/>
        </w:rPr>
        <w:t>B. Braun records may have a higher proportion of medium/high risk due to BB-R01 (unsigned firmware) firing as MEDIUM on every session, and BB-R02 (HIGH) on networked sessions.</w:t>
      </w:r>
    </w:p>
    <w:p>
      <w:r>
        <w:br w:type="page"/>
      </w:r>
    </w:p>
    <w:p>
      <w:pPr>
        <w:spacing w:before="480" w:after="120"/>
        <w:pBdr>
          <w:bottom w:val="single" w:sz="6" w:space="4" w:color="8250DF"/>
        </w:pBdr>
      </w:pPr>
      <w:r>
        <w:rPr>
          <w:b/>
          <w:color w:val="0F294D"/>
          <w:sz w:val="40"/>
        </w:rPr>
        <w:t>5. Feature Importance</w:t>
      </w:r>
    </w:p>
    <w:p>
      <w:pPr>
        <w:spacing w:before="320" w:after="80"/>
      </w:pPr>
      <w:r>
        <w:rPr>
          <w:b/>
          <w:color w:val="8250DF"/>
          <w:sz w:val="28"/>
        </w:rPr>
        <w:t>5.1  Feature Groups</w:t>
      </w:r>
    </w:p>
    <w:p>
      <w:pPr>
        <w:spacing w:after="120"/>
      </w:pPr>
      <w:r>
        <w:rPr>
          <w:b w:val="0"/>
          <w:color w:val="1F2328"/>
          <w:sz w:val="22"/>
        </w:rPr>
        <w:t>The 40+ features are grouped into four families matching the 4-layer risk model. Tree-based models (Random Forest, XGBoost) produce feature importance scores that naturally cluster by group:</w:t>
      </w:r>
    </w:p>
    <w:tbl>
      <w:tblPr>
        <w:tblStyle w:val="TableGrid"/>
        <w:tblW w:type="auto" w:w="0"/>
        <w:tblLook w:firstColumn="1" w:firstRow="1" w:lastColumn="0" w:lastRow="0" w:noHBand="0" w:noVBand="1" w:val="04A0"/>
      </w:tblPr>
      <w:tblGrid>
        <w:gridCol w:w="4533"/>
        <w:gridCol w:w="4533"/>
      </w:tblGrid>
      <w:tr>
        <w:tc>
          <w:tcPr>
            <w:tcW w:type="dxa" w:w="2880"/>
            <w:shd w:val="clear" w:color="auto" w:fill="EDE9FA"/>
          </w:tcPr>
          <w:p>
            <w:r>
              <w:rPr>
                <w:b/>
                <w:color w:val="8250DF"/>
                <w:sz w:val="22"/>
              </w:rPr>
              <w:t>Layer 0 — Design</w:t>
              <w:br/>
            </w:r>
            <w:r>
              <w:rPr>
                <w:rFonts w:ascii="Courier New" w:hAnsi="Courier New"/>
                <w:color w:val="0F294D"/>
                <w:sz w:val="16"/>
              </w:rPr>
              <w:t>design_score</w:t>
            </w:r>
          </w:p>
        </w:tc>
        <w:tc>
          <w:tcPr>
            <w:tcW w:type="dxa" w:w="4533"/>
          </w:tcPr>
          <w:p>
            <w:r>
              <w:rPr>
                <w:sz w:val="20"/>
              </w:rPr>
              <w:t>Single aggregated score. In tree models, typically the most important feature for separating device-level risk. Graseby 3100 (0.63) vs Alaris GP (0.88) creates large separations in the feature space.</w:t>
            </w:r>
          </w:p>
        </w:tc>
      </w:tr>
    </w:tbl>
    <w:p/>
    <w:tbl>
      <w:tblPr>
        <w:tblStyle w:val="TableGrid"/>
        <w:tblW w:type="auto" w:w="0"/>
        <w:tblLook w:firstColumn="1" w:firstRow="1" w:lastColumn="0" w:lastRow="0" w:noHBand="0" w:noVBand="1" w:val="04A0"/>
      </w:tblPr>
      <w:tblGrid>
        <w:gridCol w:w="4533"/>
        <w:gridCol w:w="4533"/>
      </w:tblGrid>
      <w:tr>
        <w:tc>
          <w:tcPr>
            <w:tcW w:type="dxa" w:w="2880"/>
            <w:shd w:val="clear" w:color="auto" w:fill="EDE9FA"/>
          </w:tcPr>
          <w:p>
            <w:r>
              <w:rPr>
                <w:b/>
                <w:color w:val="8250DF"/>
                <w:sz w:val="22"/>
              </w:rPr>
              <w:t>Layer 1 — Interaction</w:t>
              <w:br/>
            </w:r>
            <w:r>
              <w:rPr>
                <w:rFonts w:ascii="Courier New" w:hAnsi="Courier New"/>
                <w:color w:val="0F294D"/>
                <w:sz w:val="16"/>
              </w:rPr>
              <w:t>relative_error, correction_count, boundary_hit_count, entry_time_ms, golden_path_ratio, confirmed_incorrect</w:t>
            </w:r>
          </w:p>
        </w:tc>
        <w:tc>
          <w:tcPr>
            <w:tcW w:type="dxa" w:w="4533"/>
          </w:tcPr>
          <w:p>
            <w:r>
              <w:rPr>
                <w:sz w:val="20"/>
              </w:rPr>
              <w:t>relative_error and confirmed_incorrect are the highest-importance interaction features (directly trigger HIGH rules R01/R02/R08). correction_count and boundary_hit_count have moderate importance (R14, R15).</w:t>
            </w:r>
          </w:p>
        </w:tc>
      </w:tr>
    </w:tbl>
    <w:p/>
    <w:tbl>
      <w:tblPr>
        <w:tblStyle w:val="TableGrid"/>
        <w:tblW w:type="auto" w:w="0"/>
        <w:tblLook w:firstColumn="1" w:firstRow="1" w:lastColumn="0" w:lastRow="0" w:noHBand="0" w:noVBand="1" w:val="04A0"/>
      </w:tblPr>
      <w:tblGrid>
        <w:gridCol w:w="4533"/>
        <w:gridCol w:w="4533"/>
      </w:tblGrid>
      <w:tr>
        <w:tc>
          <w:tcPr>
            <w:tcW w:type="dxa" w:w="2880"/>
            <w:shd w:val="clear" w:color="auto" w:fill="EDE9FA"/>
          </w:tcPr>
          <w:p>
            <w:r>
              <w:rPr>
                <w:b/>
                <w:color w:val="8250DF"/>
                <w:sz w:val="22"/>
              </w:rPr>
              <w:t>Layer 2 — Configuration</w:t>
              <w:br/>
            </w:r>
            <w:r>
              <w:rPr>
                <w:rFonts w:ascii="Courier New" w:hAnsi="Courier New"/>
                <w:color w:val="0F294D"/>
                <w:sz w:val="16"/>
              </w:rPr>
              <w:t>drug_library_used, guardrail_override, guardrail_blocked, vtbi_set, drug_id</w:t>
            </w:r>
          </w:p>
        </w:tc>
        <w:tc>
          <w:tcPr>
            <w:tcW w:type="dxa" w:w="4533"/>
          </w:tcPr>
          <w:p>
            <w:r>
              <w:rPr>
                <w:sz w:val="20"/>
              </w:rPr>
              <w:t>drug_library_used is very high importance (R12, R04 — MANUAL mode is the second most common driver of high labels). guardrail_override (R11) is important as it is the rarest but most clinically significant configuration event.</w:t>
            </w:r>
          </w:p>
        </w:tc>
      </w:tr>
    </w:tbl>
    <w:p/>
    <w:tbl>
      <w:tblPr>
        <w:tblStyle w:val="TableGrid"/>
        <w:tblW w:type="auto" w:w="0"/>
        <w:tblLook w:firstColumn="1" w:firstRow="1" w:lastColumn="0" w:lastRow="0" w:noHBand="0" w:noVBand="1" w:val="04A0"/>
      </w:tblPr>
      <w:tblGrid>
        <w:gridCol w:w="4533"/>
        <w:gridCol w:w="4533"/>
      </w:tblGrid>
      <w:tr>
        <w:tc>
          <w:tcPr>
            <w:tcW w:type="dxa" w:w="2880"/>
            <w:shd w:val="clear" w:color="auto" w:fill="EDE9FA"/>
          </w:tcPr>
          <w:p>
            <w:r>
              <w:rPr>
                <w:b/>
                <w:color w:val="8250DF"/>
                <w:sz w:val="22"/>
              </w:rPr>
              <w:t>Layer 3 — System</w:t>
              <w:br/>
            </w:r>
            <w:r>
              <w:rPr>
                <w:rFonts w:ascii="Courier New" w:hAnsi="Courier New"/>
                <w:color w:val="0F294D"/>
                <w:sz w:val="16"/>
              </w:rPr>
              <w:t>firmware_version_risk, days_since_maintenance, network_connected, battery_level_pct, config_drift_score</w:t>
            </w:r>
          </w:p>
        </w:tc>
        <w:tc>
          <w:tcPr>
            <w:tcW w:type="dxa" w:w="4533"/>
          </w:tcPr>
          <w:p>
            <w:r>
              <w:rPr>
                <w:sz w:val="20"/>
              </w:rPr>
              <w:t>firmware_version_risk has high importance for cyber-risk profiles (R05). days_since_maintenance is important for separating neglected vs ideal profiles. battery_level_pct has lower importance because it rarely drops below 20% in isolation.</w:t>
            </w:r>
          </w:p>
        </w:tc>
      </w:tr>
    </w:tbl>
    <w:p/>
    <w:p>
      <w:pPr>
        <w:spacing w:before="320" w:after="80"/>
      </w:pPr>
      <w:r>
        <w:rPr>
          <w:b/>
          <w:color w:val="8250DF"/>
          <w:sz w:val="28"/>
        </w:rPr>
        <w:t>5.2  Feature Importance Methods by Model Type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20"/>
              </w:rPr>
              <w:t>Model</w:t>
            </w:r>
          </w:p>
        </w:tc>
        <w:tc>
          <w:tcPr>
            <w:tcW w:type="dxa" w:w="3022"/>
            <w:shd w:val="clear" w:color="auto" w:fill="0F294D"/>
          </w:tcPr>
          <w:p>
            <w:r>
              <w:rPr>
                <w:b/>
                <w:color w:val="FFFFFF"/>
                <w:sz w:val="20"/>
              </w:rPr>
              <w:t>Importance Method</w:t>
            </w:r>
          </w:p>
        </w:tc>
        <w:tc>
          <w:tcPr>
            <w:tcW w:type="dxa" w:w="3022"/>
            <w:shd w:val="clear" w:color="auto" w:fill="0F294D"/>
          </w:tcPr>
          <w:p>
            <w:r>
              <w:rPr>
                <w:b/>
                <w:color w:val="FFFFFF"/>
                <w:sz w:val="20"/>
              </w:rPr>
              <w:t>Notes</w:t>
            </w:r>
          </w:p>
        </w:tc>
      </w:tr>
      <w:tr>
        <w:tc>
          <w:tcPr>
            <w:tcW w:type="dxa" w:w="3022"/>
          </w:tcPr>
          <w:p>
            <w:r>
              <w:rPr>
                <w:sz w:val="20"/>
              </w:rPr>
              <w:t>Random Forest</w:t>
            </w:r>
          </w:p>
        </w:tc>
        <w:tc>
          <w:tcPr>
            <w:tcW w:type="dxa" w:w="3022"/>
          </w:tcPr>
          <w:p>
            <w:r>
              <w:rPr>
                <w:b/>
                <w:color w:val="8250DF"/>
                <w:sz w:val="20"/>
              </w:rPr>
              <w:t>MDI (Mean Decrease in Impurity)</w:t>
            </w:r>
          </w:p>
        </w:tc>
        <w:tc>
          <w:tcPr>
            <w:tcW w:type="dxa" w:w="3022"/>
          </w:tcPr>
          <w:p>
            <w:r>
              <w:rPr>
                <w:sz w:val="18"/>
              </w:rPr>
              <w:t>Native to sklearn. Computed during training. Normalized to sum to 1.0. Reported per feature as float. Top features by MDI are generally reliable for tree-based models with balanced classes.</w:t>
            </w:r>
          </w:p>
        </w:tc>
      </w:tr>
      <w:tr>
        <w:tc>
          <w:tcPr>
            <w:tcW w:type="dxa" w:w="3022"/>
          </w:tcPr>
          <w:p>
            <w:r>
              <w:rPr>
                <w:sz w:val="20"/>
              </w:rPr>
              <w:t>XGBoost / GBDT</w:t>
            </w:r>
          </w:p>
        </w:tc>
        <w:tc>
          <w:tcPr>
            <w:tcW w:type="dxa" w:w="3022"/>
          </w:tcPr>
          <w:p>
            <w:r>
              <w:rPr>
                <w:b/>
                <w:color w:val="8250DF"/>
                <w:sz w:val="20"/>
              </w:rPr>
              <w:t>Gain importance (XGBoost default)</w:t>
            </w:r>
          </w:p>
        </w:tc>
        <w:tc>
          <w:tcPr>
            <w:tcW w:type="dxa" w:w="3022"/>
          </w:tcPr>
          <w:p>
            <w:r>
              <w:rPr>
                <w:sz w:val="18"/>
              </w:rPr>
              <w:t>Average gain contributed by a feature across all split nodes. "Weight" (frequency) and "cover" (number of samples) also available. Gain is recommended for medical data as it penalises noisy splits.</w:t>
            </w:r>
          </w:p>
        </w:tc>
      </w:tr>
      <w:tr>
        <w:tc>
          <w:tcPr>
            <w:tcW w:type="dxa" w:w="3022"/>
          </w:tcPr>
          <w:p>
            <w:r>
              <w:rPr>
                <w:sz w:val="20"/>
              </w:rPr>
              <w:t>Logistic Regression</w:t>
            </w:r>
          </w:p>
        </w:tc>
        <w:tc>
          <w:tcPr>
            <w:tcW w:type="dxa" w:w="3022"/>
          </w:tcPr>
          <w:p>
            <w:r>
              <w:rPr>
                <w:b/>
                <w:color w:val="8250DF"/>
                <w:sz w:val="20"/>
              </w:rPr>
              <w:t>Coefficient magnitude</w:t>
            </w:r>
          </w:p>
        </w:tc>
        <w:tc>
          <w:tcPr>
            <w:tcW w:type="dxa" w:w="3022"/>
          </w:tcPr>
          <w:p>
            <w:r>
              <w:rPr>
                <w:sz w:val="18"/>
              </w:rPr>
              <w:t>Absolute value of the trained coefficient after feature scaling (StandardScaler). Only valid as importance proxy when features are normalised — which they are (0–1 range for all numeric features in TrainingRecord).</w:t>
            </w:r>
          </w:p>
        </w:tc>
      </w:tr>
      <w:tr>
        <w:tc>
          <w:tcPr>
            <w:tcW w:type="dxa" w:w="3022"/>
          </w:tcPr>
          <w:p>
            <w:r>
              <w:rPr>
                <w:sz w:val="20"/>
              </w:rPr>
              <w:t>SVM</w:t>
            </w:r>
          </w:p>
        </w:tc>
        <w:tc>
          <w:tcPr>
            <w:tcW w:type="dxa" w:w="3022"/>
          </w:tcPr>
          <w:p>
            <w:r>
              <w:rPr>
                <w:b/>
                <w:color w:val="8250DF"/>
                <w:sz w:val="20"/>
              </w:rPr>
              <w:t>Linear kernel: coefficient weight; RBF: permutation importance</w:t>
            </w:r>
          </w:p>
        </w:tc>
        <w:tc>
          <w:tcPr>
            <w:tcW w:type="dxa" w:w="3022"/>
          </w:tcPr>
          <w:p>
            <w:r>
              <w:rPr>
                <w:sz w:val="18"/>
              </w:rPr>
              <w:t>For linear SVM the hyperplane normal vector gives direct feature weights. For RBF kernel, permutation importance (sklearn permutation_importance) is used.</w:t>
            </w:r>
          </w:p>
        </w:tc>
      </w:tr>
      <w:tr>
        <w:tc>
          <w:tcPr>
            <w:tcW w:type="dxa" w:w="3022"/>
          </w:tcPr>
          <w:p>
            <w:r>
              <w:rPr>
                <w:sz w:val="20"/>
              </w:rPr>
              <w:t>Neural Network (MLP)</w:t>
            </w:r>
          </w:p>
        </w:tc>
        <w:tc>
          <w:tcPr>
            <w:tcW w:type="dxa" w:w="3022"/>
          </w:tcPr>
          <w:p>
            <w:r>
              <w:rPr>
                <w:b/>
                <w:color w:val="8250DF"/>
                <w:sz w:val="20"/>
              </w:rPr>
              <w:t>Permutation importance</w:t>
            </w:r>
          </w:p>
        </w:tc>
        <w:tc>
          <w:tcPr>
            <w:tcW w:type="dxa" w:w="3022"/>
          </w:tcPr>
          <w:p>
            <w:r>
              <w:rPr>
                <w:sz w:val="18"/>
              </w:rPr>
              <w:t>Post-hoc method: shuffle each feature independently and measure accuracy drop. Computationally expensive but model-agnostic. Implemented in backend server for MLP models.</w:t>
            </w:r>
          </w:p>
        </w:tc>
      </w:tr>
    </w:tbl>
    <w:p/>
    <w:p>
      <w:r>
        <w:br w:type="page"/>
      </w:r>
    </w:p>
    <w:p>
      <w:pPr>
        <w:spacing w:before="480" w:after="120"/>
        <w:pBdr>
          <w:bottom w:val="single" w:sz="6" w:space="4" w:color="8250DF"/>
        </w:pBdr>
      </w:pPr>
      <w:r>
        <w:rPr>
          <w:b/>
          <w:color w:val="0F294D"/>
          <w:sz w:val="40"/>
        </w:rPr>
        <w:t>6. Available Model Types</w:t>
      </w:r>
    </w:p>
    <w:p>
      <w:pPr>
        <w:spacing w:after="120"/>
      </w:pPr>
      <w:r>
        <w:rPr>
          <w:b w:val="0"/>
          <w:color w:val="1F2328"/>
          <w:sz w:val="22"/>
        </w:rPr>
        <w:t>The Research Panel Training tab exposes the following model types. All are implemented via scikit-learn (sklearn) on the FastAPI backend server. The backend is located at server/main.py.</w:t>
      </w:r>
    </w:p>
    <w:p>
      <w:pPr>
        <w:spacing w:before="200" w:after="40"/>
      </w:pPr>
      <w:r>
        <w:rPr>
          <w:b/>
          <w:color w:val="0A7A5A"/>
          <w:sz w:val="24"/>
        </w:rPr>
        <w:t>Random Forest Classifier</w:t>
      </w:r>
    </w:p>
    <w:tbl>
      <w:tblPr>
        <w:tblStyle w:val="TableGrid"/>
        <w:tblW w:type="auto" w:w="0"/>
        <w:tblLook w:firstColumn="1" w:firstRow="1" w:lastColumn="0" w:lastRow="0" w:noHBand="0" w:noVBand="1" w:val="04A0"/>
      </w:tblPr>
      <w:tblGrid>
        <w:gridCol w:w="4533"/>
        <w:gridCol w:w="4533"/>
      </w:tblGrid>
      <w:tr>
        <w:tc>
          <w:tcPr>
            <w:tcW w:type="dxa" w:w="4533"/>
            <w:shd w:val="clear" w:color="auto" w:fill="EDE9FA"/>
          </w:tcPr>
          <w:p>
            <w:r>
              <w:rPr>
                <w:b/>
                <w:color w:val="8250DF"/>
                <w:sz w:val="18"/>
              </w:rPr>
              <w:t>model_type</w:t>
            </w:r>
          </w:p>
        </w:tc>
        <w:tc>
          <w:tcPr>
            <w:tcW w:type="dxa" w:w="4533"/>
          </w:tcPr>
          <w:p>
            <w:r>
              <w:rPr>
                <w:sz w:val="18"/>
              </w:rPr>
              <w:t>random_forest</w:t>
            </w:r>
          </w:p>
        </w:tc>
      </w:tr>
      <w:tr>
        <w:tc>
          <w:tcPr>
            <w:tcW w:type="dxa" w:w="4533"/>
            <w:shd w:val="clear" w:color="auto" w:fill="EDE9FA"/>
          </w:tcPr>
          <w:p>
            <w:r>
              <w:rPr>
                <w:b/>
                <w:color w:val="8250DF"/>
                <w:sz w:val="18"/>
              </w:rPr>
              <w:t>sklearn class</w:t>
            </w:r>
          </w:p>
        </w:tc>
        <w:tc>
          <w:tcPr>
            <w:tcW w:type="dxa" w:w="4533"/>
          </w:tcPr>
          <w:p>
            <w:r>
              <w:rPr>
                <w:rFonts w:ascii="Courier New" w:hAnsi="Courier New"/>
                <w:color w:val="0F294D"/>
                <w:sz w:val="18"/>
              </w:rPr>
              <w:t>sklearn.ensemble.RandomForestClassifier</w:t>
            </w:r>
          </w:p>
        </w:tc>
      </w:tr>
      <w:tr>
        <w:tc>
          <w:tcPr>
            <w:tcW w:type="dxa" w:w="4533"/>
            <w:shd w:val="clear" w:color="auto" w:fill="EDE9FA"/>
          </w:tcPr>
          <w:p>
            <w:r>
              <w:rPr>
                <w:b/>
                <w:color w:val="8250DF"/>
                <w:sz w:val="18"/>
              </w:rPr>
              <w:t>Description</w:t>
            </w:r>
          </w:p>
        </w:tc>
        <w:tc>
          <w:tcPr>
            <w:tcW w:type="dxa" w:w="4533"/>
          </w:tcPr>
          <w:p>
            <w:r>
              <w:rPr>
                <w:sz w:val="18"/>
              </w:rPr>
              <w:t>Ensemble of decision trees. Robust to outliers and handles non-linear feature interactions naturally. Best default choice for medical data where feature interactions matter (e.g. drug_library_used × relative_error).</w:t>
            </w:r>
          </w:p>
        </w:tc>
      </w:tr>
      <w:tr>
        <w:tc>
          <w:tcPr>
            <w:tcW w:type="dxa" w:w="4533"/>
            <w:shd w:val="clear" w:color="auto" w:fill="EDE9FA"/>
          </w:tcPr>
          <w:p>
            <w:r>
              <w:rPr>
                <w:b/>
                <w:color w:val="8250DF"/>
                <w:sz w:val="18"/>
              </w:rPr>
              <w:t>Default params</w:t>
            </w:r>
          </w:p>
        </w:tc>
        <w:tc>
          <w:tcPr>
            <w:tcW w:type="dxa" w:w="4533"/>
          </w:tcPr>
          <w:p>
            <w:r>
              <w:rPr>
                <w:sz w:val="18"/>
              </w:rPr>
              <w:t>n_estimators=100  ·  max_depth=None  ·  class_weight="balanced"</w:t>
            </w:r>
          </w:p>
        </w:tc>
      </w:tr>
      <w:tr>
        <w:tc>
          <w:tcPr>
            <w:tcW w:type="dxa" w:w="4533"/>
            <w:shd w:val="clear" w:color="auto" w:fill="EDE9FA"/>
          </w:tcPr>
          <w:p>
            <w:r>
              <w:rPr>
                <w:b/>
                <w:color w:val="8250DF"/>
                <w:sz w:val="18"/>
              </w:rPr>
              <w:t>Importance</w:t>
            </w:r>
          </w:p>
        </w:tc>
        <w:tc>
          <w:tcPr>
            <w:tcW w:type="dxa" w:w="4533"/>
          </w:tcPr>
          <w:p>
            <w:r>
              <w:rPr>
                <w:sz w:val="18"/>
              </w:rPr>
              <w:t>High — MDI importance, OOB score available</w:t>
            </w:r>
          </w:p>
        </w:tc>
      </w:tr>
      <w:tr>
        <w:tc>
          <w:tcPr>
            <w:tcW w:type="dxa" w:w="4533"/>
            <w:shd w:val="clear" w:color="auto" w:fill="EDE9FA"/>
          </w:tcPr>
          <w:p>
            <w:r>
              <w:rPr>
                <w:b/>
                <w:color w:val="8250DF"/>
                <w:sz w:val="18"/>
              </w:rPr>
              <w:t>Speed / Recommendation</w:t>
            </w:r>
          </w:p>
        </w:tc>
        <w:tc>
          <w:tcPr>
            <w:tcW w:type="dxa" w:w="4533"/>
          </w:tcPr>
          <w:p>
            <w:r>
              <w:rPr>
                <w:sz w:val="18"/>
              </w:rPr>
              <w:t>Medium (~0.5s for 500 records)  —  Best overall for this dataset</w:t>
            </w:r>
          </w:p>
        </w:tc>
      </w:tr>
    </w:tbl>
    <w:p/>
    <w:p>
      <w:pPr>
        <w:spacing w:before="200" w:after="40"/>
      </w:pPr>
      <w:r>
        <w:rPr>
          <w:b/>
          <w:color w:val="0A7A5A"/>
          <w:sz w:val="24"/>
        </w:rPr>
        <w:t>Gradient Boosted Decision Trees (GBDT)</w:t>
      </w:r>
    </w:p>
    <w:tbl>
      <w:tblPr>
        <w:tblStyle w:val="TableGrid"/>
        <w:tblW w:type="auto" w:w="0"/>
        <w:tblLook w:firstColumn="1" w:firstRow="1" w:lastColumn="0" w:lastRow="0" w:noHBand="0" w:noVBand="1" w:val="04A0"/>
      </w:tblPr>
      <w:tblGrid>
        <w:gridCol w:w="4533"/>
        <w:gridCol w:w="4533"/>
      </w:tblGrid>
      <w:tr>
        <w:tc>
          <w:tcPr>
            <w:tcW w:type="dxa" w:w="4533"/>
            <w:shd w:val="clear" w:color="auto" w:fill="EDE9FA"/>
          </w:tcPr>
          <w:p>
            <w:r>
              <w:rPr>
                <w:b/>
                <w:color w:val="8250DF"/>
                <w:sz w:val="18"/>
              </w:rPr>
              <w:t>model_type</w:t>
            </w:r>
          </w:p>
        </w:tc>
        <w:tc>
          <w:tcPr>
            <w:tcW w:type="dxa" w:w="4533"/>
          </w:tcPr>
          <w:p>
            <w:r>
              <w:rPr>
                <w:sz w:val="18"/>
              </w:rPr>
              <w:t>gradient_boosting</w:t>
            </w:r>
          </w:p>
        </w:tc>
      </w:tr>
      <w:tr>
        <w:tc>
          <w:tcPr>
            <w:tcW w:type="dxa" w:w="4533"/>
            <w:shd w:val="clear" w:color="auto" w:fill="EDE9FA"/>
          </w:tcPr>
          <w:p>
            <w:r>
              <w:rPr>
                <w:b/>
                <w:color w:val="8250DF"/>
                <w:sz w:val="18"/>
              </w:rPr>
              <w:t>sklearn class</w:t>
            </w:r>
          </w:p>
        </w:tc>
        <w:tc>
          <w:tcPr>
            <w:tcW w:type="dxa" w:w="4533"/>
          </w:tcPr>
          <w:p>
            <w:r>
              <w:rPr>
                <w:rFonts w:ascii="Courier New" w:hAnsi="Courier New"/>
                <w:color w:val="0F294D"/>
                <w:sz w:val="18"/>
              </w:rPr>
              <w:t>sklearn.ensemble.GradientBoostingClassifier</w:t>
            </w:r>
          </w:p>
        </w:tc>
      </w:tr>
      <w:tr>
        <w:tc>
          <w:tcPr>
            <w:tcW w:type="dxa" w:w="4533"/>
            <w:shd w:val="clear" w:color="auto" w:fill="EDE9FA"/>
          </w:tcPr>
          <w:p>
            <w:r>
              <w:rPr>
                <w:b/>
                <w:color w:val="8250DF"/>
                <w:sz w:val="18"/>
              </w:rPr>
              <w:t>Description</w:t>
            </w:r>
          </w:p>
        </w:tc>
        <w:tc>
          <w:tcPr>
            <w:tcW w:type="dxa" w:w="4533"/>
          </w:tcPr>
          <w:p>
            <w:r>
              <w:rPr>
                <w:sz w:val="18"/>
              </w:rPr>
              <w:t>Sequential ensemble — each tree corrects the errors of the previous. Generally achieves higher accuracy than Random Forest on structured data but requires more hyperparameter tuning and is slower.</w:t>
            </w:r>
          </w:p>
        </w:tc>
      </w:tr>
      <w:tr>
        <w:tc>
          <w:tcPr>
            <w:tcW w:type="dxa" w:w="4533"/>
            <w:shd w:val="clear" w:color="auto" w:fill="EDE9FA"/>
          </w:tcPr>
          <w:p>
            <w:r>
              <w:rPr>
                <w:b/>
                <w:color w:val="8250DF"/>
                <w:sz w:val="18"/>
              </w:rPr>
              <w:t>Default params</w:t>
            </w:r>
          </w:p>
        </w:tc>
        <w:tc>
          <w:tcPr>
            <w:tcW w:type="dxa" w:w="4533"/>
          </w:tcPr>
          <w:p>
            <w:r>
              <w:rPr>
                <w:sz w:val="18"/>
              </w:rPr>
              <w:t>n_estimators=200  ·  learning_rate=0.1  ·  max_depth=4</w:t>
            </w:r>
          </w:p>
        </w:tc>
      </w:tr>
      <w:tr>
        <w:tc>
          <w:tcPr>
            <w:tcW w:type="dxa" w:w="4533"/>
            <w:shd w:val="clear" w:color="auto" w:fill="EDE9FA"/>
          </w:tcPr>
          <w:p>
            <w:r>
              <w:rPr>
                <w:b/>
                <w:color w:val="8250DF"/>
                <w:sz w:val="18"/>
              </w:rPr>
              <w:t>Importance</w:t>
            </w:r>
          </w:p>
        </w:tc>
        <w:tc>
          <w:tcPr>
            <w:tcW w:type="dxa" w:w="4533"/>
          </w:tcPr>
          <w:p>
            <w:r>
              <w:rPr>
                <w:sz w:val="18"/>
              </w:rPr>
              <w:t>High — Gain/frequency/cover importance</w:t>
            </w:r>
          </w:p>
        </w:tc>
      </w:tr>
      <w:tr>
        <w:tc>
          <w:tcPr>
            <w:tcW w:type="dxa" w:w="4533"/>
            <w:shd w:val="clear" w:color="auto" w:fill="EDE9FA"/>
          </w:tcPr>
          <w:p>
            <w:r>
              <w:rPr>
                <w:b/>
                <w:color w:val="8250DF"/>
                <w:sz w:val="18"/>
              </w:rPr>
              <w:t>Speed / Recommendation</w:t>
            </w:r>
          </w:p>
        </w:tc>
        <w:tc>
          <w:tcPr>
            <w:tcW w:type="dxa" w:w="4533"/>
          </w:tcPr>
          <w:p>
            <w:r>
              <w:rPr>
                <w:sz w:val="18"/>
              </w:rPr>
              <w:t>Slow (~3s for 500 records)  —  Highest accuracy; use when accuracy &gt; speed</w:t>
            </w:r>
          </w:p>
        </w:tc>
      </w:tr>
    </w:tbl>
    <w:p/>
    <w:p>
      <w:pPr>
        <w:spacing w:before="200" w:after="40"/>
      </w:pPr>
      <w:r>
        <w:rPr>
          <w:b/>
          <w:color w:val="0A7A5A"/>
          <w:sz w:val="24"/>
        </w:rPr>
        <w:t>Logistic Regression</w:t>
      </w:r>
    </w:p>
    <w:tbl>
      <w:tblPr>
        <w:tblStyle w:val="TableGrid"/>
        <w:tblW w:type="auto" w:w="0"/>
        <w:tblLook w:firstColumn="1" w:firstRow="1" w:lastColumn="0" w:lastRow="0" w:noHBand="0" w:noVBand="1" w:val="04A0"/>
      </w:tblPr>
      <w:tblGrid>
        <w:gridCol w:w="4533"/>
        <w:gridCol w:w="4533"/>
      </w:tblGrid>
      <w:tr>
        <w:tc>
          <w:tcPr>
            <w:tcW w:type="dxa" w:w="4533"/>
            <w:shd w:val="clear" w:color="auto" w:fill="EDE9FA"/>
          </w:tcPr>
          <w:p>
            <w:r>
              <w:rPr>
                <w:b/>
                <w:color w:val="8250DF"/>
                <w:sz w:val="18"/>
              </w:rPr>
              <w:t>model_type</w:t>
            </w:r>
          </w:p>
        </w:tc>
        <w:tc>
          <w:tcPr>
            <w:tcW w:type="dxa" w:w="4533"/>
          </w:tcPr>
          <w:p>
            <w:r>
              <w:rPr>
                <w:sz w:val="18"/>
              </w:rPr>
              <w:t>logistic_regression</w:t>
            </w:r>
          </w:p>
        </w:tc>
      </w:tr>
      <w:tr>
        <w:tc>
          <w:tcPr>
            <w:tcW w:type="dxa" w:w="4533"/>
            <w:shd w:val="clear" w:color="auto" w:fill="EDE9FA"/>
          </w:tcPr>
          <w:p>
            <w:r>
              <w:rPr>
                <w:b/>
                <w:color w:val="8250DF"/>
                <w:sz w:val="18"/>
              </w:rPr>
              <w:t>sklearn class</w:t>
            </w:r>
          </w:p>
        </w:tc>
        <w:tc>
          <w:tcPr>
            <w:tcW w:type="dxa" w:w="4533"/>
          </w:tcPr>
          <w:p>
            <w:r>
              <w:rPr>
                <w:rFonts w:ascii="Courier New" w:hAnsi="Courier New"/>
                <w:color w:val="0F294D"/>
                <w:sz w:val="18"/>
              </w:rPr>
              <w:t>sklearn.linear_model.LogisticRegression</w:t>
            </w:r>
          </w:p>
        </w:tc>
      </w:tr>
      <w:tr>
        <w:tc>
          <w:tcPr>
            <w:tcW w:type="dxa" w:w="4533"/>
            <w:shd w:val="clear" w:color="auto" w:fill="EDE9FA"/>
          </w:tcPr>
          <w:p>
            <w:r>
              <w:rPr>
                <w:b/>
                <w:color w:val="8250DF"/>
                <w:sz w:val="18"/>
              </w:rPr>
              <w:t>Description</w:t>
            </w:r>
          </w:p>
        </w:tc>
        <w:tc>
          <w:tcPr>
            <w:tcW w:type="dxa" w:w="4533"/>
          </w:tcPr>
          <w:p>
            <w:r>
              <w:rPr>
                <w:sz w:val="18"/>
              </w:rPr>
              <w:t>Linear classifier. Interpretable coefficients. Best choice for verifying that the feature engineering is correct (if LR achieves high accuracy, the features are linearly separable as expected from the labelling rules).</w:t>
            </w:r>
          </w:p>
        </w:tc>
      </w:tr>
      <w:tr>
        <w:tc>
          <w:tcPr>
            <w:tcW w:type="dxa" w:w="4533"/>
            <w:shd w:val="clear" w:color="auto" w:fill="EDE9FA"/>
          </w:tcPr>
          <w:p>
            <w:r>
              <w:rPr>
                <w:b/>
                <w:color w:val="8250DF"/>
                <w:sz w:val="18"/>
              </w:rPr>
              <w:t>Default params</w:t>
            </w:r>
          </w:p>
        </w:tc>
        <w:tc>
          <w:tcPr>
            <w:tcW w:type="dxa" w:w="4533"/>
          </w:tcPr>
          <w:p>
            <w:r>
              <w:rPr>
                <w:sz w:val="18"/>
              </w:rPr>
              <w:t>C=1.0  ·  max_iter=1000  ·  class_weight="balanced"</w:t>
            </w:r>
          </w:p>
        </w:tc>
      </w:tr>
      <w:tr>
        <w:tc>
          <w:tcPr>
            <w:tcW w:type="dxa" w:w="4533"/>
            <w:shd w:val="clear" w:color="auto" w:fill="EDE9FA"/>
          </w:tcPr>
          <w:p>
            <w:r>
              <w:rPr>
                <w:b/>
                <w:color w:val="8250DF"/>
                <w:sz w:val="18"/>
              </w:rPr>
              <w:t>Importance</w:t>
            </w:r>
          </w:p>
        </w:tc>
        <w:tc>
          <w:tcPr>
            <w:tcW w:type="dxa" w:w="4533"/>
          </w:tcPr>
          <w:p>
            <w:r>
              <w:rPr>
                <w:sz w:val="18"/>
              </w:rPr>
              <w:t>Direct coefficient weights (after StandardScaler)</w:t>
            </w:r>
          </w:p>
        </w:tc>
      </w:tr>
      <w:tr>
        <w:tc>
          <w:tcPr>
            <w:tcW w:type="dxa" w:w="4533"/>
            <w:shd w:val="clear" w:color="auto" w:fill="EDE9FA"/>
          </w:tcPr>
          <w:p>
            <w:r>
              <w:rPr>
                <w:b/>
                <w:color w:val="8250DF"/>
                <w:sz w:val="18"/>
              </w:rPr>
              <w:t>Speed / Recommendation</w:t>
            </w:r>
          </w:p>
        </w:tc>
        <w:tc>
          <w:tcPr>
            <w:tcW w:type="dxa" w:w="4533"/>
          </w:tcPr>
          <w:p>
            <w:r>
              <w:rPr>
                <w:sz w:val="18"/>
              </w:rPr>
              <w:t>Fast (&lt;0.1s)  —  Interpretability baseline</w:t>
            </w:r>
          </w:p>
        </w:tc>
      </w:tr>
    </w:tbl>
    <w:p/>
    <w:p>
      <w:pPr>
        <w:spacing w:before="200" w:after="40"/>
      </w:pPr>
      <w:r>
        <w:rPr>
          <w:b/>
          <w:color w:val="0A7A5A"/>
          <w:sz w:val="24"/>
        </w:rPr>
        <w:t>Support Vector Machine</w:t>
      </w:r>
    </w:p>
    <w:tbl>
      <w:tblPr>
        <w:tblStyle w:val="TableGrid"/>
        <w:tblW w:type="auto" w:w="0"/>
        <w:tblLook w:firstColumn="1" w:firstRow="1" w:lastColumn="0" w:lastRow="0" w:noHBand="0" w:noVBand="1" w:val="04A0"/>
      </w:tblPr>
      <w:tblGrid>
        <w:gridCol w:w="4533"/>
        <w:gridCol w:w="4533"/>
      </w:tblGrid>
      <w:tr>
        <w:tc>
          <w:tcPr>
            <w:tcW w:type="dxa" w:w="4533"/>
            <w:shd w:val="clear" w:color="auto" w:fill="EDE9FA"/>
          </w:tcPr>
          <w:p>
            <w:r>
              <w:rPr>
                <w:b/>
                <w:color w:val="8250DF"/>
                <w:sz w:val="18"/>
              </w:rPr>
              <w:t>model_type</w:t>
            </w:r>
          </w:p>
        </w:tc>
        <w:tc>
          <w:tcPr>
            <w:tcW w:type="dxa" w:w="4533"/>
          </w:tcPr>
          <w:p>
            <w:r>
              <w:rPr>
                <w:sz w:val="18"/>
              </w:rPr>
              <w:t>svm</w:t>
            </w:r>
          </w:p>
        </w:tc>
      </w:tr>
      <w:tr>
        <w:tc>
          <w:tcPr>
            <w:tcW w:type="dxa" w:w="4533"/>
            <w:shd w:val="clear" w:color="auto" w:fill="EDE9FA"/>
          </w:tcPr>
          <w:p>
            <w:r>
              <w:rPr>
                <w:b/>
                <w:color w:val="8250DF"/>
                <w:sz w:val="18"/>
              </w:rPr>
              <w:t>sklearn class</w:t>
            </w:r>
          </w:p>
        </w:tc>
        <w:tc>
          <w:tcPr>
            <w:tcW w:type="dxa" w:w="4533"/>
          </w:tcPr>
          <w:p>
            <w:r>
              <w:rPr>
                <w:rFonts w:ascii="Courier New" w:hAnsi="Courier New"/>
                <w:color w:val="0F294D"/>
                <w:sz w:val="18"/>
              </w:rPr>
              <w:t>sklearn.svm.SVC</w:t>
            </w:r>
          </w:p>
        </w:tc>
      </w:tr>
      <w:tr>
        <w:tc>
          <w:tcPr>
            <w:tcW w:type="dxa" w:w="4533"/>
            <w:shd w:val="clear" w:color="auto" w:fill="EDE9FA"/>
          </w:tcPr>
          <w:p>
            <w:r>
              <w:rPr>
                <w:b/>
                <w:color w:val="8250DF"/>
                <w:sz w:val="18"/>
              </w:rPr>
              <w:t>Description</w:t>
            </w:r>
          </w:p>
        </w:tc>
        <w:tc>
          <w:tcPr>
            <w:tcW w:type="dxa" w:w="4533"/>
          </w:tcPr>
          <w:p>
            <w:r>
              <w:rPr>
                <w:sz w:val="18"/>
              </w:rPr>
              <w:t>Maximum-margin classifier. Effective in high-dimensional spaces. Linear kernel is used by default for interpretability; RBF kernel available for non-linear boundaries.</w:t>
            </w:r>
          </w:p>
        </w:tc>
      </w:tr>
      <w:tr>
        <w:tc>
          <w:tcPr>
            <w:tcW w:type="dxa" w:w="4533"/>
            <w:shd w:val="clear" w:color="auto" w:fill="EDE9FA"/>
          </w:tcPr>
          <w:p>
            <w:r>
              <w:rPr>
                <w:b/>
                <w:color w:val="8250DF"/>
                <w:sz w:val="18"/>
              </w:rPr>
              <w:t>Default params</w:t>
            </w:r>
          </w:p>
        </w:tc>
        <w:tc>
          <w:tcPr>
            <w:tcW w:type="dxa" w:w="4533"/>
          </w:tcPr>
          <w:p>
            <w:r>
              <w:rPr>
                <w:sz w:val="18"/>
              </w:rPr>
              <w:t>C=1.0  ·  kernel="rbf"  ·  class_weight="balanced"  ·  probability=True</w:t>
            </w:r>
          </w:p>
        </w:tc>
      </w:tr>
      <w:tr>
        <w:tc>
          <w:tcPr>
            <w:tcW w:type="dxa" w:w="4533"/>
            <w:shd w:val="clear" w:color="auto" w:fill="EDE9FA"/>
          </w:tcPr>
          <w:p>
            <w:r>
              <w:rPr>
                <w:b/>
                <w:color w:val="8250DF"/>
                <w:sz w:val="18"/>
              </w:rPr>
              <w:t>Importance</w:t>
            </w:r>
          </w:p>
        </w:tc>
        <w:tc>
          <w:tcPr>
            <w:tcW w:type="dxa" w:w="4533"/>
          </w:tcPr>
          <w:p>
            <w:r>
              <w:rPr>
                <w:sz w:val="18"/>
              </w:rPr>
              <w:t>Permutation importance (post-hoc)</w:t>
            </w:r>
          </w:p>
        </w:tc>
      </w:tr>
      <w:tr>
        <w:tc>
          <w:tcPr>
            <w:tcW w:type="dxa" w:w="4533"/>
            <w:shd w:val="clear" w:color="auto" w:fill="EDE9FA"/>
          </w:tcPr>
          <w:p>
            <w:r>
              <w:rPr>
                <w:b/>
                <w:color w:val="8250DF"/>
                <w:sz w:val="18"/>
              </w:rPr>
              <w:t>Speed / Recommendation</w:t>
            </w:r>
          </w:p>
        </w:tc>
        <w:tc>
          <w:tcPr>
            <w:tcW w:type="dxa" w:w="4533"/>
          </w:tcPr>
          <w:p>
            <w:r>
              <w:rPr>
                <w:sz w:val="18"/>
              </w:rPr>
              <w:t>Medium (~1s for 500 records)  —  Good for small datasets (&lt;1000 records)</w:t>
            </w:r>
          </w:p>
        </w:tc>
      </w:tr>
    </w:tbl>
    <w:p/>
    <w:p>
      <w:pPr>
        <w:spacing w:before="200" w:after="40"/>
      </w:pPr>
      <w:r>
        <w:rPr>
          <w:b/>
          <w:color w:val="0A7A5A"/>
          <w:sz w:val="24"/>
        </w:rPr>
        <w:t>Multi-Layer Perceptron (Neural Network)</w:t>
      </w:r>
    </w:p>
    <w:tbl>
      <w:tblPr>
        <w:tblStyle w:val="TableGrid"/>
        <w:tblW w:type="auto" w:w="0"/>
        <w:tblLook w:firstColumn="1" w:firstRow="1" w:lastColumn="0" w:lastRow="0" w:noHBand="0" w:noVBand="1" w:val="04A0"/>
      </w:tblPr>
      <w:tblGrid>
        <w:gridCol w:w="4533"/>
        <w:gridCol w:w="4533"/>
      </w:tblGrid>
      <w:tr>
        <w:tc>
          <w:tcPr>
            <w:tcW w:type="dxa" w:w="4533"/>
            <w:shd w:val="clear" w:color="auto" w:fill="EDE9FA"/>
          </w:tcPr>
          <w:p>
            <w:r>
              <w:rPr>
                <w:b/>
                <w:color w:val="8250DF"/>
                <w:sz w:val="18"/>
              </w:rPr>
              <w:t>model_type</w:t>
            </w:r>
          </w:p>
        </w:tc>
        <w:tc>
          <w:tcPr>
            <w:tcW w:type="dxa" w:w="4533"/>
          </w:tcPr>
          <w:p>
            <w:r>
              <w:rPr>
                <w:sz w:val="18"/>
              </w:rPr>
              <w:t>mlp</w:t>
            </w:r>
          </w:p>
        </w:tc>
      </w:tr>
      <w:tr>
        <w:tc>
          <w:tcPr>
            <w:tcW w:type="dxa" w:w="4533"/>
            <w:shd w:val="clear" w:color="auto" w:fill="EDE9FA"/>
          </w:tcPr>
          <w:p>
            <w:r>
              <w:rPr>
                <w:b/>
                <w:color w:val="8250DF"/>
                <w:sz w:val="18"/>
              </w:rPr>
              <w:t>sklearn class</w:t>
            </w:r>
          </w:p>
        </w:tc>
        <w:tc>
          <w:tcPr>
            <w:tcW w:type="dxa" w:w="4533"/>
          </w:tcPr>
          <w:p>
            <w:r>
              <w:rPr>
                <w:rFonts w:ascii="Courier New" w:hAnsi="Courier New"/>
                <w:color w:val="0F294D"/>
                <w:sz w:val="18"/>
              </w:rPr>
              <w:t>sklearn.neural_network.MLPClassifier</w:t>
            </w:r>
          </w:p>
        </w:tc>
      </w:tr>
      <w:tr>
        <w:tc>
          <w:tcPr>
            <w:tcW w:type="dxa" w:w="4533"/>
            <w:shd w:val="clear" w:color="auto" w:fill="EDE9FA"/>
          </w:tcPr>
          <w:p>
            <w:r>
              <w:rPr>
                <w:b/>
                <w:color w:val="8250DF"/>
                <w:sz w:val="18"/>
              </w:rPr>
              <w:t>Description</w:t>
            </w:r>
          </w:p>
        </w:tc>
        <w:tc>
          <w:tcPr>
            <w:tcW w:type="dxa" w:w="4533"/>
          </w:tcPr>
          <w:p>
            <w:r>
              <w:rPr>
                <w:sz w:val="18"/>
              </w:rPr>
              <w:t>Feedforward neural network. 2 hidden layers with ReLU activation. Not recommended for small datasets (&lt;500 records) due to overfitting risk. Included for benchmarking purposes.</w:t>
            </w:r>
          </w:p>
        </w:tc>
      </w:tr>
      <w:tr>
        <w:tc>
          <w:tcPr>
            <w:tcW w:type="dxa" w:w="4533"/>
            <w:shd w:val="clear" w:color="auto" w:fill="EDE9FA"/>
          </w:tcPr>
          <w:p>
            <w:r>
              <w:rPr>
                <w:b/>
                <w:color w:val="8250DF"/>
                <w:sz w:val="18"/>
              </w:rPr>
              <w:t>Default params</w:t>
            </w:r>
          </w:p>
        </w:tc>
        <w:tc>
          <w:tcPr>
            <w:tcW w:type="dxa" w:w="4533"/>
          </w:tcPr>
          <w:p>
            <w:r>
              <w:rPr>
                <w:sz w:val="18"/>
              </w:rPr>
              <w:t>hidden_layer_sizes=(64,32)  ·  activation="relu"  ·  max_iter=500</w:t>
            </w:r>
          </w:p>
        </w:tc>
      </w:tr>
      <w:tr>
        <w:tc>
          <w:tcPr>
            <w:tcW w:type="dxa" w:w="4533"/>
            <w:shd w:val="clear" w:color="auto" w:fill="EDE9FA"/>
          </w:tcPr>
          <w:p>
            <w:r>
              <w:rPr>
                <w:b/>
                <w:color w:val="8250DF"/>
                <w:sz w:val="18"/>
              </w:rPr>
              <w:t>Importance</w:t>
            </w:r>
          </w:p>
        </w:tc>
        <w:tc>
          <w:tcPr>
            <w:tcW w:type="dxa" w:w="4533"/>
          </w:tcPr>
          <w:p>
            <w:r>
              <w:rPr>
                <w:sz w:val="18"/>
              </w:rPr>
              <w:t>Permutation importance (slow)</w:t>
            </w:r>
          </w:p>
        </w:tc>
      </w:tr>
      <w:tr>
        <w:tc>
          <w:tcPr>
            <w:tcW w:type="dxa" w:w="4533"/>
            <w:shd w:val="clear" w:color="auto" w:fill="EDE9FA"/>
          </w:tcPr>
          <w:p>
            <w:r>
              <w:rPr>
                <w:b/>
                <w:color w:val="8250DF"/>
                <w:sz w:val="18"/>
              </w:rPr>
              <w:t>Speed / Recommendation</w:t>
            </w:r>
          </w:p>
        </w:tc>
        <w:tc>
          <w:tcPr>
            <w:tcW w:type="dxa" w:w="4533"/>
          </w:tcPr>
          <w:p>
            <w:r>
              <w:rPr>
                <w:sz w:val="18"/>
              </w:rPr>
              <w:t>Slow (~5s for 500 records)  —  Benchmarking only; prefer RF or GBDT</w:t>
            </w:r>
          </w:p>
        </w:tc>
      </w:tr>
    </w:tbl>
    <w:p/>
    <w:p>
      <w:pPr>
        <w:spacing w:before="200" w:after="40"/>
      </w:pPr>
      <w:r>
        <w:rPr>
          <w:b/>
          <w:color w:val="0A7A5A"/>
          <w:sz w:val="24"/>
        </w:rPr>
        <w:t>K-Nearest Neighbours</w:t>
      </w:r>
    </w:p>
    <w:tbl>
      <w:tblPr>
        <w:tblStyle w:val="TableGrid"/>
        <w:tblW w:type="auto" w:w="0"/>
        <w:tblLook w:firstColumn="1" w:firstRow="1" w:lastColumn="0" w:lastRow="0" w:noHBand="0" w:noVBand="1" w:val="04A0"/>
      </w:tblPr>
      <w:tblGrid>
        <w:gridCol w:w="4533"/>
        <w:gridCol w:w="4533"/>
      </w:tblGrid>
      <w:tr>
        <w:tc>
          <w:tcPr>
            <w:tcW w:type="dxa" w:w="4533"/>
            <w:shd w:val="clear" w:color="auto" w:fill="EDE9FA"/>
          </w:tcPr>
          <w:p>
            <w:r>
              <w:rPr>
                <w:b/>
                <w:color w:val="8250DF"/>
                <w:sz w:val="18"/>
              </w:rPr>
              <w:t>model_type</w:t>
            </w:r>
          </w:p>
        </w:tc>
        <w:tc>
          <w:tcPr>
            <w:tcW w:type="dxa" w:w="4533"/>
          </w:tcPr>
          <w:p>
            <w:r>
              <w:rPr>
                <w:sz w:val="18"/>
              </w:rPr>
              <w:t>knn</w:t>
            </w:r>
          </w:p>
        </w:tc>
      </w:tr>
      <w:tr>
        <w:tc>
          <w:tcPr>
            <w:tcW w:type="dxa" w:w="4533"/>
            <w:shd w:val="clear" w:color="auto" w:fill="EDE9FA"/>
          </w:tcPr>
          <w:p>
            <w:r>
              <w:rPr>
                <w:b/>
                <w:color w:val="8250DF"/>
                <w:sz w:val="18"/>
              </w:rPr>
              <w:t>sklearn class</w:t>
            </w:r>
          </w:p>
        </w:tc>
        <w:tc>
          <w:tcPr>
            <w:tcW w:type="dxa" w:w="4533"/>
          </w:tcPr>
          <w:p>
            <w:r>
              <w:rPr>
                <w:rFonts w:ascii="Courier New" w:hAnsi="Courier New"/>
                <w:color w:val="0F294D"/>
                <w:sz w:val="18"/>
              </w:rPr>
              <w:t>sklearn.neighbors.KNeighborsClassifier</w:t>
            </w:r>
          </w:p>
        </w:tc>
      </w:tr>
      <w:tr>
        <w:tc>
          <w:tcPr>
            <w:tcW w:type="dxa" w:w="4533"/>
            <w:shd w:val="clear" w:color="auto" w:fill="EDE9FA"/>
          </w:tcPr>
          <w:p>
            <w:r>
              <w:rPr>
                <w:b/>
                <w:color w:val="8250DF"/>
                <w:sz w:val="18"/>
              </w:rPr>
              <w:t>Description</w:t>
            </w:r>
          </w:p>
        </w:tc>
        <w:tc>
          <w:tcPr>
            <w:tcW w:type="dxa" w:w="4533"/>
          </w:tcPr>
          <w:p>
            <w:r>
              <w:rPr>
                <w:sz w:val="18"/>
              </w:rPr>
              <w:t>Instance-based learning. Simple but useful as a baseline. Sensitive to feature scaling — StandardScaler is always applied. Feature importance via permutation only.</w:t>
            </w:r>
          </w:p>
        </w:tc>
      </w:tr>
      <w:tr>
        <w:tc>
          <w:tcPr>
            <w:tcW w:type="dxa" w:w="4533"/>
            <w:shd w:val="clear" w:color="auto" w:fill="EDE9FA"/>
          </w:tcPr>
          <w:p>
            <w:r>
              <w:rPr>
                <w:b/>
                <w:color w:val="8250DF"/>
                <w:sz w:val="18"/>
              </w:rPr>
              <w:t>Default params</w:t>
            </w:r>
          </w:p>
        </w:tc>
        <w:tc>
          <w:tcPr>
            <w:tcW w:type="dxa" w:w="4533"/>
          </w:tcPr>
          <w:p>
            <w:r>
              <w:rPr>
                <w:sz w:val="18"/>
              </w:rPr>
              <w:t>n_neighbors=5  ·  weights="uniform"</w:t>
            </w:r>
          </w:p>
        </w:tc>
      </w:tr>
      <w:tr>
        <w:tc>
          <w:tcPr>
            <w:tcW w:type="dxa" w:w="4533"/>
            <w:shd w:val="clear" w:color="auto" w:fill="EDE9FA"/>
          </w:tcPr>
          <w:p>
            <w:r>
              <w:rPr>
                <w:b/>
                <w:color w:val="8250DF"/>
                <w:sz w:val="18"/>
              </w:rPr>
              <w:t>Importance</w:t>
            </w:r>
          </w:p>
        </w:tc>
        <w:tc>
          <w:tcPr>
            <w:tcW w:type="dxa" w:w="4533"/>
          </w:tcPr>
          <w:p>
            <w:r>
              <w:rPr>
                <w:sz w:val="18"/>
              </w:rPr>
              <w:t>Permutation importance</w:t>
            </w:r>
          </w:p>
        </w:tc>
      </w:tr>
      <w:tr>
        <w:tc>
          <w:tcPr>
            <w:tcW w:type="dxa" w:w="4533"/>
            <w:shd w:val="clear" w:color="auto" w:fill="EDE9FA"/>
          </w:tcPr>
          <w:p>
            <w:r>
              <w:rPr>
                <w:b/>
                <w:color w:val="8250DF"/>
                <w:sz w:val="18"/>
              </w:rPr>
              <w:t>Speed / Recommendation</w:t>
            </w:r>
          </w:p>
        </w:tc>
        <w:tc>
          <w:tcPr>
            <w:tcW w:type="dxa" w:w="4533"/>
          </w:tcPr>
          <w:p>
            <w:r>
              <w:rPr>
                <w:sz w:val="18"/>
              </w:rPr>
              <w:t>Fast at inference  —  Baseline comparison</w:t>
            </w:r>
          </w:p>
        </w:tc>
      </w:tr>
    </w:tbl>
    <w:p/>
    <w:p>
      <w:r>
        <w:br w:type="page"/>
      </w:r>
    </w:p>
    <w:p>
      <w:pPr>
        <w:spacing w:before="480" w:after="120"/>
        <w:pBdr>
          <w:bottom w:val="single" w:sz="6" w:space="4" w:color="8250DF"/>
        </w:pBdr>
      </w:pPr>
      <w:r>
        <w:rPr>
          <w:b/>
          <w:color w:val="0F294D"/>
          <w:sz w:val="40"/>
        </w:rPr>
        <w:t>7. Model Versioning</w:t>
      </w:r>
    </w:p>
    <w:p>
      <w:pPr>
        <w:spacing w:before="320" w:after="80"/>
      </w:pPr>
      <w:r>
        <w:rPr>
          <w:b/>
          <w:color w:val="8250DF"/>
          <w:sz w:val="28"/>
        </w:rPr>
        <w:t>7.1  ModelMeta Schema</w:t>
      </w:r>
    </w:p>
    <w:p>
      <w:pPr>
        <w:spacing w:after="120"/>
      </w:pPr>
      <w:r>
        <w:rPr>
          <w:b w:val="0"/>
          <w:color w:val="1F2328"/>
          <w:sz w:val="22"/>
        </w:rPr>
        <w:t>Every trained model is stored with a ModelMeta record. This is the versioning contract between the backend server and the Research Panel frontend.</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20"/>
              </w:rPr>
              <w:t>Field</w:t>
            </w:r>
          </w:p>
        </w:tc>
        <w:tc>
          <w:tcPr>
            <w:tcW w:type="dxa" w:w="3022"/>
            <w:shd w:val="clear" w:color="auto" w:fill="0F294D"/>
          </w:tcPr>
          <w:p>
            <w:r>
              <w:rPr>
                <w:b/>
                <w:color w:val="FFFFFF"/>
                <w:sz w:val="20"/>
              </w:rPr>
              <w:t>Type</w:t>
            </w:r>
          </w:p>
        </w:tc>
        <w:tc>
          <w:tcPr>
            <w:tcW w:type="dxa" w:w="3022"/>
            <w:shd w:val="clear" w:color="auto" w:fill="0F294D"/>
          </w:tcPr>
          <w:p>
            <w:r>
              <w:rPr>
                <w:b/>
                <w:color w:val="FFFFFF"/>
                <w:sz w:val="20"/>
              </w:rPr>
              <w:t>Description</w:t>
            </w:r>
          </w:p>
        </w:tc>
      </w:tr>
      <w:tr>
        <w:tc>
          <w:tcPr>
            <w:tcW w:type="dxa" w:w="3022"/>
          </w:tcPr>
          <w:p>
            <w:r>
              <w:rPr>
                <w:rFonts w:ascii="Courier New" w:hAnsi="Courier New"/>
                <w:color w:val="0969DA"/>
                <w:sz w:val="18"/>
              </w:rPr>
              <w:t>model_id</w:t>
            </w:r>
          </w:p>
        </w:tc>
        <w:tc>
          <w:tcPr>
            <w:tcW w:type="dxa" w:w="3022"/>
          </w:tcPr>
          <w:p>
            <w:r>
              <w:rPr>
                <w:rFonts w:ascii="Courier New" w:hAnsi="Courier New"/>
                <w:color w:val="8250DF"/>
                <w:sz w:val="18"/>
              </w:rPr>
              <w:t>string</w:t>
            </w:r>
          </w:p>
        </w:tc>
        <w:tc>
          <w:tcPr>
            <w:tcW w:type="dxa" w:w="3022"/>
          </w:tcPr>
          <w:p>
            <w:r>
              <w:rPr>
                <w:sz w:val="18"/>
              </w:rPr>
              <w:t>Auto-generated UUID for this specific trained model</w:t>
            </w:r>
          </w:p>
        </w:tc>
      </w:tr>
      <w:tr>
        <w:tc>
          <w:tcPr>
            <w:tcW w:type="dxa" w:w="3022"/>
          </w:tcPr>
          <w:p>
            <w:r>
              <w:rPr>
                <w:rFonts w:ascii="Courier New" w:hAnsi="Courier New"/>
                <w:color w:val="0969DA"/>
                <w:sz w:val="18"/>
              </w:rPr>
              <w:t>name</w:t>
            </w:r>
          </w:p>
        </w:tc>
        <w:tc>
          <w:tcPr>
            <w:tcW w:type="dxa" w:w="3022"/>
          </w:tcPr>
          <w:p>
            <w:r>
              <w:rPr>
                <w:rFonts w:ascii="Courier New" w:hAnsi="Courier New"/>
                <w:color w:val="8250DF"/>
                <w:sz w:val="18"/>
              </w:rPr>
              <w:t>string</w:t>
            </w:r>
          </w:p>
        </w:tc>
        <w:tc>
          <w:tcPr>
            <w:tcW w:type="dxa" w:w="3022"/>
          </w:tcPr>
          <w:p>
            <w:r>
              <w:rPr>
                <w:sz w:val="18"/>
              </w:rPr>
              <w:t>Human-readable name assigned at training time</w:t>
            </w:r>
          </w:p>
        </w:tc>
      </w:tr>
      <w:tr>
        <w:tc>
          <w:tcPr>
            <w:tcW w:type="dxa" w:w="3022"/>
          </w:tcPr>
          <w:p>
            <w:r>
              <w:rPr>
                <w:rFonts w:ascii="Courier New" w:hAnsi="Courier New"/>
                <w:color w:val="0969DA"/>
                <w:sz w:val="18"/>
              </w:rPr>
              <w:t>model_type</w:t>
            </w:r>
          </w:p>
        </w:tc>
        <w:tc>
          <w:tcPr>
            <w:tcW w:type="dxa" w:w="3022"/>
          </w:tcPr>
          <w:p>
            <w:r>
              <w:rPr>
                <w:rFonts w:ascii="Courier New" w:hAnsi="Courier New"/>
                <w:color w:val="8250DF"/>
                <w:sz w:val="18"/>
              </w:rPr>
              <w:t>string</w:t>
            </w:r>
          </w:p>
        </w:tc>
        <w:tc>
          <w:tcPr>
            <w:tcW w:type="dxa" w:w="3022"/>
          </w:tcPr>
          <w:p>
            <w:r>
              <w:rPr>
                <w:sz w:val="18"/>
              </w:rPr>
              <w:t>"random_forest" | "gradient_boosting" | "logistic_regression" | "svm" | "mlp" | "knn"</w:t>
            </w:r>
          </w:p>
        </w:tc>
      </w:tr>
      <w:tr>
        <w:tc>
          <w:tcPr>
            <w:tcW w:type="dxa" w:w="3022"/>
          </w:tcPr>
          <w:p>
            <w:r>
              <w:rPr>
                <w:rFonts w:ascii="Courier New" w:hAnsi="Courier New"/>
                <w:color w:val="0969DA"/>
                <w:sz w:val="18"/>
              </w:rPr>
              <w:t>created_at</w:t>
            </w:r>
          </w:p>
        </w:tc>
        <w:tc>
          <w:tcPr>
            <w:tcW w:type="dxa" w:w="3022"/>
          </w:tcPr>
          <w:p>
            <w:r>
              <w:rPr>
                <w:rFonts w:ascii="Courier New" w:hAnsi="Courier New"/>
                <w:color w:val="8250DF"/>
                <w:sz w:val="18"/>
              </w:rPr>
              <w:t>string</w:t>
            </w:r>
          </w:p>
        </w:tc>
        <w:tc>
          <w:tcPr>
            <w:tcW w:type="dxa" w:w="3022"/>
          </w:tcPr>
          <w:p>
            <w:r>
              <w:rPr>
                <w:sz w:val="18"/>
              </w:rPr>
              <w:t>ISO 8601 datetime when the model was trained</w:t>
            </w:r>
          </w:p>
        </w:tc>
      </w:tr>
      <w:tr>
        <w:tc>
          <w:tcPr>
            <w:tcW w:type="dxa" w:w="3022"/>
          </w:tcPr>
          <w:p>
            <w:r>
              <w:rPr>
                <w:rFonts w:ascii="Courier New" w:hAnsi="Courier New"/>
                <w:color w:val="0969DA"/>
                <w:sz w:val="18"/>
              </w:rPr>
              <w:t>training_dataset</w:t>
            </w:r>
          </w:p>
        </w:tc>
        <w:tc>
          <w:tcPr>
            <w:tcW w:type="dxa" w:w="3022"/>
          </w:tcPr>
          <w:p>
            <w:r>
              <w:rPr>
                <w:rFonts w:ascii="Courier New" w:hAnsi="Courier New"/>
                <w:color w:val="8250DF"/>
                <w:sz w:val="18"/>
              </w:rPr>
              <w:t>string</w:t>
            </w:r>
          </w:p>
        </w:tc>
        <w:tc>
          <w:tcPr>
            <w:tcW w:type="dxa" w:w="3022"/>
          </w:tcPr>
          <w:p>
            <w:r>
              <w:rPr>
                <w:sz w:val="18"/>
              </w:rPr>
              <w:t>Filename of the CSV dataset used for training</w:t>
            </w:r>
          </w:p>
        </w:tc>
      </w:tr>
      <w:tr>
        <w:tc>
          <w:tcPr>
            <w:tcW w:type="dxa" w:w="3022"/>
          </w:tcPr>
          <w:p>
            <w:r>
              <w:rPr>
                <w:rFonts w:ascii="Courier New" w:hAnsi="Courier New"/>
                <w:color w:val="0969DA"/>
                <w:sz w:val="18"/>
              </w:rPr>
              <w:t>n_records</w:t>
            </w:r>
          </w:p>
        </w:tc>
        <w:tc>
          <w:tcPr>
            <w:tcW w:type="dxa" w:w="3022"/>
          </w:tcPr>
          <w:p>
            <w:r>
              <w:rPr>
                <w:rFonts w:ascii="Courier New" w:hAnsi="Courier New"/>
                <w:color w:val="8250DF"/>
                <w:sz w:val="18"/>
              </w:rPr>
              <w:t>number</w:t>
            </w:r>
          </w:p>
        </w:tc>
        <w:tc>
          <w:tcPr>
            <w:tcW w:type="dxa" w:w="3022"/>
          </w:tcPr>
          <w:p>
            <w:r>
              <w:rPr>
                <w:sz w:val="18"/>
              </w:rPr>
              <w:t>Number of training records used</w:t>
            </w:r>
          </w:p>
        </w:tc>
      </w:tr>
      <w:tr>
        <w:tc>
          <w:tcPr>
            <w:tcW w:type="dxa" w:w="3022"/>
          </w:tcPr>
          <w:p>
            <w:r>
              <w:rPr>
                <w:rFonts w:ascii="Courier New" w:hAnsi="Courier New"/>
                <w:color w:val="0969DA"/>
                <w:sz w:val="18"/>
              </w:rPr>
              <w:t>accuracy</w:t>
            </w:r>
          </w:p>
        </w:tc>
        <w:tc>
          <w:tcPr>
            <w:tcW w:type="dxa" w:w="3022"/>
          </w:tcPr>
          <w:p>
            <w:r>
              <w:rPr>
                <w:rFonts w:ascii="Courier New" w:hAnsi="Courier New"/>
                <w:color w:val="8250DF"/>
                <w:sz w:val="18"/>
              </w:rPr>
              <w:t>number</w:t>
            </w:r>
          </w:p>
        </w:tc>
        <w:tc>
          <w:tcPr>
            <w:tcW w:type="dxa" w:w="3022"/>
          </w:tcPr>
          <w:p>
            <w:r>
              <w:rPr>
                <w:sz w:val="18"/>
              </w:rPr>
              <w:t>Test set accuracy (0–1) on held-out 20% split</w:t>
            </w:r>
          </w:p>
        </w:tc>
      </w:tr>
      <w:tr>
        <w:tc>
          <w:tcPr>
            <w:tcW w:type="dxa" w:w="3022"/>
          </w:tcPr>
          <w:p>
            <w:r>
              <w:rPr>
                <w:rFonts w:ascii="Courier New" w:hAnsi="Courier New"/>
                <w:color w:val="0969DA"/>
                <w:sz w:val="18"/>
              </w:rPr>
              <w:t>f1_macro</w:t>
            </w:r>
          </w:p>
        </w:tc>
        <w:tc>
          <w:tcPr>
            <w:tcW w:type="dxa" w:w="3022"/>
          </w:tcPr>
          <w:p>
            <w:r>
              <w:rPr>
                <w:rFonts w:ascii="Courier New" w:hAnsi="Courier New"/>
                <w:color w:val="8250DF"/>
                <w:sz w:val="18"/>
              </w:rPr>
              <w:t>number</w:t>
            </w:r>
          </w:p>
        </w:tc>
        <w:tc>
          <w:tcPr>
            <w:tcW w:type="dxa" w:w="3022"/>
          </w:tcPr>
          <w:p>
            <w:r>
              <w:rPr>
                <w:sz w:val="18"/>
              </w:rPr>
              <w:t>Macro-averaged F1 score across all 3 classes</w:t>
            </w:r>
          </w:p>
        </w:tc>
      </w:tr>
      <w:tr>
        <w:tc>
          <w:tcPr>
            <w:tcW w:type="dxa" w:w="3022"/>
          </w:tcPr>
          <w:p>
            <w:r>
              <w:rPr>
                <w:rFonts w:ascii="Courier New" w:hAnsi="Courier New"/>
                <w:color w:val="0969DA"/>
                <w:sz w:val="18"/>
              </w:rPr>
              <w:t>feature_importance</w:t>
            </w:r>
          </w:p>
        </w:tc>
        <w:tc>
          <w:tcPr>
            <w:tcW w:type="dxa" w:w="3022"/>
          </w:tcPr>
          <w:p>
            <w:r>
              <w:rPr>
                <w:rFonts w:ascii="Courier New" w:hAnsi="Courier New"/>
                <w:color w:val="8250DF"/>
                <w:sz w:val="18"/>
              </w:rPr>
              <w:t>Record</w:t>
            </w:r>
          </w:p>
        </w:tc>
        <w:tc>
          <w:tcPr>
            <w:tcW w:type="dxa" w:w="3022"/>
          </w:tcPr>
          <w:p>
            <w:r>
              <w:rPr>
                <w:sz w:val="18"/>
              </w:rPr>
              <w:t>Map of feature_name → importance_score (0–1)</w:t>
            </w:r>
          </w:p>
        </w:tc>
      </w:tr>
      <w:tr>
        <w:tc>
          <w:tcPr>
            <w:tcW w:type="dxa" w:w="3022"/>
          </w:tcPr>
          <w:p>
            <w:r>
              <w:rPr>
                <w:rFonts w:ascii="Courier New" w:hAnsi="Courier New"/>
                <w:color w:val="0969DA"/>
                <w:sz w:val="18"/>
              </w:rPr>
              <w:t>confusion_matrix</w:t>
            </w:r>
          </w:p>
        </w:tc>
        <w:tc>
          <w:tcPr>
            <w:tcW w:type="dxa" w:w="3022"/>
          </w:tcPr>
          <w:p>
            <w:r>
              <w:rPr>
                <w:rFonts w:ascii="Courier New" w:hAnsi="Courier New"/>
                <w:color w:val="8250DF"/>
                <w:sz w:val="18"/>
              </w:rPr>
              <w:t>number[][]</w:t>
            </w:r>
          </w:p>
        </w:tc>
        <w:tc>
          <w:tcPr>
            <w:tcW w:type="dxa" w:w="3022"/>
          </w:tcPr>
          <w:p>
            <w:r>
              <w:rPr>
                <w:sz w:val="18"/>
              </w:rPr>
              <w:t>3×3 matrix [low][medium][high] actual vs predicted</w:t>
            </w:r>
          </w:p>
        </w:tc>
      </w:tr>
      <w:tr>
        <w:tc>
          <w:tcPr>
            <w:tcW w:type="dxa" w:w="3022"/>
          </w:tcPr>
          <w:p>
            <w:r>
              <w:rPr>
                <w:rFonts w:ascii="Courier New" w:hAnsi="Courier New"/>
                <w:color w:val="0969DA"/>
                <w:sz w:val="18"/>
              </w:rPr>
              <w:t>class_report</w:t>
            </w:r>
          </w:p>
        </w:tc>
        <w:tc>
          <w:tcPr>
            <w:tcW w:type="dxa" w:w="3022"/>
          </w:tcPr>
          <w:p>
            <w:r>
              <w:rPr>
                <w:rFonts w:ascii="Courier New" w:hAnsi="Courier New"/>
                <w:color w:val="8250DF"/>
                <w:sz w:val="18"/>
              </w:rPr>
              <w:t>string</w:t>
            </w:r>
          </w:p>
        </w:tc>
        <w:tc>
          <w:tcPr>
            <w:tcW w:type="dxa" w:w="3022"/>
          </w:tcPr>
          <w:p>
            <w:r>
              <w:rPr>
                <w:sz w:val="18"/>
              </w:rPr>
              <w:t>Full sklearn classification_report as JSON string</w:t>
            </w:r>
          </w:p>
        </w:tc>
      </w:tr>
      <w:tr>
        <w:tc>
          <w:tcPr>
            <w:tcW w:type="dxa" w:w="3022"/>
          </w:tcPr>
          <w:p>
            <w:r>
              <w:rPr>
                <w:rFonts w:ascii="Courier New" w:hAnsi="Courier New"/>
                <w:color w:val="0969DA"/>
                <w:sz w:val="18"/>
              </w:rPr>
              <w:t>hyperparameters</w:t>
            </w:r>
          </w:p>
        </w:tc>
        <w:tc>
          <w:tcPr>
            <w:tcW w:type="dxa" w:w="3022"/>
          </w:tcPr>
          <w:p>
            <w:r>
              <w:rPr>
                <w:rFonts w:ascii="Courier New" w:hAnsi="Courier New"/>
                <w:color w:val="8250DF"/>
                <w:sz w:val="18"/>
              </w:rPr>
              <w:t>Record</w:t>
            </w:r>
          </w:p>
        </w:tc>
        <w:tc>
          <w:tcPr>
            <w:tcW w:type="dxa" w:w="3022"/>
          </w:tcPr>
          <w:p>
            <w:r>
              <w:rPr>
                <w:sz w:val="18"/>
              </w:rPr>
              <w:t>Key–value map of the parameters used for training</w:t>
            </w:r>
          </w:p>
        </w:tc>
      </w:tr>
      <w:tr>
        <w:tc>
          <w:tcPr>
            <w:tcW w:type="dxa" w:w="3022"/>
          </w:tcPr>
          <w:p>
            <w:r>
              <w:rPr>
                <w:rFonts w:ascii="Courier New" w:hAnsi="Courier New"/>
                <w:color w:val="0969DA"/>
                <w:sz w:val="18"/>
              </w:rPr>
              <w:t>notes</w:t>
            </w:r>
          </w:p>
        </w:tc>
        <w:tc>
          <w:tcPr>
            <w:tcW w:type="dxa" w:w="3022"/>
          </w:tcPr>
          <w:p>
            <w:r>
              <w:rPr>
                <w:rFonts w:ascii="Courier New" w:hAnsi="Courier New"/>
                <w:color w:val="8250DF"/>
                <w:sz w:val="18"/>
              </w:rPr>
              <w:t>string</w:t>
            </w:r>
          </w:p>
        </w:tc>
        <w:tc>
          <w:tcPr>
            <w:tcW w:type="dxa" w:w="3022"/>
          </w:tcPr>
          <w:p>
            <w:r>
              <w:rPr>
                <w:sz w:val="18"/>
              </w:rPr>
              <w:t>Optional free-text annotation by researcher</w:t>
            </w:r>
          </w:p>
        </w:tc>
      </w:tr>
    </w:tbl>
    <w:p/>
    <w:p>
      <w:pPr>
        <w:spacing w:before="320" w:after="80"/>
      </w:pPr>
      <w:r>
        <w:rPr>
          <w:b/>
          <w:color w:val="8250DF"/>
          <w:sz w:val="28"/>
        </w:rPr>
        <w:t>7.2  Training Flow</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F294D"/>
          </w:tcPr>
          <w:p>
            <w:r>
              <w:rPr>
                <w:b/>
                <w:color w:val="FFFFFF"/>
                <w:sz w:val="20"/>
              </w:rPr>
              <w:t>Step</w:t>
            </w:r>
          </w:p>
        </w:tc>
        <w:tc>
          <w:tcPr>
            <w:tcW w:type="dxa" w:w="3022"/>
            <w:shd w:val="clear" w:color="auto" w:fill="0F294D"/>
          </w:tcPr>
          <w:p>
            <w:r>
              <w:rPr>
                <w:b/>
                <w:color w:val="FFFFFF"/>
                <w:sz w:val="20"/>
              </w:rPr>
              <w:t>Action</w:t>
            </w:r>
          </w:p>
        </w:tc>
        <w:tc>
          <w:tcPr>
            <w:tcW w:type="dxa" w:w="3022"/>
            <w:shd w:val="clear" w:color="auto" w:fill="0F294D"/>
          </w:tcPr>
          <w:p>
            <w:r>
              <w:rPr>
                <w:b/>
                <w:color w:val="FFFFFF"/>
                <w:sz w:val="20"/>
              </w:rPr>
              <w:t>Detail</w:t>
            </w:r>
          </w:p>
        </w:tc>
      </w:tr>
      <w:tr>
        <w:tc>
          <w:tcPr>
            <w:tcW w:type="dxa" w:w="3022"/>
          </w:tcPr>
          <w:p>
            <w:pPr>
              <w:jc w:val="center"/>
            </w:pPr>
            <w:r>
              <w:rPr>
                <w:b/>
                <w:color w:val="8250DF"/>
                <w:sz w:val="24"/>
              </w:rPr>
              <w:t>1</w:t>
            </w:r>
          </w:p>
        </w:tc>
        <w:tc>
          <w:tcPr>
            <w:tcW w:type="dxa" w:w="3022"/>
          </w:tcPr>
          <w:p>
            <w:r>
              <w:rPr>
                <w:rFonts w:ascii="Courier New" w:hAnsi="Courier New"/>
                <w:b/>
                <w:color w:val="0A7A5A"/>
                <w:sz w:val="20"/>
              </w:rPr>
              <w:t>Dataset upload</w:t>
            </w:r>
          </w:p>
        </w:tc>
        <w:tc>
          <w:tcPr>
            <w:tcW w:type="dxa" w:w="3022"/>
          </w:tcPr>
          <w:p>
            <w:r>
              <w:rPr>
                <w:sz w:val="18"/>
              </w:rPr>
              <w:t>Researcher uploads a CSV (or uses last generated scenario dataset) via the TRAINING tab in the Research Panel.</w:t>
            </w:r>
          </w:p>
        </w:tc>
      </w:tr>
      <w:tr>
        <w:tc>
          <w:tcPr>
            <w:tcW w:type="dxa" w:w="3022"/>
          </w:tcPr>
          <w:p>
            <w:pPr>
              <w:jc w:val="center"/>
            </w:pPr>
            <w:r>
              <w:rPr>
                <w:b/>
                <w:color w:val="8250DF"/>
                <w:sz w:val="24"/>
              </w:rPr>
              <w:t>2</w:t>
            </w:r>
          </w:p>
        </w:tc>
        <w:tc>
          <w:tcPr>
            <w:tcW w:type="dxa" w:w="3022"/>
          </w:tcPr>
          <w:p>
            <w:r>
              <w:rPr>
                <w:rFonts w:ascii="Courier New" w:hAnsi="Courier New"/>
                <w:b/>
                <w:color w:val="0A7A5A"/>
                <w:sz w:val="20"/>
              </w:rPr>
              <w:t>POST /train</w:t>
            </w:r>
          </w:p>
        </w:tc>
        <w:tc>
          <w:tcPr>
            <w:tcW w:type="dxa" w:w="3022"/>
          </w:tcPr>
          <w:p>
            <w:r>
              <w:rPr>
                <w:sz w:val="18"/>
              </w:rPr>
              <w:t>Frontend sends { dataset_name, model_type, hyperparameters?, name? } to the FastAPI backend at http://localhost:8000/train.</w:t>
            </w:r>
          </w:p>
        </w:tc>
      </w:tr>
      <w:tr>
        <w:tc>
          <w:tcPr>
            <w:tcW w:type="dxa" w:w="3022"/>
          </w:tcPr>
          <w:p>
            <w:pPr>
              <w:jc w:val="center"/>
            </w:pPr>
            <w:r>
              <w:rPr>
                <w:b/>
                <w:color w:val="8250DF"/>
                <w:sz w:val="24"/>
              </w:rPr>
              <w:t>3</w:t>
            </w:r>
          </w:p>
        </w:tc>
        <w:tc>
          <w:tcPr>
            <w:tcW w:type="dxa" w:w="3022"/>
          </w:tcPr>
          <w:p>
            <w:r>
              <w:rPr>
                <w:rFonts w:ascii="Courier New" w:hAnsi="Courier New"/>
                <w:b/>
                <w:color w:val="0A7A5A"/>
                <w:sz w:val="20"/>
              </w:rPr>
              <w:t>Train/test split</w:t>
            </w:r>
          </w:p>
        </w:tc>
        <w:tc>
          <w:tcPr>
            <w:tcW w:type="dxa" w:w="3022"/>
          </w:tcPr>
          <w:p>
            <w:r>
              <w:rPr>
                <w:sz w:val="18"/>
              </w:rPr>
              <w:t>Backend loads the CSV, applies StandardScaler to numeric features, splits 80/20 (stratified by risk_label), fits the selected model.</w:t>
            </w:r>
          </w:p>
        </w:tc>
      </w:tr>
      <w:tr>
        <w:tc>
          <w:tcPr>
            <w:tcW w:type="dxa" w:w="3022"/>
          </w:tcPr>
          <w:p>
            <w:pPr>
              <w:jc w:val="center"/>
            </w:pPr>
            <w:r>
              <w:rPr>
                <w:b/>
                <w:color w:val="8250DF"/>
                <w:sz w:val="24"/>
              </w:rPr>
              <w:t>4</w:t>
            </w:r>
          </w:p>
        </w:tc>
        <w:tc>
          <w:tcPr>
            <w:tcW w:type="dxa" w:w="3022"/>
          </w:tcPr>
          <w:p>
            <w:r>
              <w:rPr>
                <w:rFonts w:ascii="Courier New" w:hAnsi="Courier New"/>
                <w:b/>
                <w:color w:val="0A7A5A"/>
                <w:sz w:val="20"/>
              </w:rPr>
              <w:t>Evaluation</w:t>
            </w:r>
          </w:p>
        </w:tc>
        <w:tc>
          <w:tcPr>
            <w:tcW w:type="dxa" w:w="3022"/>
          </w:tcPr>
          <w:p>
            <w:r>
              <w:rPr>
                <w:sz w:val="18"/>
              </w:rPr>
              <w:t>Accuracy, macro-F1, confusion matrix, and per-class precision/recall/F1 are computed on the test split. Feature importance extracted per model type.</w:t>
            </w:r>
          </w:p>
        </w:tc>
      </w:tr>
      <w:tr>
        <w:tc>
          <w:tcPr>
            <w:tcW w:type="dxa" w:w="3022"/>
          </w:tcPr>
          <w:p>
            <w:pPr>
              <w:jc w:val="center"/>
            </w:pPr>
            <w:r>
              <w:rPr>
                <w:b/>
                <w:color w:val="8250DF"/>
                <w:sz w:val="24"/>
              </w:rPr>
              <w:t>5</w:t>
            </w:r>
          </w:p>
        </w:tc>
        <w:tc>
          <w:tcPr>
            <w:tcW w:type="dxa" w:w="3022"/>
          </w:tcPr>
          <w:p>
            <w:r>
              <w:rPr>
                <w:rFonts w:ascii="Courier New" w:hAnsi="Courier New"/>
                <w:b/>
                <w:color w:val="0A7A5A"/>
                <w:sz w:val="20"/>
              </w:rPr>
              <w:t>ModelMeta saved</w:t>
            </w:r>
          </w:p>
        </w:tc>
        <w:tc>
          <w:tcPr>
            <w:tcW w:type="dxa" w:w="3022"/>
          </w:tcPr>
          <w:p>
            <w:r>
              <w:rPr>
                <w:sz w:val="18"/>
              </w:rPr>
              <w:t>Full ModelMeta record is saved to server/models/{model_id}.json. The fitted model is pickled to server/models/{model_id}.pkl.</w:t>
            </w:r>
          </w:p>
        </w:tc>
      </w:tr>
      <w:tr>
        <w:tc>
          <w:tcPr>
            <w:tcW w:type="dxa" w:w="3022"/>
          </w:tcPr>
          <w:p>
            <w:pPr>
              <w:jc w:val="center"/>
            </w:pPr>
            <w:r>
              <w:rPr>
                <w:b/>
                <w:color w:val="8250DF"/>
                <w:sz w:val="24"/>
              </w:rPr>
              <w:t>6</w:t>
            </w:r>
          </w:p>
        </w:tc>
        <w:tc>
          <w:tcPr>
            <w:tcW w:type="dxa" w:w="3022"/>
          </w:tcPr>
          <w:p>
            <w:r>
              <w:rPr>
                <w:rFonts w:ascii="Courier New" w:hAnsi="Courier New"/>
                <w:b/>
                <w:color w:val="0A7A5A"/>
                <w:sz w:val="20"/>
              </w:rPr>
              <w:t>Response</w:t>
            </w:r>
          </w:p>
        </w:tc>
        <w:tc>
          <w:tcPr>
            <w:tcW w:type="dxa" w:w="3022"/>
          </w:tcPr>
          <w:p>
            <w:r>
              <w:rPr>
                <w:sz w:val="18"/>
              </w:rPr>
              <w:t>Backend returns ModelMeta as JSON. Frontend displays metrics in the Training tab and lists the model in the model selector for predictions.</w:t>
            </w:r>
          </w:p>
        </w:tc>
      </w:tr>
      <w:tr>
        <w:tc>
          <w:tcPr>
            <w:tcW w:type="dxa" w:w="3022"/>
          </w:tcPr>
          <w:p>
            <w:pPr>
              <w:jc w:val="center"/>
            </w:pPr>
            <w:r>
              <w:rPr>
                <w:b/>
                <w:color w:val="8250DF"/>
                <w:sz w:val="24"/>
              </w:rPr>
              <w:t>7</w:t>
            </w:r>
          </w:p>
        </w:tc>
        <w:tc>
          <w:tcPr>
            <w:tcW w:type="dxa" w:w="3022"/>
          </w:tcPr>
          <w:p>
            <w:r>
              <w:rPr>
                <w:rFonts w:ascii="Courier New" w:hAnsi="Courier New"/>
                <w:b/>
                <w:color w:val="0A7A5A"/>
                <w:sz w:val="20"/>
              </w:rPr>
              <w:t>Prediction</w:t>
            </w:r>
          </w:p>
        </w:tc>
        <w:tc>
          <w:tcPr>
            <w:tcW w:type="dxa" w:w="3022"/>
          </w:tcPr>
          <w:p>
            <w:r>
              <w:rPr>
                <w:sz w:val="18"/>
              </w:rPr>
              <w:t>POST /predict sends a TrainingRecord (without risk_label) to the backend. The backend loads the model by model_id and returns PredictResult { predicted_label, confidence, probabilities }.</w:t>
            </w:r>
          </w:p>
        </w:tc>
      </w:tr>
    </w:tbl>
    <w:p/>
    <w:p>
      <w:r>
        <w:br w:type="page"/>
      </w:r>
    </w:p>
    <w:p>
      <w:pPr>
        <w:spacing w:before="480" w:after="120"/>
        <w:pBdr>
          <w:bottom w:val="single" w:sz="6" w:space="4" w:color="8250DF"/>
        </w:pBdr>
      </w:pPr>
      <w:r>
        <w:rPr>
          <w:b/>
          <w:color w:val="0F294D"/>
          <w:sz w:val="40"/>
        </w:rPr>
        <w:t>8. Backend API Reference (FastAPI)</w:t>
      </w:r>
    </w:p>
    <w:p>
      <w:pPr>
        <w:spacing w:after="120"/>
      </w:pPr>
      <w:r>
        <w:rPr>
          <w:b w:val="0"/>
          <w:color w:val="1F2328"/>
          <w:sz w:val="22"/>
        </w:rPr>
        <w:t>The backend server is a FastAPI application (server/main.py). Run with: cd server &amp;&amp; uvicorn main:app --reload. Default URL: http://localhost:8000. OpenAPI docs at /docs.</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0F294D"/>
          </w:tcPr>
          <w:p>
            <w:r>
              <w:rPr>
                <w:b/>
                <w:color w:val="FFFFFF"/>
                <w:sz w:val="18"/>
              </w:rPr>
              <w:t>Method</w:t>
            </w:r>
          </w:p>
        </w:tc>
        <w:tc>
          <w:tcPr>
            <w:tcW w:type="dxa" w:w="1813"/>
            <w:shd w:val="clear" w:color="auto" w:fill="0F294D"/>
          </w:tcPr>
          <w:p>
            <w:r>
              <w:rPr>
                <w:b/>
                <w:color w:val="FFFFFF"/>
                <w:sz w:val="18"/>
              </w:rPr>
              <w:t>Endpoint</w:t>
            </w:r>
          </w:p>
        </w:tc>
        <w:tc>
          <w:tcPr>
            <w:tcW w:type="dxa" w:w="1813"/>
            <w:shd w:val="clear" w:color="auto" w:fill="0F294D"/>
          </w:tcPr>
          <w:p>
            <w:r>
              <w:rPr>
                <w:b/>
                <w:color w:val="FFFFFF"/>
                <w:sz w:val="18"/>
              </w:rPr>
              <w:t>Description</w:t>
            </w:r>
          </w:p>
        </w:tc>
        <w:tc>
          <w:tcPr>
            <w:tcW w:type="dxa" w:w="1813"/>
            <w:shd w:val="clear" w:color="auto" w:fill="0F294D"/>
          </w:tcPr>
          <w:p>
            <w:r>
              <w:rPr>
                <w:b/>
                <w:color w:val="FFFFFF"/>
                <w:sz w:val="18"/>
              </w:rPr>
              <w:t>Input</w:t>
            </w:r>
          </w:p>
        </w:tc>
        <w:tc>
          <w:tcPr>
            <w:tcW w:type="dxa" w:w="1813"/>
            <w:shd w:val="clear" w:color="auto" w:fill="0F294D"/>
          </w:tcPr>
          <w:p>
            <w:r>
              <w:rPr>
                <w:b/>
                <w:color w:val="FFFFFF"/>
                <w:sz w:val="18"/>
              </w:rPr>
              <w:t>Output</w:t>
            </w:r>
          </w:p>
        </w:tc>
      </w:tr>
      <w:tr>
        <w:tc>
          <w:tcPr>
            <w:tcW w:type="dxa" w:w="1813"/>
          </w:tcPr>
          <w:p>
            <w:r>
              <w:rPr>
                <w:b/>
                <w:color w:val="0A7A5A"/>
                <w:sz w:val="18"/>
              </w:rPr>
              <w:t>GET</w:t>
            </w:r>
          </w:p>
        </w:tc>
        <w:tc>
          <w:tcPr>
            <w:tcW w:type="dxa" w:w="1813"/>
          </w:tcPr>
          <w:p>
            <w:r>
              <w:rPr>
                <w:rFonts w:ascii="Courier New" w:hAnsi="Courier New"/>
                <w:color w:val="0F294D"/>
                <w:sz w:val="18"/>
              </w:rPr>
              <w:t>/datasets</w:t>
            </w:r>
          </w:p>
        </w:tc>
        <w:tc>
          <w:tcPr>
            <w:tcW w:type="dxa" w:w="1813"/>
          </w:tcPr>
          <w:p>
            <w:r>
              <w:rPr>
                <w:sz w:val="18"/>
              </w:rPr>
              <w:t>List all saved dataset files. Returns DatasetMeta[].</w:t>
            </w:r>
          </w:p>
        </w:tc>
        <w:tc>
          <w:tcPr>
            <w:tcW w:type="dxa" w:w="1813"/>
          </w:tcPr>
          <w:p>
            <w:r>
              <w:rPr>
                <w:sz w:val="18"/>
              </w:rPr>
              <w:t>None</w:t>
            </w:r>
          </w:p>
        </w:tc>
        <w:tc>
          <w:tcPr>
            <w:tcW w:type="dxa" w:w="1813"/>
          </w:tcPr>
          <w:p>
            <w:r>
              <w:rPr>
                <w:sz w:val="18"/>
              </w:rPr>
              <w:t>DatasetMeta[]</w:t>
            </w:r>
          </w:p>
        </w:tc>
      </w:tr>
      <w:tr>
        <w:tc>
          <w:tcPr>
            <w:tcW w:type="dxa" w:w="1813"/>
          </w:tcPr>
          <w:p>
            <w:r>
              <w:rPr>
                <w:b/>
                <w:color w:val="0969DA"/>
                <w:sz w:val="18"/>
              </w:rPr>
              <w:t>POST</w:t>
            </w:r>
          </w:p>
        </w:tc>
        <w:tc>
          <w:tcPr>
            <w:tcW w:type="dxa" w:w="1813"/>
          </w:tcPr>
          <w:p>
            <w:r>
              <w:rPr>
                <w:rFonts w:ascii="Courier New" w:hAnsi="Courier New"/>
                <w:color w:val="0F294D"/>
                <w:sz w:val="18"/>
              </w:rPr>
              <w:t>/datasets</w:t>
            </w:r>
          </w:p>
        </w:tc>
        <w:tc>
          <w:tcPr>
            <w:tcW w:type="dxa" w:w="1813"/>
          </w:tcPr>
          <w:p>
            <w:r>
              <w:rPr>
                <w:sz w:val="18"/>
              </w:rPr>
              <w:t>Save a new dataset. Body: { name, records: TrainingRecord[] }.</w:t>
            </w:r>
          </w:p>
        </w:tc>
        <w:tc>
          <w:tcPr>
            <w:tcW w:type="dxa" w:w="1813"/>
          </w:tcPr>
          <w:p>
            <w:r>
              <w:rPr>
                <w:sz w:val="18"/>
              </w:rPr>
              <w:t>DatasetUploadBody</w:t>
            </w:r>
          </w:p>
        </w:tc>
        <w:tc>
          <w:tcPr>
            <w:tcW w:type="dxa" w:w="1813"/>
          </w:tcPr>
          <w:p>
            <w:r>
              <w:rPr>
                <w:sz w:val="18"/>
              </w:rPr>
              <w:t>DatasetMeta</w:t>
            </w:r>
          </w:p>
        </w:tc>
      </w:tr>
      <w:tr>
        <w:tc>
          <w:tcPr>
            <w:tcW w:type="dxa" w:w="1813"/>
          </w:tcPr>
          <w:p>
            <w:r>
              <w:rPr>
                <w:b/>
                <w:color w:val="CF222E"/>
                <w:sz w:val="18"/>
              </w:rPr>
              <w:t>DELETE</w:t>
            </w:r>
          </w:p>
        </w:tc>
        <w:tc>
          <w:tcPr>
            <w:tcW w:type="dxa" w:w="1813"/>
          </w:tcPr>
          <w:p>
            <w:r>
              <w:rPr>
                <w:rFonts w:ascii="Courier New" w:hAnsi="Courier New"/>
                <w:color w:val="0F294D"/>
                <w:sz w:val="18"/>
              </w:rPr>
              <w:t>/datasets/{filename}</w:t>
            </w:r>
          </w:p>
        </w:tc>
        <w:tc>
          <w:tcPr>
            <w:tcW w:type="dxa" w:w="1813"/>
          </w:tcPr>
          <w:p>
            <w:r>
              <w:rPr>
                <w:sz w:val="18"/>
              </w:rPr>
              <w:t>Delete a dataset file from the server.</w:t>
            </w:r>
          </w:p>
        </w:tc>
        <w:tc>
          <w:tcPr>
            <w:tcW w:type="dxa" w:w="1813"/>
          </w:tcPr>
          <w:p>
            <w:r>
              <w:rPr>
                <w:sz w:val="18"/>
              </w:rPr>
              <w:t>filename (path)</w:t>
            </w:r>
          </w:p>
        </w:tc>
        <w:tc>
          <w:tcPr>
            <w:tcW w:type="dxa" w:w="1813"/>
          </w:tcPr>
          <w:p>
            <w:r>
              <w:rPr>
                <w:sz w:val="18"/>
              </w:rPr>
              <w:t>{ ok: true }</w:t>
            </w:r>
          </w:p>
        </w:tc>
      </w:tr>
      <w:tr>
        <w:tc>
          <w:tcPr>
            <w:tcW w:type="dxa" w:w="1813"/>
          </w:tcPr>
          <w:p>
            <w:r>
              <w:rPr>
                <w:b/>
                <w:color w:val="0A7A5A"/>
                <w:sz w:val="18"/>
              </w:rPr>
              <w:t>GET</w:t>
            </w:r>
          </w:p>
        </w:tc>
        <w:tc>
          <w:tcPr>
            <w:tcW w:type="dxa" w:w="1813"/>
          </w:tcPr>
          <w:p>
            <w:r>
              <w:rPr>
                <w:rFonts w:ascii="Courier New" w:hAnsi="Courier New"/>
                <w:color w:val="0F294D"/>
                <w:sz w:val="18"/>
              </w:rPr>
              <w:t>/datasets/{filename}/csv</w:t>
            </w:r>
          </w:p>
        </w:tc>
        <w:tc>
          <w:tcPr>
            <w:tcW w:type="dxa" w:w="1813"/>
          </w:tcPr>
          <w:p>
            <w:r>
              <w:rPr>
                <w:sz w:val="18"/>
              </w:rPr>
              <w:t>Download dataset as CSV.</w:t>
            </w:r>
          </w:p>
        </w:tc>
        <w:tc>
          <w:tcPr>
            <w:tcW w:type="dxa" w:w="1813"/>
          </w:tcPr>
          <w:p>
            <w:r>
              <w:rPr>
                <w:sz w:val="18"/>
              </w:rPr>
              <w:t>filename (path)</w:t>
            </w:r>
          </w:p>
        </w:tc>
        <w:tc>
          <w:tcPr>
            <w:tcW w:type="dxa" w:w="1813"/>
          </w:tcPr>
          <w:p>
            <w:r>
              <w:rPr>
                <w:sz w:val="18"/>
              </w:rPr>
              <w:t>text/csv</w:t>
            </w:r>
          </w:p>
        </w:tc>
      </w:tr>
      <w:tr>
        <w:tc>
          <w:tcPr>
            <w:tcW w:type="dxa" w:w="1813"/>
          </w:tcPr>
          <w:p>
            <w:r>
              <w:rPr>
                <w:b/>
                <w:color w:val="0A7A5A"/>
                <w:sz w:val="18"/>
              </w:rPr>
              <w:t>GET</w:t>
            </w:r>
          </w:p>
        </w:tc>
        <w:tc>
          <w:tcPr>
            <w:tcW w:type="dxa" w:w="1813"/>
          </w:tcPr>
          <w:p>
            <w:r>
              <w:rPr>
                <w:rFonts w:ascii="Courier New" w:hAnsi="Courier New"/>
                <w:color w:val="0F294D"/>
                <w:sz w:val="18"/>
              </w:rPr>
              <w:t>/datasets/{filename}/json</w:t>
            </w:r>
          </w:p>
        </w:tc>
        <w:tc>
          <w:tcPr>
            <w:tcW w:type="dxa" w:w="1813"/>
          </w:tcPr>
          <w:p>
            <w:r>
              <w:rPr>
                <w:sz w:val="18"/>
              </w:rPr>
              <w:t>Download dataset as JSON.</w:t>
            </w:r>
          </w:p>
        </w:tc>
        <w:tc>
          <w:tcPr>
            <w:tcW w:type="dxa" w:w="1813"/>
          </w:tcPr>
          <w:p>
            <w:r>
              <w:rPr>
                <w:sz w:val="18"/>
              </w:rPr>
              <w:t>filename (path)</w:t>
            </w:r>
          </w:p>
        </w:tc>
        <w:tc>
          <w:tcPr>
            <w:tcW w:type="dxa" w:w="1813"/>
          </w:tcPr>
          <w:p>
            <w:r>
              <w:rPr>
                <w:sz w:val="18"/>
              </w:rPr>
              <w:t>application/json</w:t>
            </w:r>
          </w:p>
        </w:tc>
      </w:tr>
      <w:tr>
        <w:tc>
          <w:tcPr>
            <w:tcW w:type="dxa" w:w="1813"/>
          </w:tcPr>
          <w:p>
            <w:r>
              <w:rPr>
                <w:b/>
                <w:color w:val="0969DA"/>
                <w:sz w:val="18"/>
              </w:rPr>
              <w:t>POST</w:t>
            </w:r>
          </w:p>
        </w:tc>
        <w:tc>
          <w:tcPr>
            <w:tcW w:type="dxa" w:w="1813"/>
          </w:tcPr>
          <w:p>
            <w:r>
              <w:rPr>
                <w:rFonts w:ascii="Courier New" w:hAnsi="Courier New"/>
                <w:color w:val="0F294D"/>
                <w:sz w:val="18"/>
              </w:rPr>
              <w:t>/train</w:t>
            </w:r>
          </w:p>
        </w:tc>
        <w:tc>
          <w:tcPr>
            <w:tcW w:type="dxa" w:w="1813"/>
          </w:tcPr>
          <w:p>
            <w:r>
              <w:rPr>
                <w:sz w:val="18"/>
              </w:rPr>
              <w:t>Train a model on a named dataset.</w:t>
            </w:r>
          </w:p>
        </w:tc>
        <w:tc>
          <w:tcPr>
            <w:tcW w:type="dxa" w:w="1813"/>
          </w:tcPr>
          <w:p>
            <w:r>
              <w:rPr>
                <w:sz w:val="18"/>
              </w:rPr>
              <w:t>TrainRequest</w:t>
            </w:r>
          </w:p>
        </w:tc>
        <w:tc>
          <w:tcPr>
            <w:tcW w:type="dxa" w:w="1813"/>
          </w:tcPr>
          <w:p>
            <w:r>
              <w:rPr>
                <w:sz w:val="18"/>
              </w:rPr>
              <w:t>ModelMeta</w:t>
            </w:r>
          </w:p>
        </w:tc>
      </w:tr>
      <w:tr>
        <w:tc>
          <w:tcPr>
            <w:tcW w:type="dxa" w:w="1813"/>
          </w:tcPr>
          <w:p>
            <w:r>
              <w:rPr>
                <w:b/>
                <w:color w:val="0A7A5A"/>
                <w:sz w:val="18"/>
              </w:rPr>
              <w:t>GET</w:t>
            </w:r>
          </w:p>
        </w:tc>
        <w:tc>
          <w:tcPr>
            <w:tcW w:type="dxa" w:w="1813"/>
          </w:tcPr>
          <w:p>
            <w:r>
              <w:rPr>
                <w:rFonts w:ascii="Courier New" w:hAnsi="Courier New"/>
                <w:color w:val="0F294D"/>
                <w:sz w:val="18"/>
              </w:rPr>
              <w:t>/models</w:t>
            </w:r>
          </w:p>
        </w:tc>
        <w:tc>
          <w:tcPr>
            <w:tcW w:type="dxa" w:w="1813"/>
          </w:tcPr>
          <w:p>
            <w:r>
              <w:rPr>
                <w:sz w:val="18"/>
              </w:rPr>
              <w:t>List all trained model metadata.</w:t>
            </w:r>
          </w:p>
        </w:tc>
        <w:tc>
          <w:tcPr>
            <w:tcW w:type="dxa" w:w="1813"/>
          </w:tcPr>
          <w:p>
            <w:r>
              <w:rPr>
                <w:sz w:val="18"/>
              </w:rPr>
              <w:t>None</w:t>
            </w:r>
          </w:p>
        </w:tc>
        <w:tc>
          <w:tcPr>
            <w:tcW w:type="dxa" w:w="1813"/>
          </w:tcPr>
          <w:p>
            <w:r>
              <w:rPr>
                <w:sz w:val="18"/>
              </w:rPr>
              <w:t>ModelMeta[]</w:t>
            </w:r>
          </w:p>
        </w:tc>
      </w:tr>
      <w:tr>
        <w:tc>
          <w:tcPr>
            <w:tcW w:type="dxa" w:w="1813"/>
          </w:tcPr>
          <w:p>
            <w:r>
              <w:rPr>
                <w:b/>
                <w:color w:val="0A7A5A"/>
                <w:sz w:val="18"/>
              </w:rPr>
              <w:t>GET</w:t>
            </w:r>
          </w:p>
        </w:tc>
        <w:tc>
          <w:tcPr>
            <w:tcW w:type="dxa" w:w="1813"/>
          </w:tcPr>
          <w:p>
            <w:r>
              <w:rPr>
                <w:rFonts w:ascii="Courier New" w:hAnsi="Courier New"/>
                <w:color w:val="0F294D"/>
                <w:sz w:val="18"/>
              </w:rPr>
              <w:t>/models/{model_id}</w:t>
            </w:r>
          </w:p>
        </w:tc>
        <w:tc>
          <w:tcPr>
            <w:tcW w:type="dxa" w:w="1813"/>
          </w:tcPr>
          <w:p>
            <w:r>
              <w:rPr>
                <w:sz w:val="18"/>
              </w:rPr>
              <w:t>Retrieve metadata for a specific model.</w:t>
            </w:r>
          </w:p>
        </w:tc>
        <w:tc>
          <w:tcPr>
            <w:tcW w:type="dxa" w:w="1813"/>
          </w:tcPr>
          <w:p>
            <w:r>
              <w:rPr>
                <w:sz w:val="18"/>
              </w:rPr>
              <w:t>model_id (path)</w:t>
            </w:r>
          </w:p>
        </w:tc>
        <w:tc>
          <w:tcPr>
            <w:tcW w:type="dxa" w:w="1813"/>
          </w:tcPr>
          <w:p>
            <w:r>
              <w:rPr>
                <w:sz w:val="18"/>
              </w:rPr>
              <w:t>ModelMeta</w:t>
            </w:r>
          </w:p>
        </w:tc>
      </w:tr>
      <w:tr>
        <w:tc>
          <w:tcPr>
            <w:tcW w:type="dxa" w:w="1813"/>
          </w:tcPr>
          <w:p>
            <w:r>
              <w:rPr>
                <w:b/>
                <w:color w:val="0969DA"/>
                <w:sz w:val="18"/>
              </w:rPr>
              <w:t>POST</w:t>
            </w:r>
          </w:p>
        </w:tc>
        <w:tc>
          <w:tcPr>
            <w:tcW w:type="dxa" w:w="1813"/>
          </w:tcPr>
          <w:p>
            <w:r>
              <w:rPr>
                <w:rFonts w:ascii="Courier New" w:hAnsi="Courier New"/>
                <w:color w:val="0F294D"/>
                <w:sz w:val="18"/>
              </w:rPr>
              <w:t>/predict</w:t>
            </w:r>
          </w:p>
        </w:tc>
        <w:tc>
          <w:tcPr>
            <w:tcW w:type="dxa" w:w="1813"/>
          </w:tcPr>
          <w:p>
            <w:r>
              <w:rPr>
                <w:sz w:val="18"/>
              </w:rPr>
              <w:t>Predict risk label for a TrainingRecord.</w:t>
            </w:r>
          </w:p>
        </w:tc>
        <w:tc>
          <w:tcPr>
            <w:tcW w:type="dxa" w:w="1813"/>
          </w:tcPr>
          <w:p>
            <w:r>
              <w:rPr>
                <w:sz w:val="18"/>
              </w:rPr>
              <w:t>PredictRequest { model_id, record }</w:t>
            </w:r>
          </w:p>
        </w:tc>
        <w:tc>
          <w:tcPr>
            <w:tcW w:type="dxa" w:w="1813"/>
          </w:tcPr>
          <w:p>
            <w:r>
              <w:rPr>
                <w:sz w:val="18"/>
              </w:rPr>
              <w:t>PredictResult</w:t>
            </w:r>
          </w:p>
        </w:tc>
      </w:tr>
      <w:tr>
        <w:tc>
          <w:tcPr>
            <w:tcW w:type="dxa" w:w="1813"/>
          </w:tcPr>
          <w:p>
            <w:r>
              <w:rPr>
                <w:b/>
                <w:color w:val="CF222E"/>
                <w:sz w:val="18"/>
              </w:rPr>
              <w:t>DELETE</w:t>
            </w:r>
          </w:p>
        </w:tc>
        <w:tc>
          <w:tcPr>
            <w:tcW w:type="dxa" w:w="1813"/>
          </w:tcPr>
          <w:p>
            <w:r>
              <w:rPr>
                <w:rFonts w:ascii="Courier New" w:hAnsi="Courier New"/>
                <w:color w:val="0F294D"/>
                <w:sz w:val="18"/>
              </w:rPr>
              <w:t>/models/{model_id}</w:t>
            </w:r>
          </w:p>
        </w:tc>
        <w:tc>
          <w:tcPr>
            <w:tcW w:type="dxa" w:w="1813"/>
          </w:tcPr>
          <w:p>
            <w:r>
              <w:rPr>
                <w:sz w:val="18"/>
              </w:rPr>
              <w:t>Delete a trained model and its metadata.</w:t>
            </w:r>
          </w:p>
        </w:tc>
        <w:tc>
          <w:tcPr>
            <w:tcW w:type="dxa" w:w="1813"/>
          </w:tcPr>
          <w:p>
            <w:r>
              <w:rPr>
                <w:sz w:val="18"/>
              </w:rPr>
              <w:t>model_id (path)</w:t>
            </w:r>
          </w:p>
        </w:tc>
        <w:tc>
          <w:tcPr>
            <w:tcW w:type="dxa" w:w="1813"/>
          </w:tcPr>
          <w:p>
            <w:r>
              <w:rPr>
                <w:sz w:val="18"/>
              </w:rPr>
              <w:t>{ ok: true }</w:t>
            </w:r>
          </w:p>
        </w:tc>
      </w:tr>
    </w:tbl>
    <w:p/>
    <w:p>
      <w:r>
        <w:br w:type="page"/>
      </w:r>
    </w:p>
    <w:p>
      <w:pPr>
        <w:spacing w:before="480" w:after="120"/>
        <w:pBdr>
          <w:bottom w:val="single" w:sz="6" w:space="4" w:color="8250DF"/>
        </w:pBdr>
      </w:pPr>
      <w:r>
        <w:rPr>
          <w:b/>
          <w:color w:val="0F294D"/>
          <w:sz w:val="40"/>
        </w:rPr>
        <w:t>9. Future Phases and Extension Points</w:t>
      </w:r>
    </w:p>
    <w:p>
      <w:pPr>
        <w:spacing w:before="320" w:after="80"/>
      </w:pPr>
      <w:r>
        <w:rPr>
          <w:b/>
          <w:color w:val="8250DF"/>
          <w:sz w:val="28"/>
        </w:rPr>
        <w:t>Phase 2 (planned) — Baxter Sigma Spectrum + ICU Medical Plum 360</w:t>
      </w:r>
    </w:p>
    <w:p>
      <w:pPr>
        <w:pStyle w:val="ListBullet"/>
        <w:spacing w:after="60"/>
        <w:ind w:left="360"/>
      </w:pPr>
      <w:r>
        <w:rPr>
          <w:color w:val="1F2328"/>
          <w:sz w:val="22"/>
        </w:rPr>
        <w:t>Activate sigma_spectrum and plum_360 device profiles (currently stubs in deviceDesign.ts)</w:t>
      </w:r>
    </w:p>
    <w:p>
      <w:pPr>
        <w:pStyle w:val="ListBullet"/>
        <w:spacing w:after="60"/>
        <w:ind w:left="360"/>
      </w:pPr>
      <w:r>
        <w:rPr>
          <w:color w:val="1F2328"/>
          <w:sz w:val="22"/>
        </w:rPr>
        <w:t>Build BraunStateMachine-equivalent state machines for both devices</w:t>
      </w:r>
    </w:p>
    <w:p>
      <w:pPr>
        <w:pStyle w:val="ListBullet"/>
        <w:spacing w:after="60"/>
        <w:ind w:left="360"/>
      </w:pPr>
      <w:r>
        <w:rPr>
          <w:color w:val="1F2328"/>
          <w:sz w:val="22"/>
        </w:rPr>
        <w:t>Add Sigma Spectrum SpaceCom drug library protocol and DERS rules</w:t>
      </w:r>
    </w:p>
    <w:p>
      <w:pPr>
        <w:pStyle w:val="ListBullet"/>
        <w:spacing w:after="60"/>
        <w:ind w:left="360"/>
      </w:pPr>
      <w:r>
        <w:rPr>
          <w:color w:val="1F2328"/>
          <w:sz w:val="22"/>
        </w:rPr>
        <w:t>Extend BRAUN_HIGH_RULES pattern to device-specific rule files (sigmaRules.ts, plumRules.ts)</w:t>
      </w:r>
    </w:p>
    <w:p>
      <w:pPr>
        <w:pStyle w:val="ListBullet"/>
        <w:spacing w:after="60"/>
        <w:ind w:left="360"/>
      </w:pPr>
      <w:r>
        <w:rPr>
          <w:color w:val="1F2328"/>
          <w:sz w:val="22"/>
        </w:rPr>
        <w:t>Re-run dataset generation and validate distribution across all 5 devices</w:t>
      </w:r>
    </w:p>
    <w:p/>
    <w:p>
      <w:pPr>
        <w:spacing w:before="320" w:after="80"/>
      </w:pPr>
      <w:r>
        <w:rPr>
          <w:b/>
          <w:color w:val="8250DF"/>
          <w:sz w:val="28"/>
        </w:rPr>
        <w:t>Phase 3 (planned) — Fresenius Kabi Agilia VP + CADD-Solis PCA</w:t>
      </w:r>
    </w:p>
    <w:p>
      <w:pPr>
        <w:pStyle w:val="ListBullet"/>
        <w:spacing w:after="60"/>
        <w:ind w:left="360"/>
      </w:pPr>
      <w:r>
        <w:rPr>
          <w:color w:val="1F2328"/>
          <w:sz w:val="22"/>
        </w:rPr>
        <w:t>Activate agilia_vp and cadd_solis profiles</w:t>
      </w:r>
    </w:p>
    <w:p>
      <w:pPr>
        <w:pStyle w:val="ListBullet"/>
        <w:spacing w:after="60"/>
        <w:ind w:left="360"/>
      </w:pPr>
      <w:r>
        <w:rPr>
          <w:color w:val="1F2328"/>
          <w:sz w:val="22"/>
        </w:rPr>
        <w:t>Model Agilia Connect Management System (ACMS) network protocol</w:t>
      </w:r>
    </w:p>
    <w:p>
      <w:pPr>
        <w:pStyle w:val="ListBullet"/>
        <w:spacing w:after="60"/>
        <w:ind w:left="360"/>
      </w:pPr>
      <w:r>
        <w:rPr>
          <w:color w:val="1F2328"/>
          <w:sz w:val="22"/>
        </w:rPr>
        <w:t>Model PCA lockout interval logic for CADD-Solis (different from KVO)</w:t>
      </w:r>
    </w:p>
    <w:p>
      <w:pPr>
        <w:pStyle w:val="ListBullet"/>
        <w:spacing w:after="60"/>
        <w:ind w:left="360"/>
      </w:pPr>
      <w:r>
        <w:rPr>
          <w:color w:val="1F2328"/>
          <w:sz w:val="22"/>
        </w:rPr>
        <w:t>Add patient-controlled bolus events to SessionLogEntry EventType</w:t>
      </w:r>
    </w:p>
    <w:p>
      <w:pPr>
        <w:pStyle w:val="ListBullet"/>
        <w:spacing w:after="60"/>
        <w:ind w:left="360"/>
      </w:pPr>
      <w:r>
        <w:rPr>
          <w:color w:val="1F2328"/>
          <w:sz w:val="22"/>
        </w:rPr>
        <w:t>Extend TrainingRecord with pca_lockout_interval, patient_bolus_count fields</w:t>
      </w:r>
    </w:p>
    <w:p/>
    <w:p>
      <w:pPr>
        <w:spacing w:before="320" w:after="80"/>
      </w:pPr>
      <w:r>
        <w:rPr>
          <w:b/>
          <w:color w:val="8250DF"/>
          <w:sz w:val="28"/>
        </w:rPr>
        <w:t>AI Model Enhancement (ongoing) — Improved classification and explainability</w:t>
      </w:r>
    </w:p>
    <w:p>
      <w:pPr>
        <w:pStyle w:val="ListBullet"/>
        <w:spacing w:after="60"/>
        <w:ind w:left="360"/>
      </w:pPr>
      <w:r>
        <w:rPr>
          <w:color w:val="1F2328"/>
          <w:sz w:val="22"/>
        </w:rPr>
        <w:t>Replace rule-based labels with SHAP values (TreeExplainer for RF/GBDT)</w:t>
      </w:r>
    </w:p>
    <w:p>
      <w:pPr>
        <w:pStyle w:val="ListBullet"/>
        <w:spacing w:after="60"/>
        <w:ind w:left="360"/>
      </w:pPr>
      <w:r>
        <w:rPr>
          <w:color w:val="1F2328"/>
          <w:sz w:val="22"/>
        </w:rPr>
        <w:t>Add cross-device transfer learning experiment: train on Alaris GP → test on Braun</w:t>
      </w:r>
    </w:p>
    <w:p>
      <w:pPr>
        <w:pStyle w:val="ListBullet"/>
        <w:spacing w:after="60"/>
        <w:ind w:left="360"/>
      </w:pPr>
      <w:r>
        <w:rPr>
          <w:color w:val="1F2328"/>
          <w:sz w:val="22"/>
        </w:rPr>
        <w:t>Add time-series features: moving average of rate_adjust events over session</w:t>
      </w:r>
    </w:p>
    <w:p>
      <w:pPr>
        <w:pStyle w:val="ListBullet"/>
        <w:spacing w:after="60"/>
        <w:ind w:left="360"/>
      </w:pPr>
      <w:r>
        <w:rPr>
          <w:color w:val="1F2328"/>
          <w:sz w:val="22"/>
        </w:rPr>
        <w:t>Experiment with class-weighted sampling to balance low/medium/high proportions</w:t>
      </w:r>
    </w:p>
    <w:p>
      <w:pPr>
        <w:pStyle w:val="ListBullet"/>
        <w:spacing w:after="60"/>
        <w:ind w:left="360"/>
      </w:pPr>
      <w:r>
        <w:rPr>
          <w:color w:val="1F2328"/>
          <w:sz w:val="22"/>
        </w:rPr>
        <w:t>Add ROC-AUC and calibration plot outputs to ModelMeta</w:t>
      </w:r>
    </w:p>
    <w:p>
      <w:pPr>
        <w:pStyle w:val="ListBullet"/>
        <w:spacing w:after="60"/>
        <w:ind w:left="360"/>
      </w:pPr>
      <w:r>
        <w:rPr>
          <w:color w:val="1F2328"/>
          <w:sz w:val="22"/>
        </w:rPr>
        <w:t>Implement model comparison view: side-by-side accuracy/F1 across model types</w:t>
      </w:r>
    </w:p>
    <w:p/>
    <w:p>
      <w:pPr>
        <w:spacing w:before="320" w:after="80"/>
      </w:pPr>
      <w:r>
        <w:rPr>
          <w:b/>
          <w:color w:val="8250DF"/>
          <w:sz w:val="28"/>
        </w:rPr>
        <w:t>Data Export &amp; Integration — Research pipeline integration</w:t>
      </w:r>
    </w:p>
    <w:p>
      <w:pPr>
        <w:pStyle w:val="ListBullet"/>
        <w:spacing w:after="60"/>
        <w:ind w:left="360"/>
      </w:pPr>
      <w:r>
        <w:rPr>
          <w:color w:val="1F2328"/>
          <w:sz w:val="22"/>
        </w:rPr>
        <w:t>REDCap integration: export TrainingRecord fields matching CRF variable names</w:t>
      </w:r>
    </w:p>
    <w:p>
      <w:pPr>
        <w:pStyle w:val="ListBullet"/>
        <w:spacing w:after="60"/>
        <w:ind w:left="360"/>
      </w:pPr>
      <w:r>
        <w:rPr>
          <w:color w:val="1F2328"/>
          <w:sz w:val="22"/>
        </w:rPr>
        <w:t>FHIR R4 mapping: convert session events to AuditEvent and MedicationAdministration resources</w:t>
      </w:r>
    </w:p>
    <w:p>
      <w:pPr>
        <w:pStyle w:val="ListBullet"/>
        <w:spacing w:after="60"/>
        <w:ind w:left="360"/>
      </w:pPr>
      <w:r>
        <w:rPr>
          <w:color w:val="1F2328"/>
          <w:sz w:val="22"/>
        </w:rPr>
        <w:t>Add experiment versioning: dataset hash + model_id + git SHA tracked per training run</w:t>
      </w:r>
    </w:p>
    <w:p>
      <w:pPr>
        <w:pStyle w:val="ListBullet"/>
        <w:spacing w:after="60"/>
        <w:ind w:left="360"/>
      </w:pPr>
      <w:r>
        <w:rPr>
          <w:color w:val="1F2328"/>
          <w:sz w:val="22"/>
        </w:rPr>
        <w:t>Reproducibility: seed logged in ModelMeta; regenerating same seed produces identical dataset</w:t>
      </w:r>
    </w:p>
    <w:p/>
    <w:p>
      <w:pPr>
        <w:spacing w:before="480" w:after="120"/>
        <w:pBdr>
          <w:bottom w:val="single" w:sz="6" w:space="4" w:color="8250DF"/>
        </w:pBdr>
      </w:pPr>
      <w:r>
        <w:rPr>
          <w:b/>
          <w:color w:val="0F294D"/>
          <w:sz w:val="40"/>
        </w:rPr>
        <w:t>10. Key File Structure</w:t>
      </w:r>
    </w:p>
    <w:tbl>
      <w:tblPr>
        <w:tblStyle w:val="TableGrid"/>
        <w:tblW w:type="auto" w:w="0"/>
        <w:tblLook w:firstColumn="1" w:firstRow="1" w:lastColumn="0" w:lastRow="0" w:noHBand="0" w:noVBand="1" w:val="04A0"/>
      </w:tblPr>
      <w:tblGrid>
        <w:gridCol w:w="9066"/>
      </w:tblGrid>
      <w:tr>
        <w:tc>
          <w:tcPr>
            <w:tcW w:type="dxa" w:w="9066"/>
            <w:shd w:val="clear" w:color="auto" w:fill="F3F4F6"/>
          </w:tcPr>
          <w:p>
            <w:r>
              <w:rPr>
                <w:rFonts w:ascii="Courier New" w:hAnsi="Courier New"/>
                <w:color w:val="0F294D"/>
                <w:sz w:val="18"/>
              </w:rPr>
              <w:t>src/</w:t>
              <w:br/>
              <w:t xml:space="preserve">  pump/                     Pure TypeScript state machines (no React)</w:t>
              <w:br/>
              <w:t xml:space="preserve">    types.ts                SessionLogEntry, PumpState, EventType, AlarmType</w:t>
              <w:br/>
              <w:t xml:space="preserve">    constants.ts            FACTORY_DEFAULTS (all magic numbers from DFU)</w:t>
              <w:br/>
              <w:t xml:space="preserve">    stateMachine.ts         Alaris GP state transitions</w:t>
              <w:br/>
              <w:t xml:space="preserve">    guardrails.ts           Guardrail check logic</w:t>
              <w:br/>
              <w:t xml:space="preserve">    display.ts              rateToMlH() conversion, display state</w:t>
              <w:br/>
              <w:t xml:space="preserve">    braun/</w:t>
              <w:br/>
              <w:t xml:space="preserve">      braunStateMachine.ts  B. Braun Infusomat state machine</w:t>
              <w:br/>
              <w:t xml:space="preserve">      braunTypes.ts         BraunPumpState, BraunSessionLogEntry</w:t>
              <w:br/>
              <w:t xml:space="preserve">      braunConstants.ts     BRAUN_DEFAULTS</w:t>
              <w:br/>
              <w:t xml:space="preserve">      braunDrugLibrary.ts   11-drug B. Braun library</w:t>
              <w:br/>
              <w:t xml:space="preserve">    graseby/</w:t>
              <w:br/>
              <w:t xml:space="preserve">      grasebyStateMachine.ts Graseby 3100 state machine</w:t>
              <w:br/>
              <w:br/>
              <w:t xml:space="preserve">  ai/</w:t>
              <w:br/>
              <w:t xml:space="preserve">    featureExtractor.ts     SessionLogEntry[] → TrainingRecord (extractFeatures, toCSV)</w:t>
              <w:br/>
              <w:t xml:space="preserve">    labellingRules.ts       R01–R21 rules + applyLabellingRules()</w:t>
              <w:br/>
              <w:t xml:space="preserve">    braunRules.ts           BB-R01–BB-R05 + applyBraunRules()</w:t>
              <w:br/>
              <w:t xml:space="preserve">    deviceDesign.ts         Layer 0 design scores + DEVICE_REGISTRY</w:t>
              <w:br/>
              <w:t xml:space="preserve">    scenarioGenerator.ts    SCENARIO_PROFILES + generateDeviceContext()</w:t>
              <w:br/>
              <w:t xml:space="preserve">    datasetBuilder.ts       generateDataset() + generateBraunDataset() + generateCombinedDataset()</w:t>
              <w:br/>
              <w:t xml:space="preserve">    sessionAdapter.ts       buildTrainingRecord() — interactive session → TrainingRecord</w:t>
              <w:br/>
              <w:t xml:space="preserve">    ruleExplainer.ts        explainRow() — human-readable rule explanation per record</w:t>
              <w:br/>
              <w:br/>
              <w:t xml:space="preserve">  api/</w:t>
              <w:br/>
              <w:t xml:space="preserve">    researchApi.ts          API client (TypeScript) for backend communication</w:t>
              <w:br/>
              <w:br/>
              <w:t>server/</w:t>
              <w:br/>
              <w:t xml:space="preserve">  main.py                   FastAPI application — train, predict, dataset endpoints</w:t>
              <w:br/>
              <w:t xml:space="preserve">  requirements.txt          fastapi, uvicorn, scikit-learn, pandas, numpy, joblib</w:t>
              <w:br/>
              <w:br/>
              <w:t>data/</w:t>
              <w:br/>
              <w:t xml:space="preserve">  sessions/                 Raw session JSON files (from interactive use)</w:t>
              <w:br/>
              <w:t xml:space="preserve">  dataset/                  Generated training CSVs</w:t>
              <w:br/>
              <w:t xml:space="preserve">  models/                   Trained model .pkl + .json metadata files</w:t>
              <w:br/>
            </w:r>
          </w:p>
        </w:tc>
      </w:tr>
    </w:tbl>
    <w:p/>
    <w:p>
      <w:pPr>
        <w:spacing w:after="120"/>
      </w:pPr>
      <w:r>
        <w:rPr>
          <w:b/>
          <w:color w:val="0F294D"/>
          <w:sz w:val="22"/>
        </w:rPr>
        <w:t>npm run generate</w:t>
      </w:r>
    </w:p>
    <w:p>
      <w:pPr>
        <w:spacing w:after="120"/>
      </w:pPr>
      <w:r>
        <w:rPr>
          <w:b w:val="0"/>
          <w:color w:val="1F2328"/>
          <w:sz w:val="22"/>
        </w:rPr>
        <w:t>Runs vite-node src/ai/datasetBuilder.ts to generate 500 records and write data/dataset/training.csv. All three device generators are run and combined into a single unified CSV via generateCombinedDataset().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