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F294D"/>
          <w:sz w:val="52"/>
        </w:rPr>
        <w:t>INFUSION PUMP SAFETY SIMULATOR</w:t>
      </w:r>
    </w:p>
    <w:p>
      <w:pPr>
        <w:jc w:val="center"/>
      </w:pPr>
      <w:r>
        <w:rPr>
          <w:color w:val="0969DA"/>
          <w:sz w:val="36"/>
        </w:rPr>
        <w:t>Risk Framework &amp; Scoring Specification</w:t>
      </w:r>
    </w:p>
    <w:p/>
    <w:p>
      <w:pPr>
        <w:jc w:val="center"/>
      </w:pPr>
      <w:r>
        <w:rPr>
          <w:color w:val="656D76"/>
          <w:sz w:val="22"/>
        </w:rPr>
        <w:t>Version 1.0  ·  QR Seed Pilot Study</w:t>
      </w:r>
    </w:p>
    <w:p>
      <w:pPr>
        <w:jc w:val="center"/>
      </w:pPr>
      <w:r>
        <w:rPr>
          <w:color w:val="656D76"/>
          <w:sz w:val="22"/>
        </w:rPr>
        <w:t>University Research  ·  Confidential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969DA"/>
          </w:tcPr>
          <w:p>
            <w:pPr>
              <w:spacing w:before="80" w:after="80"/>
            </w:pPr>
          </w:p>
        </w:tc>
      </w:tr>
    </w:tbl>
    <w:p/>
    <w:p>
      <w:pPr>
        <w:jc w:val="center"/>
      </w:pPr>
      <w:r>
        <w:rPr>
          <w:i/>
          <w:color w:val="656D76"/>
          <w:sz w:val="22"/>
        </w:rPr>
        <w:t>This document specifies the 4-layer composite risk scoring framework used by the Infusion Pump Safety Simulator to generate AI training labels for medical device safety and security research.</w:t>
      </w:r>
    </w:p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1. Overview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 risk framework assigns a composite risk score (0.0–1.0) and letter grade (A+ through F) to each simulated nurse–pump interaction session. The score drives the risk_label field (low / medium / high) in every TrainingRecord, which serves as the ground-truth label for AI model training.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 framework is deliberately layered — four independent sub-scores assess different concerns, then combine with fixed weights into a single composite. This decomposition allows the AI model to be audited per layer rather than as a black box.</w:t>
      </w:r>
    </w:p>
    <w:p>
      <w:pPr>
        <w:spacing w:before="360" w:after="80"/>
      </w:pPr>
      <w:r>
        <w:rPr>
          <w:b/>
          <w:color w:val="0969DA"/>
          <w:sz w:val="28"/>
        </w:rPr>
        <w:t>1.1  Research Context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Funding: QR Seed Pilot Study — "An AI-Empowered Safety and Security Ranking System for Infusion Pump Medical Devices."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Primary reference: Cauchi et al. (2011) "Towards Dependable Number Entry for Medical Devices", EICS4Med Workshop. CHI-MED Project.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Clinical basis: Thimbleby &amp; Cairns (2010) J. Royal Society Interface 7(51):1429–1439. Formal model: PVSio-web demos/AlarisGP.</w:t>
      </w:r>
    </w:p>
    <w:p>
      <w:pPr>
        <w:spacing w:before="360" w:after="80"/>
      </w:pPr>
      <w:r>
        <w:rPr>
          <w:b/>
          <w:color w:val="0969DA"/>
          <w:sz w:val="28"/>
        </w:rPr>
        <w:t>1.2  Devices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Device Name</w:t>
            </w:r>
          </w:p>
        </w:tc>
        <w:tc>
          <w:tcPr>
            <w:tcW w:type="dxa" w:w="2266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model_id</w:t>
            </w:r>
          </w:p>
        </w:tc>
        <w:tc>
          <w:tcPr>
            <w:tcW w:type="dxa" w:w="2266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266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BD Alaris GP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alaris_gp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Large-volume volumetric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Primary simulator target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B. Braun Infusomat Space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braun_infusomat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Large-volume infusion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SpaceCom2 / DERS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Graseby 3100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graseby_3100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Syringe driver (legacy)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Baseline — no safety systems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Baxter Sigma Spectrum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sigma_spectrum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Large-volume infusion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Phase 2 stub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ICU Medical Plum 360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plum_360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Large-volume infusion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Phase 2 stub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Fresenius Kabi Agilia VP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agilia_vp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Large-volume infusion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Phase 3 stub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CADD-Solis PCA</w:t>
            </w:r>
          </w:p>
        </w:tc>
        <w:tc>
          <w:tcPr>
            <w:tcW w:type="dxa" w:w="2266"/>
          </w:tcPr>
          <w:p>
            <w:r>
              <w:rPr>
                <w:rFonts w:ascii="Courier New" w:hAnsi="Courier New"/>
                <w:color w:val="0969DA"/>
                <w:sz w:val="20"/>
              </w:rPr>
              <w:t>cadd_solis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PCA / ambulatory pump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Phase 3 stub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2. Four-Layer Risk Architecture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 composite score is computed from four independent layers. Each layer answers a distinct clinical or technical question. Separating them allows procurement teams, clinical governance, and IT security to act on the layer most relevant to their remit.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160"/>
            <w:shd w:val="clear" w:color="auto" w:fill="EAF0FB"/>
          </w:tcPr>
          <w:p>
            <w:pPr>
              <w:jc w:val="center"/>
            </w:pPr>
            <w:r>
              <w:rPr>
                <w:b/>
                <w:color w:val="0F294D"/>
                <w:sz w:val="26"/>
              </w:rPr>
              <w:t>Layer 0</w:t>
              <w:br/>
            </w:r>
            <w:r>
              <w:rPr>
                <w:color w:val="0969DA"/>
                <w:sz w:val="22"/>
              </w:rPr>
              <w:t>Design</w:t>
              <w:br/>
            </w:r>
            <w:r>
              <w:rPr>
                <w:b/>
                <w:color w:val="0A7A5A"/>
                <w:sz w:val="20"/>
              </w:rPr>
              <w:t>Weight: 20%</w:t>
            </w:r>
          </w:p>
        </w:tc>
        <w:tc>
          <w:tcPr>
            <w:tcW w:type="dxa" w:w="4533"/>
          </w:tcPr>
          <w:p>
            <w:r>
              <w:rPr>
                <w:color w:val="1F2328"/>
                <w:sz w:val="20"/>
              </w:rPr>
              <w:t>How safely was this device engineered? Fixed per device model — CVE count, firmware signing, guardrail tiers, VTBI support, anti-freeflow, FDA recalls, display quality. Does NOT change between sessions. Procurement / engineering concern.</w:t>
            </w:r>
          </w:p>
          <w:p>
            <w:r>
              <w:rPr>
                <w:b/>
                <w:color w:val="656D76"/>
                <w:sz w:val="18"/>
              </w:rPr>
              <w:t xml:space="preserve">Source file: </w:t>
            </w:r>
            <w:r>
              <w:rPr>
                <w:rFonts w:ascii="Courier New" w:hAnsi="Courier New"/>
                <w:color w:val="0A7A5A"/>
                <w:sz w:val="18"/>
              </w:rPr>
              <w:t>deviceDesign.ts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160"/>
            <w:shd w:val="clear" w:color="auto" w:fill="EAF0FB"/>
          </w:tcPr>
          <w:p>
            <w:pPr>
              <w:jc w:val="center"/>
            </w:pPr>
            <w:r>
              <w:rPr>
                <w:b/>
                <w:color w:val="0F294D"/>
                <w:sz w:val="26"/>
              </w:rPr>
              <w:t>Layer 1</w:t>
              <w:br/>
            </w:r>
            <w:r>
              <w:rPr>
                <w:color w:val="0969DA"/>
                <w:sz w:val="22"/>
              </w:rPr>
              <w:t>Interaction</w:t>
              <w:br/>
            </w:r>
            <w:r>
              <w:rPr>
                <w:b/>
                <w:color w:val="0A7A5A"/>
                <w:sz w:val="20"/>
              </w:rPr>
              <w:t>Weight: 30%</w:t>
            </w:r>
          </w:p>
        </w:tc>
        <w:tc>
          <w:tcPr>
            <w:tcW w:type="dxa" w:w="4533"/>
          </w:tcPr>
          <w:p>
            <w:r>
              <w:rPr>
                <w:color w:val="1F2328"/>
                <w:sz w:val="20"/>
              </w:rPr>
              <w:t>How well did the nurse program the device? Captures dose error magnitude, direction reversals (corrections), boundary hits, and slow entry time. Source: Cauchi et al. (2011) interaction error taxonomy.</w:t>
            </w:r>
          </w:p>
          <w:p>
            <w:r>
              <w:rPr>
                <w:b/>
                <w:color w:val="656D76"/>
                <w:sz w:val="18"/>
              </w:rPr>
              <w:t xml:space="preserve">Source file: </w:t>
            </w:r>
            <w:r>
              <w:rPr>
                <w:rFonts w:ascii="Courier New" w:hAnsi="Courier New"/>
                <w:color w:val="0A7A5A"/>
                <w:sz w:val="18"/>
              </w:rPr>
              <w:t>labellingRules.ts (R01, R02, R08, R10, R14, R15, R21)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160"/>
            <w:shd w:val="clear" w:color="auto" w:fill="EAF0FB"/>
          </w:tcPr>
          <w:p>
            <w:pPr>
              <w:jc w:val="center"/>
            </w:pPr>
            <w:r>
              <w:rPr>
                <w:b/>
                <w:color w:val="0F294D"/>
                <w:sz w:val="26"/>
              </w:rPr>
              <w:t>Layer 2</w:t>
              <w:br/>
            </w:r>
            <w:r>
              <w:rPr>
                <w:color w:val="0969DA"/>
                <w:sz w:val="22"/>
              </w:rPr>
              <w:t>Configuration</w:t>
              <w:br/>
            </w:r>
            <w:r>
              <w:rPr>
                <w:b/>
                <w:color w:val="0A7A5A"/>
                <w:sz w:val="20"/>
              </w:rPr>
              <w:t>Weight: 25%</w:t>
            </w:r>
          </w:p>
        </w:tc>
        <w:tc>
          <w:tcPr>
            <w:tcW w:type="dxa" w:w="4533"/>
          </w:tcPr>
          <w:p>
            <w:r>
              <w:rPr>
                <w:color w:val="1F2328"/>
                <w:sz w:val="20"/>
              </w:rPr>
              <w:t>Was the session set up safely? Captures guardrail blocks/overrides, MANUAL mode use, VTBI absence, and KCl above limits. Source: ISMP High-Alert Medications; IEC 60601-2-24:2012.</w:t>
            </w:r>
          </w:p>
          <w:p>
            <w:r>
              <w:rPr>
                <w:b/>
                <w:color w:val="656D76"/>
                <w:sz w:val="18"/>
              </w:rPr>
              <w:t xml:space="preserve">Source file: </w:t>
            </w:r>
            <w:r>
              <w:rPr>
                <w:rFonts w:ascii="Courier New" w:hAnsi="Courier New"/>
                <w:color w:val="0A7A5A"/>
                <w:sz w:val="18"/>
              </w:rPr>
              <w:t>labellingRules.ts (R03, R04, R07, R11, R12, R13)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160"/>
            <w:shd w:val="clear" w:color="auto" w:fill="EAF0FB"/>
          </w:tcPr>
          <w:p>
            <w:pPr>
              <w:jc w:val="center"/>
            </w:pPr>
            <w:r>
              <w:rPr>
                <w:b/>
                <w:color w:val="0F294D"/>
                <w:sz w:val="26"/>
              </w:rPr>
              <w:t>Layer 3</w:t>
              <w:br/>
            </w:r>
            <w:r>
              <w:rPr>
                <w:color w:val="0969DA"/>
                <w:sz w:val="22"/>
              </w:rPr>
              <w:t>System</w:t>
              <w:br/>
            </w:r>
            <w:r>
              <w:rPr>
                <w:b/>
                <w:color w:val="0A7A5A"/>
                <w:sz w:val="20"/>
              </w:rPr>
              <w:t>Weight: 25%</w:t>
            </w:r>
          </w:p>
        </w:tc>
        <w:tc>
          <w:tcPr>
            <w:tcW w:type="dxa" w:w="4533"/>
          </w:tcPr>
          <w:p>
            <w:r>
              <w:rPr>
                <w:color w:val="1F2328"/>
                <w:sz w:val="20"/>
              </w:rPr>
              <w:t>What was the device's physical and cyber state? Captures firmware CVE, overdue maintenance, low battery, disconnected gateway, high config drift, and recent occlusion alarms. Source: FDA Infusion Pump Safety guidance; CISA ICS-CERT advisories.</w:t>
            </w:r>
          </w:p>
          <w:p>
            <w:r>
              <w:rPr>
                <w:b/>
                <w:color w:val="656D76"/>
                <w:sz w:val="18"/>
              </w:rPr>
              <w:t xml:space="preserve">Source file: </w:t>
            </w:r>
            <w:r>
              <w:rPr>
                <w:rFonts w:ascii="Courier New" w:hAnsi="Courier New"/>
                <w:color w:val="0A7A5A"/>
                <w:sz w:val="18"/>
              </w:rPr>
              <w:t>labellingRules.ts (R05, R06, R16–R20)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3. Composite Score Calculation</w:t>
      </w:r>
    </w:p>
    <w:p>
      <w:pPr>
        <w:spacing w:before="360" w:after="80"/>
      </w:pPr>
      <w:r>
        <w:rPr>
          <w:b/>
          <w:color w:val="0969DA"/>
          <w:sz w:val="28"/>
        </w:rPr>
        <w:t>3.1  Composite Formula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 composite score combines the four layer sub-scores using fixed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3F4F6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0F294D"/>
                <w:sz w:val="24"/>
              </w:rPr>
              <w:t>composite = 0.20 × design  +  0.30 × interaction  +  0.25 × configuration  +  0.25 × system</w:t>
            </w:r>
          </w:p>
        </w:tc>
      </w:tr>
    </w:tbl>
    <w:p>
      <w:pPr>
        <w:spacing w:before="40" w:after="200"/>
        <w:jc w:val="center"/>
      </w:pPr>
      <w:r>
        <w:rPr>
          <w:i/>
          <w:color w:val="656D76"/>
          <w:sz w:val="18"/>
        </w:rPr>
        <w:t>Equation 1 — Composite score formula (values in range 0.0–1.0, clamped to 1.0)</w:t>
      </w:r>
    </w:p>
    <w:p/>
    <w:p>
      <w:pPr>
        <w:spacing w:after="120"/>
      </w:pPr>
      <w:r>
        <w:rPr>
          <w:b w:val="0"/>
          <w:i w:val="0"/>
          <w:color w:val="1F2328"/>
          <w:sz w:val="22"/>
        </w:rPr>
        <w:t>The composite_score is the primary feature used for final risk grading. All four layer sub-scores are themselves clamped to [0.0, 1.0] before being combined. The composite is also clamped to [0.0, 1.0] after summation.</w:t>
      </w:r>
    </w:p>
    <w:p>
      <w:pPr>
        <w:spacing w:before="360" w:after="80"/>
      </w:pPr>
      <w:r>
        <w:rPr>
          <w:b/>
          <w:color w:val="0969DA"/>
          <w:sz w:val="28"/>
        </w:rPr>
        <w:t>3.2  Layer Sub-score Algorithm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Each layer sub-score is computed from the set of risk rules that fired within that layer using the following algorithm (the same algorithm is used for all layers):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3F4F6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0F294D"/>
                <w:sz w:val="24"/>
              </w:rPr>
              <w:t>layer_score  =  max(fired_rule_scores)  +  0.1 × Σ(remaining_rule_scores)</w:t>
            </w:r>
          </w:p>
        </w:tc>
      </w:tr>
    </w:tbl>
    <w:p>
      <w:pPr>
        <w:spacing w:before="40" w:after="200"/>
        <w:jc w:val="center"/>
      </w:pPr>
      <w:r>
        <w:rPr>
          <w:i/>
          <w:color w:val="656D76"/>
          <w:sz w:val="18"/>
        </w:rPr>
        <w:t>Equation 2 — Layer sub-score algorithm (clamped to 1.0)</w:t>
      </w:r>
    </w:p>
    <w:p/>
    <w:p>
      <w:pPr>
        <w:spacing w:after="120"/>
      </w:pPr>
      <w:r>
        <w:rPr>
          <w:b w:val="0"/>
          <w:i w:val="0"/>
          <w:color w:val="1F2328"/>
          <w:sz w:val="22"/>
        </w:rPr>
        <w:t>Rationale for this algorithm:</w:t>
      </w:r>
    </w:p>
    <w:p>
      <w:pPr>
        <w:pStyle w:val="ListBullet"/>
        <w:spacing w:after="60"/>
        <w:ind w:left="360"/>
      </w:pPr>
      <w:r>
        <w:rPr>
          <w:color w:val="1F2328"/>
          <w:sz w:val="22"/>
        </w:rPr>
        <w:t>The dominant rule (highest score) contributes its full value.</w:t>
      </w:r>
    </w:p>
    <w:p>
      <w:pPr>
        <w:pStyle w:val="ListBullet"/>
        <w:spacing w:after="60"/>
        <w:ind w:left="360"/>
      </w:pPr>
      <w:r>
        <w:rPr>
          <w:color w:val="1F2328"/>
          <w:sz w:val="22"/>
        </w:rPr>
        <w:t>Each additional rule contributes only 10% of its score, modelling diminishing returns.</w:t>
      </w:r>
    </w:p>
    <w:p>
      <w:pPr>
        <w:pStyle w:val="ListBullet"/>
        <w:spacing w:after="60"/>
        <w:ind w:left="360"/>
      </w:pPr>
      <w:r>
        <w:rPr>
          <w:color w:val="1F2328"/>
          <w:sz w:val="22"/>
        </w:rPr>
        <w:t>This prevents trivial combinations of low-severity rules from producing the same score as a single critical rule.</w:t>
      </w:r>
    </w:p>
    <w:p>
      <w:pPr>
        <w:pStyle w:val="ListBullet"/>
        <w:spacing w:after="60"/>
        <w:ind w:left="360"/>
      </w:pPr>
      <w:r>
        <w:rPr>
          <w:color w:val="1F2328"/>
          <w:sz w:val="22"/>
        </w:rPr>
        <w:t>The cap at 1.0 ensures the score always remains a probability-like value.</w:t>
      </w:r>
    </w:p>
    <w:p/>
    <w:p>
      <w:pPr>
        <w:spacing w:before="360" w:after="80"/>
      </w:pPr>
      <w:r>
        <w:rPr>
          <w:b/>
          <w:color w:val="0969DA"/>
          <w:sz w:val="28"/>
        </w:rPr>
        <w:t>3.3  Design Score (Layer 0) — Penalty-based Method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Layer 0 uses a different sub-score algorithm — a direct penalty sum rather than a rule-fired approach — because the inputs are continuous properties of the device profile (CVE count, CVSS score, recall count, etc.) rather than binary session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3F4F6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0F294D"/>
                <w:sz w:val="24"/>
              </w:rPr>
              <w:t>design_score  =  Σ(applicable_penalty_weights)  [clamped to 1.0]</w:t>
            </w:r>
          </w:p>
        </w:tc>
      </w:tr>
    </w:tbl>
    <w:p>
      <w:pPr>
        <w:spacing w:before="40" w:after="200"/>
        <w:jc w:val="center"/>
      </w:pPr>
      <w:r>
        <w:rPr>
          <w:i/>
          <w:color w:val="656D76"/>
          <w:sz w:val="18"/>
        </w:rPr>
        <w:t>Equation 3 — Design score penalty sum</w:t>
      </w:r>
    </w:p>
    <w:p/>
    <w:p>
      <w:pPr>
        <w:spacing w:after="120"/>
      </w:pPr>
      <w:r>
        <w:rPr>
          <w:b w:val="0"/>
          <w:i w:val="0"/>
          <w:color w:val="1F2328"/>
          <w:sz w:val="22"/>
        </w:rPr>
        <w:t>Penalty weights (source: deviceDesign.ts — DESIGN_PENALTY_WEIGHTS):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022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Penalty</w:t>
            </w:r>
          </w:p>
        </w:tc>
        <w:tc>
          <w:tcPr>
            <w:tcW w:type="dxa" w:w="3022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No drug library (DERS absent)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+0.30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TPLC Guidance Dec 2014 — drug library is the primary DERS mechanism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Guardrail tiers = 0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+0.25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IEC 60601-2-24:2012 — essential performance for infusion systems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Guardrail tiers = 1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+0.10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IEC 60601-2-24:2012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Guardrail tiers = 2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IEC 60601-2-24:2012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Guardrail tiers = 3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Full advisory + soft + hard = safest tier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No VTBI support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+0.15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IEC 60601-2-24:2012 Section 201.12 — VTBI as essential safety feature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No anti-freeflow protection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+0.10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Generic Infusion Pump Hazard Analysis v1.0 — Hazard H-12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Per CVE (× count, cap 0.40)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CISA ICS-CERT medical advisories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Critical CVE (CVSS ≥ 9.0)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+0.15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NVD CVSS v3.1 severity bands — nvd.nist.gov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Firmware unsigned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+0.15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CVE-2021-33885 (B. Braun CVSS 9.0) — unauthenticated remote firmware replacement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Cleartext transmission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+0.08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CVE-2021-33883, CVE-2022-26390 (Baxter Sigma Spectrum)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Per FDA Class I recall (cap 0.24)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+0.06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MedWatch / MAUDE database — confirmed patient harm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Per FDA Class II recall (cap 0.08)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+0.02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MedWatch — potential harm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Bolus max &gt; 5 ml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+0.08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Amplifies dose error impact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Display quality = basic_numeric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+0.08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Human Factors Engineering Guidance (2011)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Display quality = text_lcd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Human Factors Engineering Guidance (2011)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Display quality = graphic_lcd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FDA Human Factors Engineering Guidance (2011)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Display quality = color_lcd</w:t>
            </w:r>
          </w:p>
        </w:tc>
        <w:tc>
          <w:tcPr>
            <w:tcW w:type="dxa" w:w="3022"/>
          </w:tcPr>
          <w:p>
            <w:r>
              <w:rPr>
                <w:b/>
                <w:color w:val="CF222E"/>
                <w:sz w:val="20"/>
              </w:rPr>
              <w:t>+0.00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Best — no penalty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4. Grade Thresholds and Risk Labels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 composite_score is mapped to an energy-label-style grade (A+ through F) and then to a risk_label (low / medium / high). The grade is the primary human-readable output; the risk_label is the target variable for AI classification.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risk_label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0F7B3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A+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0.00 – 0.10</w:t>
            </w:r>
          </w:p>
        </w:tc>
        <w:tc>
          <w:tcPr>
            <w:tcW w:type="dxa" w:w="1813"/>
          </w:tcPr>
          <w:p>
            <w:r>
              <w:rPr>
                <w:b/>
                <w:color w:val="0F7B3A"/>
                <w:sz w:val="20"/>
              </w:rPr>
              <w:t>LOW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Exceptional — all safety features present, no errors, no CVEs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1A7F37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A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0.11 – 0.20</w:t>
            </w:r>
          </w:p>
        </w:tc>
        <w:tc>
          <w:tcPr>
            <w:tcW w:type="dxa" w:w="1813"/>
          </w:tcPr>
          <w:p>
            <w:r>
              <w:rPr>
                <w:b/>
                <w:color w:val="1A7F37"/>
                <w:sz w:val="20"/>
              </w:rPr>
              <w:t>LOW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Excellent — minor system issues, perfect interaction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2C8C4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0.21 – 0.35</w:t>
            </w:r>
          </w:p>
        </w:tc>
        <w:tc>
          <w:tcPr>
            <w:tcW w:type="dxa" w:w="1813"/>
          </w:tcPr>
          <w:p>
            <w:r>
              <w:rPr>
                <w:b/>
                <w:color w:val="2C8C4A"/>
                <w:sz w:val="20"/>
              </w:rPr>
              <w:t>LOW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Good — some system or design concerns, clean interaction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9A67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C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0.36 – 0.50</w:t>
            </w:r>
          </w:p>
        </w:tc>
        <w:tc>
          <w:tcPr>
            <w:tcW w:type="dxa" w:w="1813"/>
          </w:tcPr>
          <w:p>
            <w:r>
              <w:rPr>
                <w:b/>
                <w:color w:val="9A6700"/>
                <w:sz w:val="20"/>
              </w:rPr>
              <w:t>MEDIUM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Adequate — notable risks in one or more layers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CC77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D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0.51 – 0.65</w:t>
            </w:r>
          </w:p>
        </w:tc>
        <w:tc>
          <w:tcPr>
            <w:tcW w:type="dxa" w:w="1813"/>
          </w:tcPr>
          <w:p>
            <w:r>
              <w:rPr>
                <w:b/>
                <w:color w:val="CC7700"/>
                <w:sz w:val="20"/>
              </w:rPr>
              <w:t>MEDIUM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Poor — multiple risk factors across layers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CF222E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E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0.66 – 0.80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0"/>
              </w:rPr>
              <w:t>HIGH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Very poor — significant design risk and/or session issues</w:t>
            </w:r>
          </w:p>
        </w:tc>
        <w:tc>
          <w:tcPr>
            <w:tcW w:type="dxa" w:w="1813"/>
          </w:tcPr>
          <w:p/>
        </w:tc>
      </w:tr>
      <w:tr>
        <w:tc>
          <w:tcPr>
            <w:tcW w:type="dxa" w:w="1813"/>
            <w:shd w:val="clear" w:color="auto" w:fill="8B00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0.81 – 1.00</w:t>
            </w:r>
          </w:p>
        </w:tc>
        <w:tc>
          <w:tcPr>
            <w:tcW w:type="dxa" w:w="1813"/>
          </w:tcPr>
          <w:p>
            <w:r>
              <w:rPr>
                <w:b/>
                <w:color w:val="8B0000"/>
                <w:sz w:val="20"/>
              </w:rPr>
              <w:t>HIGH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Critical — severe design risk, major session error, or both</w:t>
            </w:r>
          </w:p>
        </w:tc>
        <w:tc>
          <w:tcPr>
            <w:tcW w:type="dxa" w:w="1813"/>
          </w:tcPr>
          <w:p/>
        </w:tc>
      </w:tr>
    </w:tbl>
    <w:p/>
    <w:p>
      <w:pPr>
        <w:spacing w:after="120"/>
        <w:ind w:left="288"/>
      </w:pPr>
      <w:r>
        <w:rPr>
          <w:b/>
          <w:color w:val="9A6700"/>
          <w:sz w:val="20"/>
        </w:rPr>
        <w:t xml:space="preserve">Note: </w:t>
      </w:r>
      <w:r>
        <w:rPr>
          <w:i/>
          <w:color w:val="656D76"/>
          <w:sz w:val="20"/>
        </w:rPr>
        <w:t>A single HIGH risk rule firing does not automatically set risk_label = "high" in the composite model. The grade is always derived from the composite_score. However, B. Braun-specific device rules (BB-R02, BB-R05) do force a HIGH label override when they fire, because they represent immediate, session-active threats (network + unsigned firmware, or FDA-recalled device).</w:t>
      </w:r>
    </w:p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5. Risk Rules — Complete Specification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Rules R01–R21 are generic (all devices). B. Braun-specific rules BB-R01–BB-R05 supplement the generic rules for the Infusomat Space model.</w:t>
      </w:r>
    </w:p>
    <w:p>
      <w:pPr>
        <w:spacing w:before="360" w:after="80"/>
      </w:pPr>
      <w:r>
        <w:rPr>
          <w:b/>
          <w:color w:val="0969DA"/>
          <w:sz w:val="28"/>
        </w:rPr>
        <w:t>5.1  HIGH Risk Rules (R01–R08)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Any single HIGH rule firing is sufficient to set risk_label = "high" via the composite grade.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Test Condition</w:t>
            </w:r>
          </w:p>
        </w:tc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11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 Interaction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1.00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relative_error ≥ 0.90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10× dose error (≥90% relative error)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Thimbleby &amp; Cairns (2010) J. Royal Society Interface 7(51) — 10× dose errors are the most severe category of programming error identified in the dose error taxonomy.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R02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 Interaction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0.85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relative_error ≥ 0.50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50% dose error (≥50% relative error)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Thimbleby &amp; Cairns (2010) — 50% error threshold; ISMP Medication Error Reports.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R03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 Configuration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0.80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guardrail_blocked = 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Hard guardrail limit triggered (blocked from infusing)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IEC 60601-2-24:2012 Section 201.12 — hard limits define the absolute safe operating range; triggering them indicates programming outside the verified therapeutic window.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R04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 Configuration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0.75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drug_library_used = 0 AND final_rate_ml_h &gt; 200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MANUAL mode with high rate (&gt;200 ml/h) — no library protection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FDA TPLC Guidance Dec 2014 — MANUAL mode bypasses all DERS; high rates amplify the consequence of any concurrent programming error.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R05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 System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0.70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firmware_version_risk = 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Firmware version has known CVE vulnerability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CISA ICS-CERT medical device advisories. CVE list includes: 6.0.2, 7.1.0, 8.05, 8.1.3 (BD Alaris). CVE-2022-22772 (CVSS 9.8) — unauthenticated remote access.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R06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 System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0.65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days_since_maintenance &gt; 365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No maintenance in &gt;1 year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FDA Infusion Pump Safety guidance — maintenance overdue by &gt;1 year is associated with increased hardware failure rate and undetected calibration drift.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R07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 Configuration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0.90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drug_id = "kcl" AND rate_within_soft_limits = 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KCl rate above soft limits — cardiac arrest risk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ISMP High-Alert Medications list — KCl is classified as a high-alert drug. Rapid KCl infusion above soft limits is associated with fatal cardiac arrhythmia. National Patient Safety Agency (UK) Safety Alert 2002.</w:t>
            </w:r>
          </w:p>
        </w:tc>
      </w:tr>
      <w:tr>
        <w:tc>
          <w:tcPr>
            <w:tcW w:type="dxa" w:w="1511"/>
            <w:shd w:val="clear" w:color="auto" w:fill="FFF0F0"/>
          </w:tcPr>
          <w:p>
            <w:r>
              <w:rPr>
                <w:b/>
                <w:color w:val="CF222E"/>
                <w:sz w:val="20"/>
              </w:rPr>
              <w:t>R08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 Interaction</w:t>
            </w:r>
          </w:p>
        </w:tc>
        <w:tc>
          <w:tcPr>
            <w:tcW w:type="dxa" w:w="1511"/>
          </w:tcPr>
          <w:p>
            <w:r>
              <w:rPr>
                <w:b/>
                <w:color w:val="CF222E"/>
                <w:sz w:val="20"/>
              </w:rPr>
              <w:t>0.80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confirmed_incorrect = 1 AND relative_error &gt; 0.10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Confirmed wrong value — infusion started with &gt;10% error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Cauchi et al. (2011) EICS4Med — confirmed commitment to an incorrect value despite the opportunity to review; models the "confirmation bias" failure mode.</w:t>
            </w:r>
          </w:p>
        </w:tc>
      </w:tr>
    </w:tbl>
    <w:p/>
    <w:p>
      <w:pPr>
        <w:spacing w:before="360" w:after="80"/>
      </w:pPr>
      <w:r>
        <w:rPr>
          <w:b/>
          <w:color w:val="0969DA"/>
          <w:sz w:val="28"/>
        </w:rPr>
        <w:t>5.2  MEDIUM Risk Rules (R10–R21)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Any single MEDIUM rule firing (without a HIGH rule) is sufficient for risk_label = "medium". Multiple MEDIUM rules accumulate via the layer sub-score algorithm.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Test Condition</w:t>
            </w:r>
          </w:p>
        </w:tc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11"/>
            <w:shd w:val="clear" w:color="auto" w:fill="7A5500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0.40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relative_error ≥ 0.10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10% dose error (≥10% relative error)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Thimbleby &amp; Cairns (2010) — 10% is the clinical significance threshold below which most drug effects are within normal pharmacokinetic variability.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0.45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guardrail_override = 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Soft guardrail warning overridden by operator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Cauchi et al. (2011); AAMI TIR12:2010 — guardrail overrides are the primary failure mode identified in DERS implementation studies.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R12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0.30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drug_library_used = 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MANUAL mode — no drug library protection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FDA TPLC Guidance — MANUAL mode removes all DERS guardrail protection.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R13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0.25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vtbi_set = 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VTBI not set — no infusion completion detection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IEC 60601-2-24:2012 Section 201.12; BD Alaris GP DFU BDDF00535 Issue 4.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R14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0.30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correction_count &gt; 5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Excessive corrections during entry (&gt;5 direction reversals)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Cauchi et al. (2011) — correction count is the primary behavioural indicator of number entry difficulty correlated with error probability.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R15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0.20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boundary_hit_count &gt; 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Boundary hit during rate entry — operator tested device limits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Cauchi et al. (2011) — boundary hits indicate navigation to the extreme of the allowed range, associated with high-error sessions.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R16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0.25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drug_library_age_days &gt; 90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Drug library outdated (&gt;90 days since update)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BD Alaris GP DFU recommends library updates per hospital formulary change cycle; ISMP recommends quarterly review minimum.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R17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0.35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battery_level_pct &lt; 20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Battery critically low (&lt;20%)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BD Alaris GP DFU Section 5 — battery warning at &lt;30 min remaining; &lt;20% approximates this threshold.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R18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0.30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network_connected = 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Not connected to Gateway — no remote monitoring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FDA Infusion Pump Safety guidance — network connectivity enables dose error reporting, library push, and remote alarm monitoring.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R19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0.30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config_drift_score &gt; 0.50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High configuration drift (&gt;0.5) from hospital standard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AAMI TIR12:2010 — configuration drift from hospital-standard settings is identified as a systemic risk factor for pumps in ward use.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R20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0.40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recent_occlusion_alarms ≥ 3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Recent occlusion alarms (≥3 in last 24h)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FDA MAUDE database — repeat occlusion alarms in the same 24-hour period indicate mechanical issues (kinked line, failing pump mechanism).</w:t>
            </w:r>
          </w:p>
        </w:tc>
      </w:tr>
      <w:tr>
        <w:tc>
          <w:tcPr>
            <w:tcW w:type="dxa" w:w="1511"/>
            <w:shd w:val="clear" w:color="auto" w:fill="FFFBF0"/>
          </w:tcPr>
          <w:p>
            <w:r>
              <w:rPr>
                <w:b/>
                <w:color w:val="9A6700"/>
                <w:sz w:val="20"/>
              </w:rPr>
              <w:t>R21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511"/>
          </w:tcPr>
          <w:p>
            <w:r>
              <w:rPr>
                <w:b/>
                <w:color w:val="9A6700"/>
                <w:sz w:val="20"/>
              </w:rPr>
              <w:t>0.20</w:t>
            </w:r>
          </w:p>
        </w:tc>
        <w:tc>
          <w:tcPr>
            <w:tcW w:type="dxa" w:w="1511"/>
          </w:tcPr>
          <w:p>
            <w:r>
              <w:rPr>
                <w:rFonts w:ascii="Courier New" w:hAnsi="Courier New"/>
                <w:color w:val="0F294D"/>
                <w:sz w:val="16"/>
              </w:rPr>
              <w:t>entry_time_ms &gt; 60000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Slow rate entry (&gt;60 seconds)</w:t>
            </w:r>
          </w:p>
        </w:tc>
        <w:tc>
          <w:tcPr>
            <w:tcW w:type="dxa" w:w="1511"/>
          </w:tcPr>
          <w:p>
            <w:r>
              <w:rPr>
                <w:sz w:val="16"/>
              </w:rPr>
              <w:t>Cauchi et al. (2011) — entry time &gt;60s correlated with confusion and higher error probability in the number entry study.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b/>
          <w:color w:val="0969DA"/>
          <w:sz w:val="28"/>
        </w:rPr>
        <w:t>5.3  B. Braun-Specific Rules (BB-R01–BB-R05)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These rules supplement R01–R21 specifically for the B. Braun Infusomat Space. They are implemented in braunRules.ts and applied in addition to the generic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295"/>
            <w:shd w:val="clear" w:color="auto" w:fill="0F294D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BB-R01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HIGH → MEDIUM*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L3 System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0.75</w:t>
            </w:r>
          </w:p>
        </w:tc>
        <w:tc>
          <w:tcPr>
            <w:tcW w:type="dxa" w:w="1295"/>
          </w:tcPr>
          <w:p>
            <w:r>
              <w:rPr>
                <w:rFonts w:ascii="Courier New" w:hAnsi="Courier New"/>
                <w:color w:val="0F294D"/>
                <w:sz w:val="16"/>
              </w:rPr>
              <w:t>firmware_signed = 0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Firmware not cryptographically signed — systemic background risk</w:t>
            </w:r>
          </w:p>
        </w:tc>
        <w:tc>
          <w:tcPr>
            <w:tcW w:type="dxa" w:w="1295"/>
          </w:tcPr>
          <w:p>
            <w:r>
              <w:rPr>
                <w:sz w:val="16"/>
              </w:rPr>
              <w:t>CISA ICSMA-21-294-01 — CVE-2021-33885 (CVSS 9.0). *Reclassified MEDIUM because this is a permanent device property already penalised in Layer 0 design_score. Exploitation requires active network access; without SpaceCom2 connected there is no immediate session-level threat.</w:t>
            </w:r>
          </w:p>
        </w:tc>
      </w:tr>
      <w:tr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BB-R02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HIGH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L3 System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0.85</w:t>
            </w:r>
          </w:p>
        </w:tc>
        <w:tc>
          <w:tcPr>
            <w:tcW w:type="dxa" w:w="1295"/>
          </w:tcPr>
          <w:p>
            <w:r>
              <w:rPr>
                <w:rFonts w:ascii="Courier New" w:hAnsi="Courier New"/>
                <w:color w:val="0F294D"/>
                <w:sz w:val="16"/>
              </w:rPr>
              <w:t>spacecom2_connected = 1 AND firmware_signed = 0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Networked device with unsigned firmware — actively exploitable this session</w:t>
            </w:r>
          </w:p>
        </w:tc>
        <w:tc>
          <w:tcPr>
            <w:tcW w:type="dxa" w:w="1295"/>
          </w:tcPr>
          <w:p>
            <w:r>
              <w:rPr>
                <w:sz w:val="16"/>
              </w:rPr>
              <w:t>CISA ICSMA-21-294-01 — CVE-2021-33882 (CVSS 7.7): missing authentication for network commands. Combined with unsigned firmware = attacker on same network can modify pump parameters without credentials. Immediate session-active threat.</w:t>
            </w:r>
          </w:p>
        </w:tc>
      </w:tr>
      <w:tr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BB-R03</w:t>
            </w:r>
          </w:p>
        </w:tc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MEDIUM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L2 Configuration</w:t>
            </w:r>
          </w:p>
        </w:tc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0.35</w:t>
            </w:r>
          </w:p>
        </w:tc>
        <w:tc>
          <w:tcPr>
            <w:tcW w:type="dxa" w:w="1295"/>
          </w:tcPr>
          <w:p>
            <w:r>
              <w:rPr>
                <w:rFonts w:ascii="Courier New" w:hAnsi="Courier New"/>
                <w:color w:val="0F294D"/>
                <w:sz w:val="16"/>
              </w:rPr>
              <w:t>guardrail_advisory_acknowledged = 1 AND guardrail_warning_shown = 1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Advisory dismissed, then soft limit subsequently triggered</w:t>
            </w:r>
          </w:p>
        </w:tc>
        <w:tc>
          <w:tcPr>
            <w:tcW w:type="dxa" w:w="1295"/>
          </w:tcPr>
          <w:p>
            <w:r>
              <w:rPr>
                <w:sz w:val="16"/>
              </w:rPr>
              <w:t>B. Braun IFU — Advisory tier is the earliest warning before soft stop. Dismissing it then crossing the soft limit indicates escalating boundary-pushing behaviour correlated with dose error risk.</w:t>
            </w:r>
          </w:p>
        </w:tc>
      </w:tr>
      <w:tr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BB-R04</w:t>
            </w:r>
          </w:p>
        </w:tc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MEDIUM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L2 Configuration</w:t>
            </w:r>
          </w:p>
        </w:tc>
        <w:tc>
          <w:tcPr>
            <w:tcW w:type="dxa" w:w="1295"/>
          </w:tcPr>
          <w:p>
            <w:r>
              <w:rPr>
                <w:b/>
                <w:color w:val="9A6700"/>
                <w:sz w:val="18"/>
              </w:rPr>
              <w:t>0.30</w:t>
            </w:r>
          </w:p>
        </w:tc>
        <w:tc>
          <w:tcPr>
            <w:tcW w:type="dxa" w:w="1295"/>
          </w:tcPr>
          <w:p>
            <w:r>
              <w:rPr>
                <w:rFonts w:ascii="Courier New" w:hAnsi="Courier New"/>
                <w:color w:val="0F294D"/>
                <w:sz w:val="16"/>
              </w:rPr>
              <w:t>bolus_delivered = 1 AND bolus_volume_ml &gt; 1.5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Bolus volume &gt; 75% of device maximum (&gt;1.5 ml of 2.0 ml max)</w:t>
            </w:r>
          </w:p>
        </w:tc>
        <w:tc>
          <w:tcPr>
            <w:tcW w:type="dxa" w:w="1295"/>
          </w:tcPr>
          <w:p>
            <w:r>
              <w:rPr>
                <w:sz w:val="16"/>
              </w:rPr>
              <w:t>B. Braun IFU — Bolus Volume Max 2 ml. For concentrated drugs (KCl 1 mmol/ml, heparin 1000 U/ml), a near-maximum bolus delivers a clinically significant unintended dose. 75% threshold follows standard near-maximum operation margin.</w:t>
            </w:r>
          </w:p>
        </w:tc>
      </w:tr>
      <w:tr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BB-R05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HIGH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L0 Design</w:t>
            </w:r>
          </w:p>
        </w:tc>
        <w:tc>
          <w:tcPr>
            <w:tcW w:type="dxa" w:w="1295"/>
          </w:tcPr>
          <w:p>
            <w:r>
              <w:rPr>
                <w:b/>
                <w:color w:val="CF222E"/>
                <w:sz w:val="18"/>
              </w:rPr>
              <w:t>0.90</w:t>
            </w:r>
          </w:p>
        </w:tc>
        <w:tc>
          <w:tcPr>
            <w:tcW w:type="dxa" w:w="1295"/>
          </w:tcPr>
          <w:p>
            <w:r>
              <w:rPr>
                <w:rFonts w:ascii="Courier New" w:hAnsi="Courier New"/>
                <w:color w:val="0F294D"/>
                <w:sz w:val="16"/>
              </w:rPr>
              <w:t>recall_batch_affected = 1</w:t>
            </w:r>
          </w:p>
        </w:tc>
        <w:tc>
          <w:tcPr>
            <w:tcW w:type="dxa" w:w="1295"/>
          </w:tcPr>
          <w:p>
            <w:r>
              <w:rPr>
                <w:sz w:val="18"/>
              </w:rPr>
              <w:t>Device in FDA 2023 Class I recall scope — faulty occlusion alarm</w:t>
            </w:r>
          </w:p>
        </w:tc>
        <w:tc>
          <w:tcPr>
            <w:tcW w:type="dxa" w:w="1295"/>
          </w:tcPr>
          <w:p>
            <w:r>
              <w:rPr>
                <w:sz w:val="16"/>
              </w:rPr>
              <w:t>FDA Class I Recall Z-0601-2024 (November 2023): faulty occlusion detection software. ~10,600 devices affected. Pump fails to alarm on downstream occlusion at certain flow rates. One confirmed patient death — vasopressor (noradrenaline) interruption without staff alert.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6. Sources and References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Cauchi et al. (2011). </w:t>
      </w:r>
      <w:r>
        <w:rPr>
          <w:color w:val="1F2328"/>
          <w:sz w:val="20"/>
        </w:rPr>
        <w:t>Cauchi M, Curzon P, Blandford A. "Towards Dependable Number Entry for Medical Devices." EICS4Med Workshop @ CHI-MED Project. Cambridge, 2011. Primary source for R08, R10, R14, R15, R21 — interaction error taxonomy.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Thimbleby &amp; Cairns (2010). </w:t>
      </w:r>
      <w:r>
        <w:rPr>
          <w:color w:val="1F2328"/>
          <w:sz w:val="20"/>
        </w:rPr>
        <w:t>Thimbleby H, Cairns P. "Reducing Number Entry Errors: Solving a Widespread, Serious Problem." J. Royal Society Interface 7(51):1429–1439. 2010. Source for R01, R02, R10 — dose error magnitude thresholds.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IEC 60601-2-24:2012. </w:t>
      </w:r>
      <w:r>
        <w:rPr>
          <w:color w:val="1F2328"/>
          <w:sz w:val="20"/>
        </w:rPr>
        <w:t>International Electrotechnical Commission. "Medical electrical equipment — Part 2-24: Particular requirements for the basic safety and essential performance of infusion pumps and controllers." IEC 60601-2-24:2012+AMD1:2020. Source for R03, R13 — VTBI and guardrail essential performance requirements.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FDA TPLC Guidance (2014). </w:t>
      </w:r>
      <w:r>
        <w:rPr>
          <w:color w:val="1F2328"/>
          <w:sz w:val="20"/>
        </w:rPr>
        <w:t>U.S. Food and Drug Administration. "Infusion Pumps Total Product Life Cycle: Guidance for Industry and FDA Staff." December 2014. Source for R04, R05, R12 — DERS implementation, MANUAL mode risk, firmware CVE.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FDA Infusion Pump Safety. </w:t>
      </w:r>
      <w:r>
        <w:rPr>
          <w:color w:val="1F2328"/>
          <w:sz w:val="20"/>
        </w:rPr>
        <w:t>U.S. FDA. "Infusion Pumps." fda.gov/medical-devices/infusion-pumps. Source for R06, R17, R18 — maintenance, battery, network monitoring.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ISMP High-Alert Medications. </w:t>
      </w:r>
      <w:r>
        <w:rPr>
          <w:color w:val="1F2328"/>
          <w:sz w:val="20"/>
        </w:rPr>
        <w:t>Institute for Safe Medication Practices. "ISMP List of High-Alert Medications in Acute Care Settings." 2018. www.ismp.org/tools/highalertmedications.pdf. Source for R07 — KCl cardiac arrest risk; R11, R12 — guardrail override consequences.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BD Alaris GP DFU. </w:t>
      </w:r>
      <w:r>
        <w:rPr>
          <w:color w:val="1F2328"/>
          <w:sz w:val="20"/>
        </w:rPr>
        <w:t>BD (Becton, Dickinson &amp; CareFusion). "Alaris GP Volumetric Pump — Directions For Use." BD document 1000DF00152 Issue 1 / BDDF00535 Issue 4. Source for device constants (RATE_MIN/MAX, VTBI_MAX, KVO_RATE, BOLUS_RATE), R13, R16.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CISA ICSMA-21-294-01. </w:t>
      </w:r>
      <w:r>
        <w:rPr>
          <w:color w:val="1F2328"/>
          <w:sz w:val="20"/>
        </w:rPr>
        <w:t>Cybersecurity and Infrastructure Security Agency. "B. Braun Infusomat Space Large Volume Pump and SpaceStation." ICS Medical Advisory ICSMA-21-294-01. October 2021. CVE-2021-33885 (CVSS 9.0) — unauthenticated firmware modification. CVE-2021-33882 (CVSS 7.7) — missing auth for network commands. CVE-2021-33883 — cleartext data transmission. Source for BB-R01, BB-R02.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CISA ICSMA-23-194-01. </w:t>
      </w:r>
      <w:r>
        <w:rPr>
          <w:color w:val="1F2328"/>
          <w:sz w:val="20"/>
        </w:rPr>
        <w:t>Cybersecurity and Infrastructure Security Agency. "BD Alaris Infusion System." ICS Medical Advisory ICSMA-23-194-01. July 2023. 13 vulnerabilities. CVE-2022-22772 (CVSS 9.8) — unauthenticated remote access. Source for R05.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CISA ICSMA-22-251-01. </w:t>
      </w:r>
      <w:r>
        <w:rPr>
          <w:color w:val="1F2328"/>
          <w:sz w:val="20"/>
        </w:rPr>
        <w:t>Cybersecurity and Infrastructure Security Agency. "Baxter Sigma Spectrum Infusion Pumps." ICS Medical Advisory ICSMA-22-251-01. September 2022. CVE-2022-26390 (CVSS 7.5) — cleartext transmission. Source for deviceDesign.ts sigma_spectrum.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CISA ICSMA-16-306-01. </w:t>
      </w:r>
      <w:r>
        <w:rPr>
          <w:color w:val="1F2328"/>
          <w:sz w:val="20"/>
        </w:rPr>
        <w:t>Cybersecurity and Infrastructure Security Agency. "Smiths Medical CADD-Solis Infusion Pump." ICS Medical Advisory ICSMA-16-306-01. November 2016. CVE-2016-8375 (CVSS 9.9) — patient-accessible memory with credentials in plaintext. Source for deviceDesign.ts cadd_solis.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FDA Recall Z-0601-2024. </w:t>
      </w:r>
      <w:r>
        <w:rPr>
          <w:color w:val="1F2328"/>
          <w:sz w:val="20"/>
        </w:rPr>
        <w:t>U.S. Food and Drug Administration. "B. Braun Medical Inc. Infusomat Space and Infusomat fmS Large Volume Pumps." Class I Recall Z-0601-2024. November 2023. ~10,600 devices affected — faulty occlusion detection software. One confirmed patient death (vasopressor interruption). Source for BB-R05.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NPSA Safety Alert 2010. </w:t>
      </w:r>
      <w:r>
        <w:rPr>
          <w:color w:val="1F2328"/>
          <w:sz w:val="20"/>
        </w:rPr>
        <w:t>National Patient Safety Agency (UK). "Safer use of injectable medicines." NPSA/2010/RRR013. 2010. Graseby syringe driver safety alert — opioid overdose deaths. Source for graseby_3100 design profile rationale.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AAMI TIR12:2010. </w:t>
      </w:r>
      <w:r>
        <w:rPr>
          <w:color w:val="1F2328"/>
          <w:sz w:val="20"/>
        </w:rPr>
        <w:t>Association for the Advancement of Medical Instrumentation. "Infusion System Risk Management and Safety." AAMI TIR12:2010. Source for R11, R12, R19.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Generic Infusion Pump Hazard Analysis v1.0. </w:t>
      </w:r>
      <w:r>
        <w:rPr>
          <w:color w:val="1F2328"/>
          <w:sz w:val="20"/>
        </w:rPr>
        <w:t>FDA-funded report. ResearchGate. "Generic Infusion Pump Hazard Analysis." Hazard H-12 — gravity-driven freeflow bolus on set disconnection. Source for NO_ANTI_FREEFLOW penalty in deviceDesign.ts.</w:t>
      </w:r>
    </w:p>
    <w:p>
      <w:pPr>
        <w:spacing w:after="100"/>
        <w:ind w:left="288" w:hanging="288"/>
      </w:pPr>
      <w:r>
        <w:rPr>
          <w:b/>
          <w:color w:val="0F294D"/>
          <w:sz w:val="20"/>
        </w:rPr>
        <w:t xml:space="preserve">PVSio-web Formal Model. </w:t>
      </w:r>
      <w:r>
        <w:rPr>
          <w:color w:val="1F2328"/>
          <w:sz w:val="20"/>
        </w:rPr>
        <w:t>Masci P, et al. "PVSio-web: A Tool for Rapid Prototyping Device Interfaces." github.com/pvsioweb/pvsio-web/tree/master/examples/demos/AlarisGP. Demo: pvsioweb.org/demos/AlarisGP. Source for state machine transitions.</w:t>
      </w:r>
    </w:p>
    <w:p>
      <w:r>
        <w:br w:type="page"/>
      </w:r>
    </w:p>
    <w:p>
      <w:pPr>
        <w:spacing w:before="480" w:after="120"/>
        <w:pBdr>
          <w:bottom w:val="single" w:sz="6" w:space="4" w:color="0969DA"/>
        </w:pBdr>
      </w:pPr>
      <w:r>
        <w:rPr>
          <w:b/>
          <w:color w:val="0F294D"/>
          <w:sz w:val="40"/>
        </w:rPr>
        <w:t>7. Device Design Scores — Layer 0 Leaderboard</w:t>
      </w:r>
    </w:p>
    <w:p>
      <w:pPr>
        <w:spacing w:after="120"/>
      </w:pPr>
      <w:r>
        <w:rPr>
          <w:b w:val="0"/>
          <w:i w:val="0"/>
          <w:color w:val="1F2328"/>
          <w:sz w:val="22"/>
        </w:rPr>
        <w:t>Pre-computed design scores for all registered device profiles. Lower score = safer design. Sorted safest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model_id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1813"/>
            <w:shd w:val="clear" w:color="auto" w:fill="0F294D"/>
          </w:tcPr>
          <w:p>
            <w:r>
              <w:rPr>
                <w:b/>
                <w:color w:val="FFFFFF"/>
                <w:sz w:val="20"/>
              </w:rPr>
              <w:t>Key Penalties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B. Braun Infusomat Space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braun_infusomat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2"/>
              </w:rPr>
              <w:t>0.73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4"/>
              </w:rPr>
              <w:t>E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5 CVEs, CVSS 9.0, unsigned firmware, cleartext, 2×Class I, 1×Class II, graphic LCD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BD Alaris GP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alaris_gp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2"/>
              </w:rPr>
              <w:t>0.88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4"/>
              </w:rPr>
              <w:t>F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13 CVEs, CVSS 9.8, unsigned firmware, cleartext, 3×Class I, 2×Class II, text LCD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Fresenius Kabi Agilia VP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agilia_vp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2"/>
              </w:rPr>
              <w:t>0.85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4"/>
              </w:rPr>
              <w:t>F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13 CVEs, CVSS 7.5, unsigned firmware, cleartext, 1×Class I, graphic LCD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CADD-Solis PCA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cadd_solis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2"/>
              </w:rPr>
              <w:t>0.82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4"/>
              </w:rPr>
              <w:t>F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 CVEs, CVSS 9.9, no anti-freeflow, no KVO, 3×Class I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Baxter Sigma Spectrum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sigma_spectrum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2"/>
              </w:rPr>
              <w:t>0.67</w:t>
            </w:r>
          </w:p>
        </w:tc>
        <w:tc>
          <w:tcPr>
            <w:tcW w:type="dxa" w:w="1813"/>
          </w:tcPr>
          <w:p>
            <w:r>
              <w:rPr>
                <w:b/>
                <w:color w:val="CF222E"/>
                <w:sz w:val="24"/>
              </w:rPr>
              <w:t>E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4 CVEs, CVSS 7.5, unsigned firmware, cleartext, 3×Class I, color LCD (best display)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ICU Medical Plum 360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plum_360</w:t>
            </w:r>
          </w:p>
        </w:tc>
        <w:tc>
          <w:tcPr>
            <w:tcW w:type="dxa" w:w="1813"/>
          </w:tcPr>
          <w:p>
            <w:r>
              <w:rPr>
                <w:b/>
                <w:color w:val="0A7A5A"/>
                <w:sz w:val="22"/>
              </w:rPr>
              <w:t>0.38</w:t>
            </w:r>
          </w:p>
        </w:tc>
        <w:tc>
          <w:tcPr>
            <w:tcW w:type="dxa" w:w="1813"/>
          </w:tcPr>
          <w:p>
            <w:r>
              <w:rPr>
                <w:b/>
                <w:color w:val="0A7A5A"/>
                <w:sz w:val="24"/>
              </w:rPr>
              <w:t>C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0 CVEs, no cleartext, unsigned firmware, 2×Class I, text LCD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Graseby 3100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color w:val="0969DA"/>
                <w:sz w:val="18"/>
              </w:rPr>
              <w:t>graseby_3100</w:t>
            </w:r>
          </w:p>
        </w:tc>
        <w:tc>
          <w:tcPr>
            <w:tcW w:type="dxa" w:w="1813"/>
          </w:tcPr>
          <w:p>
            <w:r>
              <w:rPr>
                <w:b/>
                <w:color w:val="9A6700"/>
                <w:sz w:val="22"/>
              </w:rPr>
              <w:t>0.63</w:t>
            </w:r>
          </w:p>
        </w:tc>
        <w:tc>
          <w:tcPr>
            <w:tcW w:type="dxa" w:w="1813"/>
          </w:tcPr>
          <w:p>
            <w:r>
              <w:rPr>
                <w:b/>
                <w:color w:val="9A6700"/>
                <w:sz w:val="24"/>
              </w:rPr>
              <w:t>D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No drug library, no guardrails, no VTBI, no anti-freeflow, no KVO, basic numeric display</w:t>
            </w:r>
          </w:p>
        </w:tc>
      </w:tr>
    </w:tbl>
    <w:p/>
    <w:p>
      <w:pPr>
        <w:spacing w:after="120"/>
        <w:ind w:left="288"/>
      </w:pPr>
      <w:r>
        <w:rPr>
          <w:b/>
          <w:color w:val="9A6700"/>
          <w:sz w:val="20"/>
        </w:rPr>
        <w:t xml:space="preserve">Note: </w:t>
      </w:r>
      <w:r>
        <w:rPr>
          <w:i/>
          <w:color w:val="656D76"/>
          <w:sz w:val="20"/>
        </w:rPr>
        <w:t>Scores are computed at module load time from DEVICE_PROFILES_RAW in deviceDesign.ts and cached in DEVICE_REGISTRY. They are stable across all sessions for a given device model.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