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rFonts w:ascii="Times New Roman" w:hAnsi="Times New Roman"/>
          <w:b/>
          <w:sz w:val="32"/>
        </w:rPr>
        <w:t>From Manual to Model: Simulation-Enabled Safety and Security Research for Infusion Pumps</w:t>
      </w:r>
    </w:p>
    <w:p>
      <w:pPr>
        <w:spacing w:after="80"/>
        <w:jc w:val="center"/>
      </w:pPr>
      <w:r>
        <w:rPr>
          <w:rFonts w:ascii="Times New Roman" w:hAnsi="Times New Roman"/>
          <w:i/>
          <w:sz w:val="22"/>
        </w:rPr>
        <w:t>[Author names and affiliations — to be completed]</w:t>
      </w:r>
    </w:p>
    <w:p/>
    <w:p>
      <w:pPr>
        <w:pStyle w:val="Heading1"/>
      </w:pPr>
      <w:r>
        <w:rPr>
          <w:rFonts w:ascii="Times New Roman" w:hAnsi="Times New Roman"/>
          <w:b/>
          <w:sz w:val="26"/>
        </w:rPr>
        <w:t>Abstract</w:t>
      </w:r>
    </w:p>
    <w:p>
      <w:pPr>
        <w:spacing w:after="120" w:before="0" w:line="280" w:lineRule="exact"/>
        <w:jc w:val="both"/>
      </w:pPr>
      <w:r>
        <w:rPr>
          <w:rFonts w:ascii="Times New Roman" w:hAnsi="Times New Roman"/>
          <w:b w:val="0"/>
          <w:i w:val="0"/>
          <w:sz w:val="24"/>
        </w:rPr>
        <w:t>Infusion pump safety research is structurally constrained by a physical access problem: the devices most implicated in serious medication errors are the most expensive and operationally restricted to acquire for research purposes. A single large-volume pump with drug library licensing can exceed £10,000, and comparative studies spanning multiple device families are rarely feasible outside manufacturer partnerships. This paper presents a methodology — and the open-source simulation platform it produced — for building behaviorally faithful software replicas of clinical infusion pumps directly from manufacturer Directions for Use (DFU) documents. The methodology follows four reproducible steps: DFU analysis, pure functional state machine encoding, guardrail logic implementation, and automated data pipeline construction. Three complete device simulators are described: the BD Alaris GP volumetric pump (two-tier guardrail, ten screen states, validated against the published PVSio-web formal model), the B. Braun Infusomat Space (three-tier guardrail, SpaceCom2 network module, firmware vulnerabilities CVE-2021-33885 and CVE-2021-33882), and the Graseby 3100 syringe driver (zero guardrails, the defining clinical safety risk of its era). A 58-test Behavioural Fidelity Validation suite — in which every assertion is traceable to a specific DFU section, formal model reference, or published CVE advisory — achieves 100% pass rate across all three devices. The platform generates structured training datasets for AI-based safety and security research at thousands of scenarios per minute, and enables cross-device comparative analysis that would be logistically infeasible with physical hardware. The codebase comprises approximately 18,000 lines of TypeScript and is released as open-source software.</w:t>
      </w:r>
    </w:p>
    <w:p>
      <w:pPr>
        <w:spacing w:after="120" w:before="0" w:line="280" w:lineRule="exact"/>
        <w:jc w:val="both"/>
      </w:pPr>
      <w:r>
        <w:rPr>
          <w:rFonts w:ascii="Times New Roman" w:hAnsi="Times New Roman"/>
          <w:b w:val="0"/>
          <w:i/>
          <w:sz w:val="24"/>
        </w:rPr>
        <w:t>Keywords: infusion pump simulation, behavioural fidelity, medical device safety, guardrail systems, cybersecurity, open-source research platform</w:t>
      </w:r>
    </w:p>
    <w:p/>
    <w:p>
      <w:pPr>
        <w:pStyle w:val="Heading1"/>
      </w:pPr>
      <w:r>
        <w:rPr>
          <w:rFonts w:ascii="Times New Roman" w:hAnsi="Times New Roman"/>
          <w:b/>
          <w:sz w:val="26"/>
        </w:rPr>
        <w:t>1  Introduction</w:t>
      </w:r>
    </w:p>
    <w:p>
      <w:pPr>
        <w:spacing w:after="120" w:before="0" w:line="280" w:lineRule="exact"/>
        <w:jc w:val="both"/>
      </w:pPr>
      <w:r>
        <w:rPr>
          <w:rFonts w:ascii="Times New Roman" w:hAnsi="Times New Roman"/>
          <w:b w:val="0"/>
          <w:i w:val="0"/>
          <w:sz w:val="24"/>
        </w:rPr>
        <w:t>Between 2005 and 2009, the United States Food and Drug Administration (FDA) received over 56,000 medical device reports linked to infusion pump malfunction or misuse, with 710 associated patient deaths [1]. This concentration of adverse events in a single device category reflects a fundamental tension in clinical practice: infusion pumps deliver the most dangerous medications — vasopressors, opioids, anticoagulants, concentrated electrolytes — through an interface that was designed before modern software safety engineering and has changed little since. The chevron-based number entry model used by the Alaris GP, the B. Braun Infusomat Space, and many other contemporary large-volume pumps was mathematically analysed by Thimbleby and Cairns [2], who demonstrated that ten-fold dose errors are a systematic, predictable property of this interaction design, not an occasional user failure. Cauchi et al. [3] later formalised this finding using the PVSio verification framework, producing machine-checked proofs of error conditions in the Alaris GP interface. Despite this research foundation, comparative safety studies spanning multiple device families remain rare in the literature. The reason is practical: physical access.</w:t>
      </w:r>
    </w:p>
    <w:p>
      <w:pPr>
        <w:spacing w:after="120" w:before="0" w:line="280" w:lineRule="exact"/>
        <w:jc w:val="both"/>
      </w:pPr>
      <w:r>
        <w:rPr>
          <w:rFonts w:ascii="Times New Roman" w:hAnsi="Times New Roman"/>
          <w:b w:val="0"/>
          <w:i w:val="0"/>
          <w:sz w:val="24"/>
        </w:rPr>
        <w:t>Infusion pumps are tightly controlled medical devices. Acquiring three or more pump models for research use requires institutional purchase, regulatory permissions, clinical governance approval, and access to trained staff for safe operation. Beyond the direct cost — which can exceed £30,000 for a three-device comparative study — physical pumps cannot be run at scale: generating 1,000 simulated clinical scenarios on a real device would require 1,000 manual programming sessions. This access barrier has concentrated infusion pump safety research in well-resourced clinical institutions and manufacturer partnerships, leaving the broader research community with limited ability to study device families they cannot afford to acquire.</w:t>
      </w:r>
    </w:p>
    <w:p>
      <w:pPr>
        <w:spacing w:after="120" w:before="0" w:line="280" w:lineRule="exact"/>
        <w:jc w:val="both"/>
      </w:pPr>
      <w:r>
        <w:rPr>
          <w:rFonts w:ascii="Times New Roman" w:hAnsi="Times New Roman"/>
          <w:b w:val="0"/>
          <w:i w:val="0"/>
          <w:sz w:val="24"/>
        </w:rPr>
        <w:t>Simulation offers a principled alternative, but prior computational approaches to infusion pump research have been constrained by their own limitations. Formal verification tools — PVS, Alloy, Event-B — produce rigorous proofs but require expert theorem prover skills and yield models that are not directly executable as research platforms [4]. Higher-level simulation environments used in human factors research are typically purpose-built for a single device, not designed for automated dataset generation, and not validated against manufacturer documentation with traceable evidence [5]. What has been absent is a middle layer: a device simulator that is (a) faithful enough to generate ecologically valid clinical scenarios, (b) executable without specialist infrastructure, (c) extensible across multiple device families, and (d) validated with transparent, reproducible evidence.</w:t>
      </w:r>
    </w:p>
    <w:p>
      <w:pPr>
        <w:spacing w:after="120" w:before="0" w:line="280" w:lineRule="exact"/>
        <w:jc w:val="both"/>
      </w:pPr>
      <w:r>
        <w:rPr>
          <w:rFonts w:ascii="Times New Roman" w:hAnsi="Times New Roman"/>
          <w:b w:val="0"/>
          <w:i w:val="0"/>
          <w:sz w:val="24"/>
        </w:rPr>
        <w:t>This paper presents exactly that platform, produced as part of a funded AI safety and security ranking program for medical device fleets. The key contribution is methodological: a four-step process for translating any publicly available DFU document into a research-grade, validated device simulator. The methodology is demonstrated across three devices selected to represent a spectrum of design complexity and safety risk — from the Alaris GP's formal-model-validated two-tier guardrail architecture, through the B. Braun Infusomat Space's three-tier system and confirmed network-layer CVEs, to the Graseby 3100's complete absence of dosing safeguards. Together, these three simulators enable safety and security analyses that span the full range of devices currently in active clinical use in UK hospitals.</w:t>
      </w:r>
    </w:p>
    <w:p>
      <w:pPr>
        <w:spacing w:after="200" w:before="0" w:line="280" w:lineRule="exact"/>
        <w:jc w:val="both"/>
      </w:pPr>
      <w:r>
        <w:rPr>
          <w:rFonts w:ascii="Times New Roman" w:hAnsi="Times New Roman"/>
          <w:b w:val="0"/>
          <w:i w:val="0"/>
          <w:sz w:val="24"/>
        </w:rPr>
        <w:t>The remainder of the paper is structured as follows. Section 2 provides background on prior formal modelling and simulation work for infusion pumps. Section 3 presents the From Manual to Model methodology. Section 4 describes the three device simulators in detail. Section 5 reports the Behavioural Fidelity Validation results. Section 6 describes the research the platform enables. Section 7 discusses limitations and future work, and Section 8 concludes.</w:t>
      </w:r>
    </w:p>
    <w:p>
      <w:pPr>
        <w:pStyle w:val="Heading1"/>
      </w:pPr>
      <w:r>
        <w:rPr>
          <w:rFonts w:ascii="Times New Roman" w:hAnsi="Times New Roman"/>
          <w:b/>
          <w:sz w:val="26"/>
        </w:rPr>
        <w:t>2  Background and Related Work</w:t>
      </w:r>
    </w:p>
    <w:p>
      <w:pPr>
        <w:pStyle w:val="Heading2"/>
      </w:pPr>
      <w:r>
        <w:rPr>
          <w:rFonts w:ascii="Times New Roman" w:hAnsi="Times New Roman"/>
          <w:b/>
          <w:i w:val="0"/>
          <w:sz w:val="24"/>
        </w:rPr>
        <w:t>2.1  Formal Modelling of Infusion Pumps</w:t>
      </w:r>
    </w:p>
    <w:p>
      <w:pPr>
        <w:spacing w:after="120" w:before="0" w:line="280" w:lineRule="exact"/>
        <w:jc w:val="both"/>
      </w:pPr>
      <w:r>
        <w:rPr>
          <w:rFonts w:ascii="Times New Roman" w:hAnsi="Times New Roman"/>
          <w:b w:val="0"/>
          <w:i w:val="0"/>
          <w:sz w:val="24"/>
        </w:rPr>
        <w:t>The PVSio-web project represents the most substantial prior work in formal pump modelling. Masci et al. [4] produced a PVS-verified formal model of the Alaris GP that defines state transitions as machine-checked specifications and provides a web-based prototype interface for user testing. The PVSio-web model covers the full rate entry workflow: language selection, drug selection, rate entry via chevrons, guardrail enforcement, infusion start, hold, and alarm handling. It has been used to identify formal properties of number entry errors and to study the gap between specification and observed user behaviour [3]. The Alaris GP simulator described in this paper was developed independently and then cross-checked against the PVSio-web state transition definitions; 10 of 25 Alaris GP validation tests explicitly verify alignment with this formal model.</w:t>
      </w:r>
    </w:p>
    <w:p>
      <w:pPr>
        <w:spacing w:after="120" w:before="0" w:line="280" w:lineRule="exact"/>
        <w:jc w:val="both"/>
      </w:pPr>
      <w:r>
        <w:rPr>
          <w:rFonts w:ascii="Times New Roman" w:hAnsi="Times New Roman"/>
          <w:b w:val="0"/>
          <w:i w:val="0"/>
          <w:sz w:val="24"/>
        </w:rPr>
        <w:t>The critical limitation of PVSio-web for our purpose is scope: it models a single device, does not extend to data generation at scale, and was not designed for multi-device comparative research. Masci et al. [4] describe the model as a platform for user study design and interface evaluation, not for generating structured training datasets. Its value to our work is as a secondary validation authority for Alaris GP behaviour — a role it fulfils with rigour that manufacturer documentation alone cannot provide.</w:t>
      </w:r>
    </w:p>
    <w:p>
      <w:pPr>
        <w:pStyle w:val="Heading2"/>
      </w:pPr>
      <w:r>
        <w:rPr>
          <w:rFonts w:ascii="Times New Roman" w:hAnsi="Times New Roman"/>
          <w:b/>
          <w:i w:val="0"/>
          <w:sz w:val="24"/>
        </w:rPr>
        <w:t>2.2  Guardrail Research and DERS Effectiveness</w:t>
      </w:r>
    </w:p>
    <w:p>
      <w:pPr>
        <w:spacing w:after="120" w:before="0" w:line="280" w:lineRule="exact"/>
        <w:jc w:val="both"/>
      </w:pPr>
      <w:r>
        <w:rPr>
          <w:rFonts w:ascii="Times New Roman" w:hAnsi="Times New Roman"/>
          <w:b w:val="0"/>
          <w:i w:val="0"/>
          <w:sz w:val="24"/>
        </w:rPr>
        <w:t>Drug library guardrails — tiered rate limits that warn or block when a programmed rate exceeds clinical thresholds — are the primary software safety mechanism in modern large-volume pumps. Research on guardrail effectiveness has documented a consistent and clinically significant finding: guardrail override rates in hospital deployments typically range from 35% to 95% depending on drug and care area [6]. Studies of smart pump deployments find that DERS effectiveness depends critically on drug library currency, limit calibration, and clinical workflow integration [7]. When any of these conditions degrade — outdated libraries, broadly set limits, alert fatigue — the guardrail system provides limited protection despite its presence. Studying these dynamics with physical devices requires controlled clinical studies with ethical approvals, patient risk, and operational disruption. Simulation-based research at scale, with explicit logging of every guardrail interaction and override event, is an alternative that no prior platform has fully realised.</w:t>
      </w:r>
    </w:p>
    <w:p>
      <w:pPr>
        <w:pStyle w:val="Heading2"/>
      </w:pPr>
      <w:r>
        <w:rPr>
          <w:rFonts w:ascii="Times New Roman" w:hAnsi="Times New Roman"/>
          <w:b/>
          <w:i w:val="0"/>
          <w:sz w:val="24"/>
        </w:rPr>
        <w:t>2.3  Medical Device Cybersecurity</w:t>
      </w:r>
    </w:p>
    <w:p>
      <w:pPr>
        <w:spacing w:after="120" w:before="0" w:line="280" w:lineRule="exact"/>
        <w:jc w:val="both"/>
      </w:pPr>
      <w:r>
        <w:rPr>
          <w:rFonts w:ascii="Times New Roman" w:hAnsi="Times New Roman"/>
          <w:b w:val="0"/>
          <w:i w:val="0"/>
          <w:sz w:val="24"/>
        </w:rPr>
        <w:t>The cybersecurity vulnerability profile of networked infusion pumps became a major research and regulatory concern following the publication of CISA advisory ICSMA-21-294-01 [8], which disclosed multiple critical vulnerabilities in the B. Braun Infusomat Space system. CVE-2021-33885 (CVSS 9.0) enables unauthenticated remote modification of infusion parameters via the SpaceStation network protocol. CVE-2021-33882 (CVSS 8.2) exploits missing authentication in the SpaceCom2 network module. These vulnerabilities have not been fully remediated: B. Braun's firmware update protocol for the Infusomat Space does not incorporate cryptographic signature verification in any published firmware version [8]. A simulation platform that models network state, firmware integrity flags, and connectivity alongside clinical programming behaviour — as the platform described in this paper does — enables combined safety-security risk analysis that no prior simulator has supported.</w:t>
      </w:r>
    </w:p>
    <w:p>
      <w:pPr>
        <w:pStyle w:val="Heading2"/>
      </w:pPr>
      <w:r>
        <w:rPr>
          <w:rFonts w:ascii="Times New Roman" w:hAnsi="Times New Roman"/>
          <w:b/>
          <w:i w:val="0"/>
          <w:sz w:val="24"/>
        </w:rPr>
        <w:t>2.4  Legacy Device Safety: The Graseby 3100</w:t>
      </w:r>
    </w:p>
    <w:p>
      <w:pPr>
        <w:spacing w:after="200" w:before="0" w:line="280" w:lineRule="exact"/>
        <w:jc w:val="both"/>
      </w:pPr>
      <w:r>
        <w:rPr>
          <w:rFonts w:ascii="Times New Roman" w:hAnsi="Times New Roman"/>
          <w:b w:val="0"/>
          <w:i w:val="0"/>
          <w:sz w:val="24"/>
        </w:rPr>
        <w:t>The Graseby 3100 syringe driver is not a networked device and has no documented cybersecurity vulnerabilities. Its clinical risk arises from a different source: the complete absence of dosing safeguards. The Graseby 3100 was widely deployed in UK palliative care and ICU settings from the late 1980s through the 2000s for continuous subcutaneous infusions of morphine, diamorphine, and other opioids. The National Patient Safety Agency [9] documented multiple fatal overdose incidents attributable to Graseby syringe driver programming errors and issued a patient safety alert in 2010. The device's rate range of 0.1–199.9 ml/h, entirely unconstrained by guardrails or drug library enforcement, makes any programming error directly consequential. Including the Graseby 3100 in the simulator platform provides a baseline against which guardrail effectiveness can be quantified by comparing clinical scenarios run on all three devices.</w:t>
      </w:r>
    </w:p>
    <w:p>
      <w:pPr>
        <w:pStyle w:val="Heading1"/>
      </w:pPr>
      <w:r>
        <w:rPr>
          <w:rFonts w:ascii="Times New Roman" w:hAnsi="Times New Roman"/>
          <w:b/>
          <w:sz w:val="26"/>
        </w:rPr>
        <w:t>3  From Manual to Model: The Methodology</w:t>
      </w:r>
    </w:p>
    <w:p>
      <w:pPr>
        <w:spacing w:after="120" w:before="0" w:line="280" w:lineRule="exact"/>
        <w:jc w:val="both"/>
      </w:pPr>
      <w:r>
        <w:rPr>
          <w:rFonts w:ascii="Times New Roman" w:hAnsi="Times New Roman"/>
          <w:b w:val="0"/>
          <w:i w:val="0"/>
          <w:sz w:val="24"/>
        </w:rPr>
        <w:t>The methodology for building each simulator follows four sequential steps. The steps are independent of any specific device — they apply whenever a manufacturer DFU or equivalent operations manual is publicly available. Figure 1 illustrates the pipeline from source documentation to research output.</w:t>
      </w:r>
    </w:p>
    <w:p>
      <w:pPr>
        <w:pStyle w:val="Heading2"/>
      </w:pPr>
      <w:r>
        <w:rPr>
          <w:rFonts w:ascii="Times New Roman" w:hAnsi="Times New Roman"/>
          <w:b/>
          <w:i w:val="0"/>
          <w:sz w:val="24"/>
        </w:rPr>
        <w:t>3.1  Step 1: DFU Analysis</w:t>
      </w:r>
    </w:p>
    <w:p>
      <w:pPr>
        <w:spacing w:after="120" w:before="0" w:line="280" w:lineRule="exact"/>
        <w:jc w:val="both"/>
      </w:pPr>
      <w:r>
        <w:rPr>
          <w:rFonts w:ascii="Times New Roman" w:hAnsi="Times New Roman"/>
          <w:b w:val="0"/>
          <w:i w:val="0"/>
          <w:sz w:val="24"/>
        </w:rPr>
        <w:t>The DFU is the legally binding document describing how the device operates. It specifies every operator-visible behaviour: what each button does, what each screen displays, how the device responds to alarm conditions, and what the factory-default parameter values are. The analysis extracts four classes of information.</w:t>
      </w:r>
    </w:p>
    <w:p>
      <w:pPr>
        <w:spacing w:after="120" w:before="0" w:line="280" w:lineRule="exact"/>
        <w:jc w:val="both"/>
      </w:pPr>
      <w:r>
        <w:rPr>
          <w:rFonts w:ascii="Times New Roman" w:hAnsi="Times New Roman"/>
          <w:b w:val="0"/>
          <w:i w:val="0"/>
          <w:sz w:val="24"/>
        </w:rPr>
        <w:t>First, the device state inventory: every named condition the device can be in, corresponding to a screen the operator sees. For the Alaris GP, the DFU describes eleven distinct screens from LANGUAGE_SELECT through to PRESSURE_VIEW. For the Graseby 3100, the equivalent manual identifies five states, reflecting the device's much simpler interaction model. Each state name becomes a member of a TypeScript discriminated union type, making it impossible to represent an undocumented state.</w:t>
      </w:r>
    </w:p>
    <w:p>
      <w:pPr>
        <w:spacing w:after="120" w:before="0" w:line="280" w:lineRule="exact"/>
        <w:jc w:val="both"/>
      </w:pPr>
      <w:r>
        <w:rPr>
          <w:rFonts w:ascii="Times New Roman" w:hAnsi="Times New Roman"/>
          <w:b w:val="0"/>
          <w:i w:val="0"/>
          <w:sz w:val="24"/>
        </w:rPr>
        <w:t>Second, the transition table: for each state, what operator action causes a transition to which other state, and under what condition. These transitions are the core of the state machine. Where the DFU specifies a guard condition — such as "RUN pressed: if rate within limits, transition to RUNNING; if above soft limit, transition to GUARDRAIL_WARNING" — the guard is encoded as a pure TypeScript predicate that can be tested independently.</w:t>
      </w:r>
    </w:p>
    <w:p>
      <w:pPr>
        <w:spacing w:after="120" w:before="0" w:line="280" w:lineRule="exact"/>
        <w:jc w:val="both"/>
      </w:pPr>
      <w:r>
        <w:rPr>
          <w:rFonts w:ascii="Times New Roman" w:hAnsi="Times New Roman"/>
          <w:b w:val="0"/>
          <w:i w:val="0"/>
          <w:sz w:val="24"/>
        </w:rPr>
        <w:t>Third, factory defaults: every numerical parameter that the device ships with as standard. These are stored in a constants file as a single typed object (FACTORY_DEFAULTS for the Alaris GP, BRAUN_DEFAULTS for the B. Braun) from which all other code reads. No numerical literal appears elsewhere in the codebase; changing a factory default requires a single edit to a single constant.</w:t>
      </w:r>
    </w:p>
    <w:p>
      <w:pPr>
        <w:spacing w:after="120" w:before="0" w:line="280" w:lineRule="exact"/>
        <w:jc w:val="both"/>
      </w:pPr>
      <w:r>
        <w:rPr>
          <w:rFonts w:ascii="Times New Roman" w:hAnsi="Times New Roman"/>
          <w:b w:val="0"/>
          <w:i w:val="0"/>
          <w:sz w:val="24"/>
        </w:rPr>
        <w:t>Fourth, ambiguity resolution: where the DFU leaves behavior unspecified — such as the exact timing parameters for chevron hold-to-accelerate behavior, which the Alaris GP DFU describes qualitatively — the PVSio-web formal model [4] is used as a secondary reference. Where neither source resolves an ambiguity, the interpretation most consistent with clinical safety is adopted and documented in the codebase.</w:t>
      </w:r>
    </w:p>
    <w:p>
      <w:pPr>
        <w:pStyle w:val="Heading2"/>
      </w:pPr>
      <w:r>
        <w:rPr>
          <w:rFonts w:ascii="Times New Roman" w:hAnsi="Times New Roman"/>
          <w:b/>
          <w:i w:val="0"/>
          <w:sz w:val="24"/>
        </w:rPr>
        <w:t>3.2  Step 2: State Machine Encoding</w:t>
      </w:r>
    </w:p>
    <w:p>
      <w:pPr>
        <w:spacing w:after="120" w:before="0" w:line="280" w:lineRule="exact"/>
        <w:jc w:val="both"/>
      </w:pPr>
      <w:r>
        <w:rPr>
          <w:rFonts w:ascii="Times New Roman" w:hAnsi="Times New Roman"/>
          <w:b w:val="0"/>
          <w:i w:val="0"/>
          <w:sz w:val="24"/>
        </w:rPr>
        <w:t>Each device's behavior is encoded as a pure functional state machine: a module of TypeScript functions in which each function accepts the current device state and returns both the new state and a log of events generated by the transition. No mutation occurs: every state object is treated as immutable, and every transition produces a new state object. This design makes the state machine deterministic, side-effect-free, and independently testable without a browser or React environment.</w:t>
      </w:r>
    </w:p>
    <w:p>
      <w:pPr>
        <w:spacing w:after="120" w:before="0" w:line="280" w:lineRule="exact"/>
        <w:jc w:val="both"/>
      </w:pPr>
      <w:r>
        <w:rPr>
          <w:rFonts w:ascii="Times New Roman" w:hAnsi="Times New Roman"/>
          <w:b w:val="0"/>
          <w:i w:val="0"/>
          <w:sz w:val="24"/>
        </w:rPr>
        <w:t>The function signature pattern is uniform across all three simulators:</w:t>
      </w:r>
    </w:p>
    <w:p>
      <w:pPr>
        <w:spacing w:after="120" w:before="80"/>
        <w:ind w:left="576"/>
      </w:pPr>
      <w:r>
        <w:rPr>
          <w:rFonts w:ascii="Courier New" w:hAnsi="Courier New"/>
          <w:sz w:val="18"/>
        </w:rPr>
        <w:t>function pressRun(</w:t>
        <w:br/>
        <w:t xml:space="preserve">  state: PumpState,</w:t>
        <w:br/>
        <w:t xml:space="preserve">  timestamp: number</w:t>
        <w:br/>
        <w:t>): ActionResult {</w:t>
        <w:br/>
        <w:t xml:space="preserve">  // state: current device state (immutable)</w:t>
        <w:br/>
        <w:t xml:space="preserve">  // timestamp: ms since session start (for log entries)</w:t>
        <w:br/>
        <w:t xml:space="preserve">  // returns: { state: PumpState, logEntries: SessionLogEntry[] }</w:t>
        <w:br/>
        <w:t>}</w:t>
      </w:r>
    </w:p>
    <w:p>
      <w:pPr>
        <w:spacing w:after="120" w:before="0" w:line="280" w:lineRule="exact"/>
        <w:jc w:val="both"/>
      </w:pPr>
      <w:r>
        <w:rPr>
          <w:rFonts w:ascii="Times New Roman" w:hAnsi="Times New Roman"/>
          <w:b w:val="0"/>
          <w:i w:val="0"/>
          <w:sz w:val="24"/>
        </w:rPr>
        <w:t>The state machine module has a strict architectural constraint: zero React imports are permitted. This is enforced by the TypeScript compiler configuration and verified by the test suite, which runs in a Node.js environment with no browser globals. The React UI layer calls state machine functions through hooks; it never implements clinical logic directly. This separation makes the clinical logic auditable without understanding the UI implementation.</w:t>
      </w:r>
    </w:p>
    <w:p>
      <w:pPr>
        <w:spacing w:after="120" w:before="0" w:line="280" w:lineRule="exact"/>
        <w:jc w:val="both"/>
      </w:pPr>
      <w:r>
        <w:rPr>
          <w:rFonts w:ascii="Times New Roman" w:hAnsi="Times New Roman"/>
          <w:b w:val="0"/>
          <w:i w:val="0"/>
          <w:sz w:val="24"/>
        </w:rPr>
        <w:t>Every log entry is frozen (Object.freeze) at creation to enforce the session log immutability requirement. Log entries are never mutated after creation; they can only be appended to the session log array. This ensures that the dataset generated from a session accurately reflects the sequence of events as they occurred, without any possibility of retrospective modification.</w:t>
      </w:r>
    </w:p>
    <w:p>
      <w:pPr>
        <w:pStyle w:val="Heading2"/>
      </w:pPr>
      <w:r>
        <w:rPr>
          <w:rFonts w:ascii="Times New Roman" w:hAnsi="Times New Roman"/>
          <w:b/>
          <w:i w:val="0"/>
          <w:sz w:val="24"/>
        </w:rPr>
        <w:t>3.3  Step 3: Guardrail Logic Implementation</w:t>
      </w:r>
    </w:p>
    <w:p>
      <w:pPr>
        <w:spacing w:after="120" w:before="0" w:line="280" w:lineRule="exact"/>
        <w:jc w:val="both"/>
      </w:pPr>
      <w:r>
        <w:rPr>
          <w:rFonts w:ascii="Times New Roman" w:hAnsi="Times New Roman"/>
          <w:b w:val="0"/>
          <w:i w:val="0"/>
          <w:sz w:val="24"/>
        </w:rPr>
        <w:t>Guardrail logic is implemented as a separate module that receives a rate in the drug's native units and a drug object from the library, and returns a guardrail status. The separation from the state machine allows guardrail logic to be tested independently, replaced for different device families, and audited against clinical sources without touching the state machine code.</w:t>
      </w:r>
    </w:p>
    <w:p>
      <w:pPr>
        <w:spacing w:after="120" w:before="0" w:line="280" w:lineRule="exact"/>
        <w:jc w:val="both"/>
      </w:pPr>
      <w:r>
        <w:rPr>
          <w:rFonts w:ascii="Times New Roman" w:hAnsi="Times New Roman"/>
          <w:b w:val="0"/>
          <w:i w:val="0"/>
          <w:sz w:val="24"/>
        </w:rPr>
        <w:t>The guardrail interface is consistent across devices despite their different tier structures. The Alaris GP checkGuardrail() function returns one of three statuses: "ok", "warning" (soft limit exceeded), or "blocked" (hard limit exceeded). The B. Braun checkBraunGuardrail() function returns four statuses, adding "advisory" for rates within 20% of the soft limit boundary. The Graseby 3100 has no guardrail function at all — pressStart() in the Graseby state machine calls no guardrail check and transitions directly to RUNNING for any non-zero rate.</w:t>
      </w:r>
    </w:p>
    <w:p>
      <w:pPr>
        <w:spacing w:after="120" w:before="0" w:line="280" w:lineRule="exact"/>
        <w:jc w:val="both"/>
      </w:pPr>
      <w:r>
        <w:rPr>
          <w:rFonts w:ascii="Times New Roman" w:hAnsi="Times New Roman"/>
          <w:b w:val="0"/>
          <w:i w:val="0"/>
          <w:sz w:val="24"/>
        </w:rPr>
        <w:t>Drug library data is stored as typed objects with six threshold fields per drug: softMin, softMax, hardMin, hardMax, defaultRate, and weightBased. Threshold values are sourced from clinical practice guidelines and are not adjustable at runtime. Changing a guardrail threshold requires a code modification with a traceable justification — exactly the governance behaviour required for a real device's drug library update.</w:t>
      </w:r>
    </w:p>
    <w:p>
      <w:pPr>
        <w:pStyle w:val="Heading2"/>
      </w:pPr>
      <w:r>
        <w:rPr>
          <w:rFonts w:ascii="Times New Roman" w:hAnsi="Times New Roman"/>
          <w:b/>
          <w:i w:val="0"/>
          <w:sz w:val="24"/>
        </w:rPr>
        <w:t>3.4  Step 4: Automated Data Pipeline</w:t>
      </w:r>
    </w:p>
    <w:p>
      <w:pPr>
        <w:spacing w:after="120" w:before="0" w:line="280" w:lineRule="exact"/>
        <w:jc w:val="both"/>
      </w:pPr>
      <w:r>
        <w:rPr>
          <w:rFonts w:ascii="Times New Roman" w:hAnsi="Times New Roman"/>
          <w:b w:val="0"/>
          <w:i w:val="0"/>
          <w:sz w:val="24"/>
        </w:rPr>
        <w:t>Each state machine is connected to a scenario generator that drives the simulator programmatically through clinical scenarios without human interaction. A scenario specifies: (a) a device profile describing system-level state (maintenance age, battery level, firmware version, network connectivity, drug library currency); (b) a clinical sequence (drug selection, target rate, number of chevron presses, guardrail response if triggered); and (c) a session outcome (whether the programmed rate was correct, whether the nurse overrode a guardrail, whether VTBI was set).</w:t>
      </w:r>
    </w:p>
    <w:p>
      <w:pPr>
        <w:spacing w:after="200" w:before="0" w:line="280" w:lineRule="exact"/>
        <w:jc w:val="both"/>
      </w:pPr>
      <w:r>
        <w:rPr>
          <w:rFonts w:ascii="Times New Roman" w:hAnsi="Times New Roman"/>
          <w:b w:val="0"/>
          <w:i w:val="0"/>
          <w:sz w:val="24"/>
        </w:rPr>
        <w:t>The scenario generator runs each scenario through the state machine, collecting the resulting session log. A feature extractor then processes the log into a 48-field training record covering interaction metrics, configuration choices, and system state. A rule engine applies 26 evidence-based risk rules — 21 for the Alaris GP and B. Braun, with 5 additional device-specific rules for the B. Braun's network and firmware properties — to assign a risk label and continuous risk score. The pipeline generates 1,000 training records across all three devices in under 30 seconds on consumer hardware.</w:t>
      </w:r>
    </w:p>
    <w:p>
      <w:pPr>
        <w:pStyle w:val="Heading1"/>
      </w:pPr>
      <w:r>
        <w:rPr>
          <w:rFonts w:ascii="Times New Roman" w:hAnsi="Times New Roman"/>
          <w:b/>
          <w:sz w:val="26"/>
        </w:rPr>
        <w:t>4  Device Simulators</w:t>
      </w:r>
    </w:p>
    <w:p>
      <w:pPr>
        <w:pStyle w:val="Heading2"/>
      </w:pPr>
      <w:r>
        <w:rPr>
          <w:rFonts w:ascii="Times New Roman" w:hAnsi="Times New Roman"/>
          <w:b/>
          <w:i w:val="0"/>
          <w:sz w:val="24"/>
        </w:rPr>
        <w:t>4.1  BD Alaris GP Volumetric Infusion Pump</w:t>
      </w:r>
    </w:p>
    <w:p>
      <w:pPr>
        <w:spacing w:after="120" w:before="0" w:line="280" w:lineRule="exact"/>
        <w:jc w:val="both"/>
      </w:pPr>
      <w:r>
        <w:rPr>
          <w:rFonts w:ascii="Times New Roman" w:hAnsi="Times New Roman"/>
          <w:b w:val="0"/>
          <w:i w:val="0"/>
          <w:sz w:val="24"/>
        </w:rPr>
        <w:t>The BD Alaris GP (CareFusion, now BD) is one of the most widely deployed large-volume infusion pumps in NHS hospitals and the primary device used in the CHI-MED formal modelling research [3,4]. The simulator implements all eleven documented screen states, ten drugs from the clinical library, two-tier guardrail enforcement, VTBI programming, and four alarm types (OCCLUSION, AIR_IN_LINE, INFUSION_COMPLETE, BATTERY_LOW) with the priority ordering specified in the DFU: OCCLUSION takes precedence over AIR_IN_LINE, which takes precedence over BATTERY_LOW, which takes precedence over INFUSION_COMPLETE. The state machine comprises 503 lines of TypeScript implementing 22 pure functions.</w:t>
      </w:r>
    </w:p>
    <w:p>
      <w:pPr>
        <w:spacing w:after="120" w:before="0" w:line="280" w:lineRule="exact"/>
        <w:jc w:val="both"/>
      </w:pPr>
      <w:r>
        <w:rPr>
          <w:rFonts w:ascii="Times New Roman" w:hAnsi="Times New Roman"/>
          <w:b w:val="0"/>
          <w:i w:val="0"/>
          <w:sz w:val="24"/>
        </w:rPr>
        <w:t>The guardrail system is sourced from the Guardrails Edition of the DFU (BDDF00535 Issue 4), which describes the soft and hard limit behavior in detail. A rate above the drug's softMax triggers a GUARDRAIL_WARNING screen requiring the nurse to choose OVERRIDE or RE-ENTER; a rate above hardMax triggers GUARDRAIL_BLOCKED, from which only RE-ENTER is available. OVERRIDE events are logged as a separate event type (guardrail_override) and are never silently captured within another event — this logging requirement is the most safety-critical invariant in the codebase, since guardrail override behavior is the primary outcome variable in DERS effectiveness research [6].</w:t>
      </w:r>
    </w:p>
    <w:p>
      <w:pPr>
        <w:spacing w:after="120" w:before="0" w:line="280" w:lineRule="exact"/>
        <w:jc w:val="both"/>
      </w:pPr>
      <w:r>
        <w:rPr>
          <w:rFonts w:ascii="Times New Roman" w:hAnsi="Times New Roman"/>
          <w:b w:val="0"/>
          <w:i w:val="0"/>
          <w:sz w:val="24"/>
        </w:rPr>
        <w:t>The chevron rate entry system implements hold-to-accelerate: a 500ms initial hold delay before repeat firing at 80ms intervals, matching the DFU specification [10]. Double chevrons apply a step of 10 ml/h (STEP_LARGE); single chevrons apply 1 ml/h (STEP_SMALL). Rate boundaries are absolute: at RATE_MAX (1200 ml/h) or RATE_MIN (0.1 ml/h), the rate is clamped and a boundary_hit event is logged. Direction reversals during entry are detected by comparing the sign of the current chevron press with the last rate_adjust event, and logged as correction events — the metric used by Cauchi et al. [3] to characterise number entry difficulty.</w:t>
      </w:r>
    </w:p>
    <w:p>
      <w:pPr>
        <w:spacing w:after="120" w:before="0" w:line="280" w:lineRule="exact"/>
        <w:jc w:val="both"/>
      </w:pPr>
      <w:r>
        <w:rPr>
          <w:rFonts w:ascii="Times New Roman" w:hAnsi="Times New Roman"/>
          <w:b w:val="0"/>
          <w:i w:val="0"/>
          <w:sz w:val="24"/>
        </w:rPr>
        <w:t>The Alaris GP simulator benefits from a secondary validation source not available for the other two devices: the PVSio-web formal model [4]. This model defines the Alaris GP state machine as a PVS specification and has been peer-reviewed and published independently of the manufacturer. Ten of the 25 Alaris GP behavioural fidelity tests verify alignment with the PVSio-web specification for the core programming workflow — language select, drug select, rate entry, guardrail handling, run, hold, and alarm.</w:t>
      </w:r>
    </w:p>
    <w:p>
      <w:pPr>
        <w:pStyle w:val="Heading2"/>
      </w:pPr>
      <w:r>
        <w:rPr>
          <w:rFonts w:ascii="Times New Roman" w:hAnsi="Times New Roman"/>
          <w:b/>
          <w:i w:val="0"/>
          <w:sz w:val="24"/>
        </w:rPr>
        <w:t>4.2  B. Braun Infusomat Space Large-Volume Pump</w:t>
      </w:r>
    </w:p>
    <w:p>
      <w:pPr>
        <w:spacing w:after="120" w:before="0" w:line="280" w:lineRule="exact"/>
        <w:jc w:val="both"/>
      </w:pPr>
      <w:r>
        <w:rPr>
          <w:rFonts w:ascii="Times New Roman" w:hAnsi="Times New Roman"/>
          <w:b w:val="0"/>
          <w:i w:val="0"/>
          <w:sz w:val="24"/>
        </w:rPr>
        <w:t>The B. Braun Infusomat Space introduces four design differences from the Alaris GP that are directly relevant to safety and security research, each faithfully captured in the simulator.</w:t>
      </w:r>
    </w:p>
    <w:p>
      <w:pPr>
        <w:spacing w:after="120" w:before="0" w:line="280" w:lineRule="exact"/>
        <w:jc w:val="both"/>
      </w:pPr>
      <w:r>
        <w:rPr>
          <w:rFonts w:ascii="Times New Roman" w:hAnsi="Times New Roman"/>
          <w:b w:val="0"/>
          <w:i w:val="0"/>
          <w:sz w:val="24"/>
        </w:rPr>
        <w:t>The three-tier guardrail system is the most clinically significant difference. Below the soft limit boundary, the Infusomat Space adds an advisory zone covering the region within 20% of the boundary (ADVISORY_ZONE_FRACTION = 0.20). A rate in this zone triggers a GUARDRAIL_ADVISORY screen requiring nurse acknowledgement — a single keypress that confirms awareness but does not require clinical justification. This behavioral distinction matters for research: advisory acknowledgement is qualitatively different from override. Overriding a soft limit requires the nurse to accept clinical responsibility for exceeding the recommended range; acknowledging an advisory merely confirms awareness of proximity to that range. The three-tier system thus produces a richer behavioral signal — three event types rather than two — for the same clinical programming sequence.</w:t>
      </w:r>
    </w:p>
    <w:p>
      <w:pPr>
        <w:spacing w:after="120" w:before="0" w:line="280" w:lineRule="exact"/>
        <w:jc w:val="both"/>
      </w:pPr>
      <w:r>
        <w:rPr>
          <w:rFonts w:ascii="Times New Roman" w:hAnsi="Times New Roman"/>
          <w:b w:val="0"/>
          <w:i w:val="0"/>
          <w:sz w:val="24"/>
        </w:rPr>
        <w:t>The SpaceCom2 network module is modelled as a binary flag (spacecom2Connected) in the device state. Connecting or disconnecting the module generates a dedicated log entry (spacecom2_connected / spacecom2_disconnected). When connected, the device is exposed to CVE-2021-33882 [8] — missing authentication for network commands — which the simulator flags as a risk factor in the generated training data. The connectivity state also affects drug library update capability: a disconnected pump cannot receive library updates from SpaceStation, making drug_library_age_days a compound risk factor that interacts with connectivity state.</w:t>
      </w:r>
    </w:p>
    <w:p>
      <w:pPr>
        <w:spacing w:after="120" w:before="0" w:line="280" w:lineRule="exact"/>
        <w:jc w:val="both"/>
      </w:pPr>
      <w:r>
        <w:rPr>
          <w:rFonts w:ascii="Times New Roman" w:hAnsi="Times New Roman"/>
          <w:b w:val="0"/>
          <w:i w:val="0"/>
          <w:sz w:val="24"/>
        </w:rPr>
        <w:t>Firmware unsigned status (CVE-2021-33885, CVSS 9.0 [8]) is encoded as a permanent device property: firmwareSigned = false in both the constants file and the initial state. This is not a runtime configuration; it reflects the confirmed finding that no firmware version in the Infusomat Space series implements cryptographic signature verification. The simulator correctly treats this as an immutable design property rather than a session variable. The B. Braun state machine comprises 1,195 lines of TypeScript — larger than the Alaris GP (503 lines) due to the additional guardrail tier, SpaceCom2 module functions, and firmware recall toggle capability.</w:t>
      </w:r>
    </w:p>
    <w:p>
      <w:pPr>
        <w:spacing w:after="120" w:before="0" w:line="280" w:lineRule="exact"/>
        <w:jc w:val="both"/>
      </w:pPr>
      <w:r>
        <w:rPr>
          <w:rFonts w:ascii="Times New Roman" w:hAnsi="Times New Roman"/>
          <w:b w:val="0"/>
          <w:i w:val="0"/>
          <w:sz w:val="24"/>
        </w:rPr>
        <w:t>Bolus volume is capped at 2.0 ml (BRAUN_DEFAULTS.BOLUS_MAX_ML), compared to 5.0 ml on the Alaris GP. The device starts at a STARTUP screen (self-test) rather than LANGUAGE_SELECT. Rate is edited directly in the state rate field during entry, without a separate rateBuffer — reflecting the B. Braun's single-field rate entry model as documented in the IFU.</w:t>
      </w:r>
    </w:p>
    <w:p>
      <w:pPr>
        <w:pStyle w:val="Heading2"/>
      </w:pPr>
      <w:r>
        <w:rPr>
          <w:rFonts w:ascii="Times New Roman" w:hAnsi="Times New Roman"/>
          <w:b/>
          <w:i w:val="0"/>
          <w:sz w:val="24"/>
        </w:rPr>
        <w:t>4.3  Graseby 3100 Syringe Driver</w:t>
      </w:r>
    </w:p>
    <w:p>
      <w:pPr>
        <w:spacing w:after="120" w:before="0" w:line="280" w:lineRule="exact"/>
        <w:jc w:val="both"/>
      </w:pPr>
      <w:r>
        <w:rPr>
          <w:rFonts w:ascii="Times New Roman" w:hAnsi="Times New Roman"/>
          <w:b w:val="0"/>
          <w:i w:val="0"/>
          <w:sz w:val="24"/>
        </w:rPr>
        <w:t>The Graseby 3100 is represented in the simulator as a deliberately minimal device: five screen states (BOOT, RATE_ENTRY, RUNNING, ON_HOLD, ALARM), no drug library, no guardrail module, no VTBI, and no bolus mode. The state machine comprises 323 lines of TypeScript — the shortest of the three, reflecting the device's simplified interaction model. The complete absence of guardrail logic is architecturally enforced: the pressStart() function contains no call to any guardrail check and transitions directly to RUNNING for any rate above zero within the device's range. This is not an implementation gap — it is a faithful representation of how the device operates.</w:t>
      </w:r>
    </w:p>
    <w:p>
      <w:pPr>
        <w:spacing w:after="120" w:before="0" w:line="280" w:lineRule="exact"/>
        <w:jc w:val="both"/>
      </w:pPr>
      <w:r>
        <w:rPr>
          <w:rFonts w:ascii="Times New Roman" w:hAnsi="Times New Roman"/>
          <w:b w:val="0"/>
          <w:i w:val="0"/>
          <w:sz w:val="24"/>
        </w:rPr>
        <w:t>The volume constraint is syringe capacity rather than VTBI. Three standard syringe sizes are supported (20 ml, 30 ml, 50 ml), matching the BD Plastipak and Monoject syringes listed in the Graseby 3100 Operators Manual [11]. When accumulated volume reaches the selected capacity, a SYRINGE_EMPTY alarm fires and infusion stops. This models the real device's mechanical stop mechanism, which prevents further delivery when the syringe plunger reaches the barrel limit but does not alert the nurse until the device detects that delivery has halted.</w:t>
      </w:r>
    </w:p>
    <w:p>
      <w:pPr>
        <w:spacing w:after="200" w:before="0" w:line="280" w:lineRule="exact"/>
        <w:jc w:val="both"/>
      </w:pPr>
      <w:r>
        <w:rPr>
          <w:rFonts w:ascii="Times New Roman" w:hAnsi="Times New Roman"/>
          <w:b w:val="0"/>
          <w:i w:val="0"/>
          <w:sz w:val="24"/>
        </w:rPr>
        <w:t>The rate range (0.1–199.9 ml/h, GRASEBY_DEFAULTS.RATE_MAX = 199.9) is lower than the large-volume pumps (1200 ml/h) because the Graseby 3100 is a syringe driver, not a peristaltic pump. The NPSA alert [9] that documented fatal incidents with the Graseby 3100 found that the most common programming error was a tenfold rate error — for example, entering 20 ml/h instead of 2 ml/h for a diamorphine infusion. The simulator captures this scenario through the same correction detection and boundary hit logging used by the Alaris GP, enabling direct comparison of programming error patterns across devices for the same target rate.</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376"/>
          </w:tcPr>
          <w:p>
            <w:r>
              <w:rPr>
                <w:rFonts w:ascii="Times New Roman" w:hAnsi="Times New Roman"/>
                <w:b/>
                <w:sz w:val="20"/>
              </w:rPr>
              <w:t>Property</w:t>
            </w:r>
          </w:p>
        </w:tc>
        <w:tc>
          <w:tcPr>
            <w:tcW w:type="dxa" w:w="1944"/>
          </w:tcPr>
          <w:p>
            <w:r>
              <w:rPr>
                <w:rFonts w:ascii="Times New Roman" w:hAnsi="Times New Roman"/>
                <w:b/>
                <w:sz w:val="20"/>
              </w:rPr>
              <w:t>Alaris GP</w:t>
            </w:r>
          </w:p>
        </w:tc>
        <w:tc>
          <w:tcPr>
            <w:tcW w:type="dxa" w:w="2664"/>
          </w:tcPr>
          <w:p>
            <w:r>
              <w:rPr>
                <w:rFonts w:ascii="Times New Roman" w:hAnsi="Times New Roman"/>
                <w:b/>
                <w:sz w:val="20"/>
              </w:rPr>
              <w:t>B. Braun Infusomat</w:t>
            </w:r>
          </w:p>
        </w:tc>
        <w:tc>
          <w:tcPr>
            <w:tcW w:type="dxa" w:w="2088"/>
          </w:tcPr>
          <w:p>
            <w:r>
              <w:rPr>
                <w:rFonts w:ascii="Times New Roman" w:hAnsi="Times New Roman"/>
                <w:b/>
                <w:sz w:val="20"/>
              </w:rPr>
              <w:t>Graseby 3100</w:t>
            </w:r>
          </w:p>
        </w:tc>
      </w:tr>
      <w:tr>
        <w:tc>
          <w:tcPr>
            <w:tcW w:type="dxa" w:w="2376"/>
          </w:tcPr>
          <w:p>
            <w:r>
              <w:rPr>
                <w:rFonts w:ascii="Times New Roman" w:hAnsi="Times New Roman"/>
                <w:sz w:val="20"/>
              </w:rPr>
              <w:t>Guardrail tiers</w:t>
            </w:r>
          </w:p>
        </w:tc>
        <w:tc>
          <w:tcPr>
            <w:tcW w:type="dxa" w:w="1944"/>
          </w:tcPr>
          <w:p>
            <w:r>
              <w:rPr>
                <w:rFonts w:ascii="Times New Roman" w:hAnsi="Times New Roman"/>
                <w:sz w:val="20"/>
              </w:rPr>
              <w:t>2 (warning + blocked)</w:t>
            </w:r>
          </w:p>
        </w:tc>
        <w:tc>
          <w:tcPr>
            <w:tcW w:type="dxa" w:w="2664"/>
          </w:tcPr>
          <w:p>
            <w:r>
              <w:rPr>
                <w:rFonts w:ascii="Times New Roman" w:hAnsi="Times New Roman"/>
                <w:sz w:val="20"/>
              </w:rPr>
              <w:t>3 (advisory + warning + blocked)</w:t>
            </w:r>
          </w:p>
        </w:tc>
        <w:tc>
          <w:tcPr>
            <w:tcW w:type="dxa" w:w="2088"/>
          </w:tcPr>
          <w:p>
            <w:r>
              <w:rPr>
                <w:rFonts w:ascii="Times New Roman" w:hAnsi="Times New Roman"/>
                <w:sz w:val="20"/>
              </w:rPr>
              <w:t>0 (none)</w:t>
            </w:r>
          </w:p>
        </w:tc>
      </w:tr>
      <w:tr>
        <w:tc>
          <w:tcPr>
            <w:tcW w:type="dxa" w:w="2376"/>
          </w:tcPr>
          <w:p>
            <w:r>
              <w:rPr>
                <w:rFonts w:ascii="Times New Roman" w:hAnsi="Times New Roman"/>
                <w:sz w:val="20"/>
              </w:rPr>
              <w:t>Drug library</w:t>
            </w:r>
          </w:p>
        </w:tc>
        <w:tc>
          <w:tcPr>
            <w:tcW w:type="dxa" w:w="1944"/>
          </w:tcPr>
          <w:p>
            <w:r>
              <w:rPr>
                <w:rFonts w:ascii="Times New Roman" w:hAnsi="Times New Roman"/>
                <w:sz w:val="20"/>
              </w:rPr>
              <w:t>Yes (10 drugs, sim)</w:t>
            </w:r>
          </w:p>
        </w:tc>
        <w:tc>
          <w:tcPr>
            <w:tcW w:type="dxa" w:w="2664"/>
          </w:tcPr>
          <w:p>
            <w:r>
              <w:rPr>
                <w:rFonts w:ascii="Times New Roman" w:hAnsi="Times New Roman"/>
                <w:sz w:val="20"/>
              </w:rPr>
              <w:t>Yes (1,500 entries, 10 in sim)</w:t>
            </w:r>
          </w:p>
        </w:tc>
        <w:tc>
          <w:tcPr>
            <w:tcW w:type="dxa" w:w="2088"/>
          </w:tcPr>
          <w:p>
            <w:r>
              <w:rPr>
                <w:rFonts w:ascii="Times New Roman" w:hAnsi="Times New Roman"/>
                <w:sz w:val="20"/>
              </w:rPr>
              <w:t>No</w:t>
            </w:r>
          </w:p>
        </w:tc>
      </w:tr>
      <w:tr>
        <w:tc>
          <w:tcPr>
            <w:tcW w:type="dxa" w:w="2376"/>
          </w:tcPr>
          <w:p>
            <w:r>
              <w:rPr>
                <w:rFonts w:ascii="Times New Roman" w:hAnsi="Times New Roman"/>
                <w:sz w:val="20"/>
              </w:rPr>
              <w:t>VTBI</w:t>
            </w:r>
          </w:p>
        </w:tc>
        <w:tc>
          <w:tcPr>
            <w:tcW w:type="dxa" w:w="1944"/>
          </w:tcPr>
          <w:p>
            <w:r>
              <w:rPr>
                <w:rFonts w:ascii="Times New Roman" w:hAnsi="Times New Roman"/>
                <w:sz w:val="20"/>
              </w:rPr>
              <w:t>Yes</w:t>
            </w:r>
          </w:p>
        </w:tc>
        <w:tc>
          <w:tcPr>
            <w:tcW w:type="dxa" w:w="2664"/>
          </w:tcPr>
          <w:p>
            <w:r>
              <w:rPr>
                <w:rFonts w:ascii="Times New Roman" w:hAnsi="Times New Roman"/>
                <w:sz w:val="20"/>
              </w:rPr>
              <w:t>Yes</w:t>
            </w:r>
          </w:p>
        </w:tc>
        <w:tc>
          <w:tcPr>
            <w:tcW w:type="dxa" w:w="2088"/>
          </w:tcPr>
          <w:p>
            <w:r>
              <w:rPr>
                <w:rFonts w:ascii="Times New Roman" w:hAnsi="Times New Roman"/>
                <w:sz w:val="20"/>
              </w:rPr>
              <w:t>No (syringe capacity)</w:t>
            </w:r>
          </w:p>
        </w:tc>
      </w:tr>
      <w:tr>
        <w:tc>
          <w:tcPr>
            <w:tcW w:type="dxa" w:w="2376"/>
          </w:tcPr>
          <w:p>
            <w:r>
              <w:rPr>
                <w:rFonts w:ascii="Times New Roman" w:hAnsi="Times New Roman"/>
                <w:sz w:val="20"/>
              </w:rPr>
              <w:t>Bolus maximum</w:t>
            </w:r>
          </w:p>
        </w:tc>
        <w:tc>
          <w:tcPr>
            <w:tcW w:type="dxa" w:w="1944"/>
          </w:tcPr>
          <w:p>
            <w:r>
              <w:rPr>
                <w:rFonts w:ascii="Times New Roman" w:hAnsi="Times New Roman"/>
                <w:sz w:val="20"/>
              </w:rPr>
              <w:t>5.0 ml</w:t>
            </w:r>
          </w:p>
        </w:tc>
        <w:tc>
          <w:tcPr>
            <w:tcW w:type="dxa" w:w="2664"/>
          </w:tcPr>
          <w:p>
            <w:r>
              <w:rPr>
                <w:rFonts w:ascii="Times New Roman" w:hAnsi="Times New Roman"/>
                <w:sz w:val="20"/>
              </w:rPr>
              <w:t>2.0 ml</w:t>
            </w:r>
          </w:p>
        </w:tc>
        <w:tc>
          <w:tcPr>
            <w:tcW w:type="dxa" w:w="2088"/>
          </w:tcPr>
          <w:p>
            <w:r>
              <w:rPr>
                <w:rFonts w:ascii="Times New Roman" w:hAnsi="Times New Roman"/>
                <w:sz w:val="20"/>
              </w:rPr>
              <w:t>N/A</w:t>
            </w:r>
          </w:p>
        </w:tc>
      </w:tr>
      <w:tr>
        <w:tc>
          <w:tcPr>
            <w:tcW w:type="dxa" w:w="2376"/>
          </w:tcPr>
          <w:p>
            <w:r>
              <w:rPr>
                <w:rFonts w:ascii="Times New Roman" w:hAnsi="Times New Roman"/>
                <w:sz w:val="20"/>
              </w:rPr>
              <w:t>Rate maximum</w:t>
            </w:r>
          </w:p>
        </w:tc>
        <w:tc>
          <w:tcPr>
            <w:tcW w:type="dxa" w:w="1944"/>
          </w:tcPr>
          <w:p>
            <w:r>
              <w:rPr>
                <w:rFonts w:ascii="Times New Roman" w:hAnsi="Times New Roman"/>
                <w:sz w:val="20"/>
              </w:rPr>
              <w:t>1200 ml/h</w:t>
            </w:r>
          </w:p>
        </w:tc>
        <w:tc>
          <w:tcPr>
            <w:tcW w:type="dxa" w:w="2664"/>
          </w:tcPr>
          <w:p>
            <w:r>
              <w:rPr>
                <w:rFonts w:ascii="Times New Roman" w:hAnsi="Times New Roman"/>
                <w:sz w:val="20"/>
              </w:rPr>
              <w:t>1200 ml/h</w:t>
            </w:r>
          </w:p>
        </w:tc>
        <w:tc>
          <w:tcPr>
            <w:tcW w:type="dxa" w:w="2088"/>
          </w:tcPr>
          <w:p>
            <w:r>
              <w:rPr>
                <w:rFonts w:ascii="Times New Roman" w:hAnsi="Times New Roman"/>
                <w:sz w:val="20"/>
              </w:rPr>
              <w:t>199.9 ml/h</w:t>
            </w:r>
          </w:p>
        </w:tc>
      </w:tr>
      <w:tr>
        <w:tc>
          <w:tcPr>
            <w:tcW w:type="dxa" w:w="2376"/>
          </w:tcPr>
          <w:p>
            <w:r>
              <w:rPr>
                <w:rFonts w:ascii="Times New Roman" w:hAnsi="Times New Roman"/>
                <w:sz w:val="20"/>
              </w:rPr>
              <w:t>Network module</w:t>
            </w:r>
          </w:p>
        </w:tc>
        <w:tc>
          <w:tcPr>
            <w:tcW w:type="dxa" w:w="1944"/>
          </w:tcPr>
          <w:p>
            <w:r>
              <w:rPr>
                <w:rFonts w:ascii="Times New Roman" w:hAnsi="Times New Roman"/>
                <w:sz w:val="20"/>
              </w:rPr>
              <w:t>None</w:t>
            </w:r>
          </w:p>
        </w:tc>
        <w:tc>
          <w:tcPr>
            <w:tcW w:type="dxa" w:w="2664"/>
          </w:tcPr>
          <w:p>
            <w:r>
              <w:rPr>
                <w:rFonts w:ascii="Times New Roman" w:hAnsi="Times New Roman"/>
                <w:sz w:val="20"/>
              </w:rPr>
              <w:t>SpaceCom2 (WiFi)</w:t>
            </w:r>
          </w:p>
        </w:tc>
        <w:tc>
          <w:tcPr>
            <w:tcW w:type="dxa" w:w="2088"/>
          </w:tcPr>
          <w:p>
            <w:r>
              <w:rPr>
                <w:rFonts w:ascii="Times New Roman" w:hAnsi="Times New Roman"/>
                <w:sz w:val="20"/>
              </w:rPr>
              <w:t>None</w:t>
            </w:r>
          </w:p>
        </w:tc>
      </w:tr>
      <w:tr>
        <w:tc>
          <w:tcPr>
            <w:tcW w:type="dxa" w:w="2376"/>
          </w:tcPr>
          <w:p>
            <w:r>
              <w:rPr>
                <w:rFonts w:ascii="Times New Roman" w:hAnsi="Times New Roman"/>
                <w:sz w:val="20"/>
              </w:rPr>
              <w:t>Firmware CVEs</w:t>
            </w:r>
          </w:p>
        </w:tc>
        <w:tc>
          <w:tcPr>
            <w:tcW w:type="dxa" w:w="1944"/>
          </w:tcPr>
          <w:p>
            <w:r>
              <w:rPr>
                <w:rFonts w:ascii="Times New Roman" w:hAnsi="Times New Roman"/>
                <w:sz w:val="20"/>
              </w:rPr>
              <w:t>None documented*</w:t>
            </w:r>
          </w:p>
        </w:tc>
        <w:tc>
          <w:tcPr>
            <w:tcW w:type="dxa" w:w="2664"/>
          </w:tcPr>
          <w:p>
            <w:r>
              <w:rPr>
                <w:rFonts w:ascii="Times New Roman" w:hAnsi="Times New Roman"/>
                <w:sz w:val="20"/>
              </w:rPr>
              <w:t>CVE-2021-33885, CVE-2021-33882</w:t>
            </w:r>
          </w:p>
        </w:tc>
        <w:tc>
          <w:tcPr>
            <w:tcW w:type="dxa" w:w="2088"/>
          </w:tcPr>
          <w:p>
            <w:r>
              <w:rPr>
                <w:rFonts w:ascii="Times New Roman" w:hAnsi="Times New Roman"/>
                <w:sz w:val="20"/>
              </w:rPr>
              <w:t>None documented</w:t>
            </w:r>
          </w:p>
        </w:tc>
      </w:tr>
      <w:tr>
        <w:tc>
          <w:tcPr>
            <w:tcW w:type="dxa" w:w="2376"/>
          </w:tcPr>
          <w:p>
            <w:r>
              <w:rPr>
                <w:rFonts w:ascii="Times New Roman" w:hAnsi="Times New Roman"/>
                <w:sz w:val="20"/>
              </w:rPr>
              <w:t>Initial screen</w:t>
            </w:r>
          </w:p>
        </w:tc>
        <w:tc>
          <w:tcPr>
            <w:tcW w:type="dxa" w:w="1944"/>
          </w:tcPr>
          <w:p>
            <w:r>
              <w:rPr>
                <w:rFonts w:ascii="Times New Roman" w:hAnsi="Times New Roman"/>
                <w:sz w:val="20"/>
              </w:rPr>
              <w:t>LANGUAGE_SELECT</w:t>
            </w:r>
          </w:p>
        </w:tc>
        <w:tc>
          <w:tcPr>
            <w:tcW w:type="dxa" w:w="2664"/>
          </w:tcPr>
          <w:p>
            <w:r>
              <w:rPr>
                <w:rFonts w:ascii="Times New Roman" w:hAnsi="Times New Roman"/>
                <w:sz w:val="20"/>
              </w:rPr>
              <w:t>STARTUP</w:t>
            </w:r>
          </w:p>
        </w:tc>
        <w:tc>
          <w:tcPr>
            <w:tcW w:type="dxa" w:w="2088"/>
          </w:tcPr>
          <w:p>
            <w:r>
              <w:rPr>
                <w:rFonts w:ascii="Times New Roman" w:hAnsi="Times New Roman"/>
                <w:sz w:val="20"/>
              </w:rPr>
              <w:t>RATE_ENTRY</w:t>
            </w:r>
          </w:p>
        </w:tc>
      </w:tr>
      <w:tr>
        <w:tc>
          <w:tcPr>
            <w:tcW w:type="dxa" w:w="2376"/>
          </w:tcPr>
          <w:p>
            <w:r>
              <w:rPr>
                <w:rFonts w:ascii="Times New Roman" w:hAnsi="Times New Roman"/>
                <w:sz w:val="20"/>
              </w:rPr>
              <w:t>State machine (LOC)</w:t>
            </w:r>
          </w:p>
        </w:tc>
        <w:tc>
          <w:tcPr>
            <w:tcW w:type="dxa" w:w="1944"/>
          </w:tcPr>
          <w:p>
            <w:r>
              <w:rPr>
                <w:rFonts w:ascii="Times New Roman" w:hAnsi="Times New Roman"/>
                <w:sz w:val="20"/>
              </w:rPr>
              <w:t>503</w:t>
            </w:r>
          </w:p>
        </w:tc>
        <w:tc>
          <w:tcPr>
            <w:tcW w:type="dxa" w:w="2664"/>
          </w:tcPr>
          <w:p>
            <w:r>
              <w:rPr>
                <w:rFonts w:ascii="Times New Roman" w:hAnsi="Times New Roman"/>
                <w:sz w:val="20"/>
              </w:rPr>
              <w:t>1,195</w:t>
            </w:r>
          </w:p>
        </w:tc>
        <w:tc>
          <w:tcPr>
            <w:tcW w:type="dxa" w:w="2088"/>
          </w:tcPr>
          <w:p>
            <w:r>
              <w:rPr>
                <w:rFonts w:ascii="Times New Roman" w:hAnsi="Times New Roman"/>
                <w:sz w:val="20"/>
              </w:rPr>
              <w:t>323</w:t>
            </w:r>
          </w:p>
        </w:tc>
      </w:tr>
      <w:tr>
        <w:tc>
          <w:tcPr>
            <w:tcW w:type="dxa" w:w="2376"/>
          </w:tcPr>
          <w:p>
            <w:r>
              <w:rPr>
                <w:rFonts w:ascii="Times New Roman" w:hAnsi="Times New Roman"/>
                <w:sz w:val="20"/>
              </w:rPr>
              <w:t>Formal model available</w:t>
            </w:r>
          </w:p>
        </w:tc>
        <w:tc>
          <w:tcPr>
            <w:tcW w:type="dxa" w:w="1944"/>
          </w:tcPr>
          <w:p>
            <w:r>
              <w:rPr>
                <w:rFonts w:ascii="Times New Roman" w:hAnsi="Times New Roman"/>
                <w:sz w:val="20"/>
              </w:rPr>
              <w:t>Yes (PVSio-web [4])</w:t>
            </w:r>
          </w:p>
        </w:tc>
        <w:tc>
          <w:tcPr>
            <w:tcW w:type="dxa" w:w="2664"/>
          </w:tcPr>
          <w:p>
            <w:r>
              <w:rPr>
                <w:rFonts w:ascii="Times New Roman" w:hAnsi="Times New Roman"/>
                <w:sz w:val="20"/>
              </w:rPr>
              <w:t>No</w:t>
            </w:r>
          </w:p>
        </w:tc>
        <w:tc>
          <w:tcPr>
            <w:tcW w:type="dxa" w:w="2088"/>
          </w:tcPr>
          <w:p>
            <w:r>
              <w:rPr>
                <w:rFonts w:ascii="Times New Roman" w:hAnsi="Times New Roman"/>
                <w:sz w:val="20"/>
              </w:rPr>
              <w:t>No</w:t>
            </w:r>
          </w:p>
        </w:tc>
      </w:tr>
    </w:tbl>
    <w:p/>
    <w:p>
      <w:pPr>
        <w:spacing w:after="200"/>
        <w:jc w:val="center"/>
      </w:pPr>
      <w:r>
        <w:rPr>
          <w:rFonts w:ascii="Times New Roman" w:hAnsi="Times New Roman"/>
          <w:i/>
          <w:sz w:val="20"/>
        </w:rPr>
        <w:t>Table 1: Cross-device simulator comparison. *BD Alaris has published CVEs for the Alaris system family (CISA 2023) but these are outside the scope of this paper. LOC = lines of TypeScript in the state machine module only.</w:t>
      </w:r>
    </w:p>
    <w:p/>
    <w:p>
      <w:pPr>
        <w:pStyle w:val="Heading1"/>
      </w:pPr>
      <w:r>
        <w:rPr>
          <w:rFonts w:ascii="Times New Roman" w:hAnsi="Times New Roman"/>
          <w:b/>
          <w:sz w:val="26"/>
        </w:rPr>
        <w:t>5  Behavioural Fidelity Validation</w:t>
      </w:r>
    </w:p>
    <w:p>
      <w:pPr>
        <w:pStyle w:val="Heading2"/>
      </w:pPr>
      <w:r>
        <w:rPr>
          <w:rFonts w:ascii="Times New Roman" w:hAnsi="Times New Roman"/>
          <w:b/>
          <w:i w:val="0"/>
          <w:sz w:val="24"/>
        </w:rPr>
        <w:t>5.1  Validation Framework</w:t>
      </w:r>
    </w:p>
    <w:p>
      <w:pPr>
        <w:spacing w:after="120" w:before="0" w:line="280" w:lineRule="exact"/>
        <w:jc w:val="both"/>
      </w:pPr>
      <w:r>
        <w:rPr>
          <w:rFonts w:ascii="Times New Roman" w:hAnsi="Times New Roman"/>
          <w:b w:val="0"/>
          <w:i w:val="0"/>
          <w:sz w:val="24"/>
        </w:rPr>
        <w:t>A simulator that does not behave like the real device generates invalid data. Validating behavioural fidelity without access to physical hardware requires a structured argument from documentation rather than device-to-device comparison. We operationalise this as a Behavioural Fidelity Validation (BFV) suite in which every test assertion is explicitly anchored to one of three types of primary source: a specific DFU section, a published formal model specification, or a manufacturer-confirmed cybersecurity advisory. Tests are implemented as pure TypeScript functions integrated with the Vitest test runner, so they run as part of the standard npm test command and appear in CI results alongside unit tests. A separate report generator produces a structured JSON artefact (data/validation/report.json) containing the full test results with DFU references, expected values, actual simulator outputs, and PVSio-web alignment flags — the primary evidence document for this section of the paper.</w:t>
      </w:r>
    </w:p>
    <w:p>
      <w:pPr>
        <w:spacing w:after="120" w:before="0" w:line="280" w:lineRule="exact"/>
        <w:jc w:val="both"/>
      </w:pPr>
      <w:r>
        <w:rPr>
          <w:rFonts w:ascii="Times New Roman" w:hAnsi="Times New Roman"/>
          <w:b w:val="0"/>
          <w:i w:val="0"/>
          <w:sz w:val="24"/>
        </w:rPr>
        <w:t>Each BFV test case has five components: a unique identifier following the pattern BFV-{device}-{number} (e.g., BFV-AG-009); a description; a primary source reference; a human-readable expected outcome; and an executable assertion that evaluates the simulator's actual output. An optional sixth component, pvsioweb, flags Alaris GP tests that are also validated against the PVSio-web formal model as a secondary authority. Tests are grouped into four suites: Alaris GP (DFU BD 1000DF00152 and BDDF00535), B. Braun Infusomat Space (IFU 686N-GB and CISA ICSMA-21-294-01), Graseby 3100 (Operators Manual 2002 and NPSA Alert 2010), and cross-device comparison.</w:t>
      </w:r>
    </w:p>
    <w:p>
      <w:pPr>
        <w:pStyle w:val="Heading2"/>
      </w:pPr>
      <w:r>
        <w:rPr>
          <w:rFonts w:ascii="Times New Roman" w:hAnsi="Times New Roman"/>
          <w:b/>
          <w:i w:val="0"/>
          <w:sz w:val="24"/>
        </w:rPr>
        <w:t>5.2  Test Coverage and Results</w:t>
      </w:r>
    </w:p>
    <w:p>
      <w:pPr>
        <w:spacing w:after="120" w:before="0" w:line="280" w:lineRule="exact"/>
        <w:jc w:val="both"/>
      </w:pPr>
      <w:r>
        <w:rPr>
          <w:rFonts w:ascii="Times New Roman" w:hAnsi="Times New Roman"/>
          <w:b w:val="0"/>
          <w:i w:val="0"/>
          <w:sz w:val="24"/>
        </w:rPr>
        <w:t>Table 2 presents the full BFV test coverage and results.</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4032"/>
          </w:tcPr>
          <w:p>
            <w:r>
              <w:rPr>
                <w:rFonts w:ascii="Times New Roman" w:hAnsi="Times New Roman"/>
                <w:b/>
                <w:sz w:val="20"/>
              </w:rPr>
              <w:t>Device Suite</w:t>
            </w:r>
          </w:p>
        </w:tc>
        <w:tc>
          <w:tcPr>
            <w:tcW w:type="dxa" w:w="864"/>
          </w:tcPr>
          <w:p>
            <w:r>
              <w:rPr>
                <w:rFonts w:ascii="Times New Roman" w:hAnsi="Times New Roman"/>
                <w:b/>
                <w:sz w:val="20"/>
              </w:rPr>
              <w:t>Tests</w:t>
            </w:r>
          </w:p>
        </w:tc>
        <w:tc>
          <w:tcPr>
            <w:tcW w:type="dxa" w:w="936"/>
          </w:tcPr>
          <w:p>
            <w:r>
              <w:rPr>
                <w:rFonts w:ascii="Times New Roman" w:hAnsi="Times New Roman"/>
                <w:b/>
                <w:sz w:val="20"/>
              </w:rPr>
              <w:t>Passed</w:t>
            </w:r>
          </w:p>
        </w:tc>
        <w:tc>
          <w:tcPr>
            <w:tcW w:type="dxa" w:w="864"/>
          </w:tcPr>
          <w:p>
            <w:r>
              <w:rPr>
                <w:rFonts w:ascii="Times New Roman" w:hAnsi="Times New Roman"/>
                <w:b/>
                <w:sz w:val="20"/>
              </w:rPr>
              <w:t>Failed</w:t>
            </w:r>
          </w:p>
        </w:tc>
        <w:tc>
          <w:tcPr>
            <w:tcW w:type="dxa" w:w="1224"/>
          </w:tcPr>
          <w:p>
            <w:r>
              <w:rPr>
                <w:rFonts w:ascii="Times New Roman" w:hAnsi="Times New Roman"/>
                <w:b/>
                <w:sz w:val="20"/>
              </w:rPr>
              <w:t>Pass Rate</w:t>
            </w:r>
          </w:p>
        </w:tc>
        <w:tc>
          <w:tcPr>
            <w:tcW w:type="dxa" w:w="1728"/>
          </w:tcPr>
          <w:p>
            <w:r>
              <w:rPr>
                <w:rFonts w:ascii="Times New Roman" w:hAnsi="Times New Roman"/>
                <w:b/>
                <w:sz w:val="20"/>
              </w:rPr>
              <w:t>PVSio-web Aligned</w:t>
            </w:r>
          </w:p>
        </w:tc>
      </w:tr>
      <w:tr>
        <w:tc>
          <w:tcPr>
            <w:tcW w:type="dxa" w:w="4032"/>
          </w:tcPr>
          <w:p>
            <w:r>
              <w:rPr>
                <w:rFonts w:ascii="Times New Roman" w:hAnsi="Times New Roman"/>
                <w:sz w:val="20"/>
              </w:rPr>
              <w:t>Alaris GP (BD 1000DF00152 / BDDF00535)</w:t>
            </w:r>
          </w:p>
        </w:tc>
        <w:tc>
          <w:tcPr>
            <w:tcW w:type="dxa" w:w="864"/>
          </w:tcPr>
          <w:p>
            <w:r>
              <w:rPr>
                <w:rFonts w:ascii="Times New Roman" w:hAnsi="Times New Roman"/>
                <w:sz w:val="20"/>
              </w:rPr>
              <w:t>25</w:t>
            </w:r>
          </w:p>
        </w:tc>
        <w:tc>
          <w:tcPr>
            <w:tcW w:type="dxa" w:w="936"/>
          </w:tcPr>
          <w:p>
            <w:r>
              <w:rPr>
                <w:rFonts w:ascii="Times New Roman" w:hAnsi="Times New Roman"/>
                <w:sz w:val="20"/>
              </w:rPr>
              <w:t>25</w:t>
            </w:r>
          </w:p>
        </w:tc>
        <w:tc>
          <w:tcPr>
            <w:tcW w:type="dxa" w:w="864"/>
          </w:tcPr>
          <w:p>
            <w:r>
              <w:rPr>
                <w:rFonts w:ascii="Times New Roman" w:hAnsi="Times New Roman"/>
                <w:sz w:val="20"/>
              </w:rPr>
              <w:t>0</w:t>
            </w:r>
          </w:p>
        </w:tc>
        <w:tc>
          <w:tcPr>
            <w:tcW w:type="dxa" w:w="1224"/>
          </w:tcPr>
          <w:p>
            <w:r>
              <w:rPr>
                <w:rFonts w:ascii="Times New Roman" w:hAnsi="Times New Roman"/>
                <w:sz w:val="20"/>
              </w:rPr>
              <w:t>100%</w:t>
            </w:r>
          </w:p>
        </w:tc>
        <w:tc>
          <w:tcPr>
            <w:tcW w:type="dxa" w:w="1728"/>
          </w:tcPr>
          <w:p>
            <w:r>
              <w:rPr>
                <w:rFonts w:ascii="Times New Roman" w:hAnsi="Times New Roman"/>
                <w:sz w:val="20"/>
              </w:rPr>
              <w:t>10</w:t>
            </w:r>
          </w:p>
        </w:tc>
      </w:tr>
      <w:tr>
        <w:tc>
          <w:tcPr>
            <w:tcW w:type="dxa" w:w="4032"/>
          </w:tcPr>
          <w:p>
            <w:r>
              <w:rPr>
                <w:rFonts w:ascii="Times New Roman" w:hAnsi="Times New Roman"/>
                <w:sz w:val="20"/>
              </w:rPr>
              <w:t>B. Braun Infusomat Space (IFU 686N-GB / CISA)</w:t>
            </w:r>
          </w:p>
        </w:tc>
        <w:tc>
          <w:tcPr>
            <w:tcW w:type="dxa" w:w="864"/>
          </w:tcPr>
          <w:p>
            <w:r>
              <w:rPr>
                <w:rFonts w:ascii="Times New Roman" w:hAnsi="Times New Roman"/>
                <w:sz w:val="20"/>
              </w:rPr>
              <w:t>18</w:t>
            </w:r>
          </w:p>
        </w:tc>
        <w:tc>
          <w:tcPr>
            <w:tcW w:type="dxa" w:w="936"/>
          </w:tcPr>
          <w:p>
            <w:r>
              <w:rPr>
                <w:rFonts w:ascii="Times New Roman" w:hAnsi="Times New Roman"/>
                <w:sz w:val="20"/>
              </w:rPr>
              <w:t>18</w:t>
            </w:r>
          </w:p>
        </w:tc>
        <w:tc>
          <w:tcPr>
            <w:tcW w:type="dxa" w:w="864"/>
          </w:tcPr>
          <w:p>
            <w:r>
              <w:rPr>
                <w:rFonts w:ascii="Times New Roman" w:hAnsi="Times New Roman"/>
                <w:sz w:val="20"/>
              </w:rPr>
              <w:t>0</w:t>
            </w:r>
          </w:p>
        </w:tc>
        <w:tc>
          <w:tcPr>
            <w:tcW w:type="dxa" w:w="1224"/>
          </w:tcPr>
          <w:p>
            <w:r>
              <w:rPr>
                <w:rFonts w:ascii="Times New Roman" w:hAnsi="Times New Roman"/>
                <w:sz w:val="20"/>
              </w:rPr>
              <w:t>100%</w:t>
            </w:r>
          </w:p>
        </w:tc>
        <w:tc>
          <w:tcPr>
            <w:tcW w:type="dxa" w:w="1728"/>
          </w:tcPr>
          <w:p>
            <w:r>
              <w:rPr>
                <w:rFonts w:ascii="Times New Roman" w:hAnsi="Times New Roman"/>
                <w:sz w:val="20"/>
              </w:rPr>
              <w:t>N/A</w:t>
            </w:r>
          </w:p>
        </w:tc>
      </w:tr>
      <w:tr>
        <w:tc>
          <w:tcPr>
            <w:tcW w:type="dxa" w:w="4032"/>
          </w:tcPr>
          <w:p>
            <w:r>
              <w:rPr>
                <w:rFonts w:ascii="Times New Roman" w:hAnsi="Times New Roman"/>
                <w:sz w:val="20"/>
              </w:rPr>
              <w:t>Graseby 3100 (Operators Manual / NPSA 2010)</w:t>
            </w:r>
          </w:p>
        </w:tc>
        <w:tc>
          <w:tcPr>
            <w:tcW w:type="dxa" w:w="864"/>
          </w:tcPr>
          <w:p>
            <w:r>
              <w:rPr>
                <w:rFonts w:ascii="Times New Roman" w:hAnsi="Times New Roman"/>
                <w:sz w:val="20"/>
              </w:rPr>
              <w:t>10</w:t>
            </w:r>
          </w:p>
        </w:tc>
        <w:tc>
          <w:tcPr>
            <w:tcW w:type="dxa" w:w="936"/>
          </w:tcPr>
          <w:p>
            <w:r>
              <w:rPr>
                <w:rFonts w:ascii="Times New Roman" w:hAnsi="Times New Roman"/>
                <w:sz w:val="20"/>
              </w:rPr>
              <w:t>10</w:t>
            </w:r>
          </w:p>
        </w:tc>
        <w:tc>
          <w:tcPr>
            <w:tcW w:type="dxa" w:w="864"/>
          </w:tcPr>
          <w:p>
            <w:r>
              <w:rPr>
                <w:rFonts w:ascii="Times New Roman" w:hAnsi="Times New Roman"/>
                <w:sz w:val="20"/>
              </w:rPr>
              <w:t>0</w:t>
            </w:r>
          </w:p>
        </w:tc>
        <w:tc>
          <w:tcPr>
            <w:tcW w:type="dxa" w:w="1224"/>
          </w:tcPr>
          <w:p>
            <w:r>
              <w:rPr>
                <w:rFonts w:ascii="Times New Roman" w:hAnsi="Times New Roman"/>
                <w:sz w:val="20"/>
              </w:rPr>
              <w:t>100%</w:t>
            </w:r>
          </w:p>
        </w:tc>
        <w:tc>
          <w:tcPr>
            <w:tcW w:type="dxa" w:w="1728"/>
          </w:tcPr>
          <w:p>
            <w:r>
              <w:rPr>
                <w:rFonts w:ascii="Times New Roman" w:hAnsi="Times New Roman"/>
                <w:sz w:val="20"/>
              </w:rPr>
              <w:t>N/A</w:t>
            </w:r>
          </w:p>
        </w:tc>
      </w:tr>
      <w:tr>
        <w:tc>
          <w:tcPr>
            <w:tcW w:type="dxa" w:w="4032"/>
          </w:tcPr>
          <w:p>
            <w:r>
              <w:rPr>
                <w:rFonts w:ascii="Times New Roman" w:hAnsi="Times New Roman"/>
                <w:sz w:val="20"/>
              </w:rPr>
              <w:t>Cross-Device Comparison</w:t>
            </w:r>
          </w:p>
        </w:tc>
        <w:tc>
          <w:tcPr>
            <w:tcW w:type="dxa" w:w="864"/>
          </w:tcPr>
          <w:p>
            <w:r>
              <w:rPr>
                <w:rFonts w:ascii="Times New Roman" w:hAnsi="Times New Roman"/>
                <w:sz w:val="20"/>
              </w:rPr>
              <w:t>5</w:t>
            </w:r>
          </w:p>
        </w:tc>
        <w:tc>
          <w:tcPr>
            <w:tcW w:type="dxa" w:w="936"/>
          </w:tcPr>
          <w:p>
            <w:r>
              <w:rPr>
                <w:rFonts w:ascii="Times New Roman" w:hAnsi="Times New Roman"/>
                <w:sz w:val="20"/>
              </w:rPr>
              <w:t>5</w:t>
            </w:r>
          </w:p>
        </w:tc>
        <w:tc>
          <w:tcPr>
            <w:tcW w:type="dxa" w:w="864"/>
          </w:tcPr>
          <w:p>
            <w:r>
              <w:rPr>
                <w:rFonts w:ascii="Times New Roman" w:hAnsi="Times New Roman"/>
                <w:sz w:val="20"/>
              </w:rPr>
              <w:t>0</w:t>
            </w:r>
          </w:p>
        </w:tc>
        <w:tc>
          <w:tcPr>
            <w:tcW w:type="dxa" w:w="1224"/>
          </w:tcPr>
          <w:p>
            <w:r>
              <w:rPr>
                <w:rFonts w:ascii="Times New Roman" w:hAnsi="Times New Roman"/>
                <w:sz w:val="20"/>
              </w:rPr>
              <w:t>100%</w:t>
            </w:r>
          </w:p>
        </w:tc>
        <w:tc>
          <w:tcPr>
            <w:tcW w:type="dxa" w:w="1728"/>
          </w:tcPr>
          <w:p>
            <w:r>
              <w:rPr>
                <w:rFonts w:ascii="Times New Roman" w:hAnsi="Times New Roman"/>
                <w:sz w:val="20"/>
              </w:rPr>
              <w:t>N/A</w:t>
            </w:r>
          </w:p>
        </w:tc>
      </w:tr>
      <w:tr>
        <w:tc>
          <w:tcPr>
            <w:tcW w:type="dxa" w:w="4032"/>
          </w:tcPr>
          <w:p>
            <w:r>
              <w:rPr>
                <w:rFonts w:ascii="Times New Roman" w:hAnsi="Times New Roman"/>
                <w:sz w:val="20"/>
              </w:rPr>
              <w:t>Total</w:t>
            </w:r>
          </w:p>
        </w:tc>
        <w:tc>
          <w:tcPr>
            <w:tcW w:type="dxa" w:w="864"/>
          </w:tcPr>
          <w:p>
            <w:r>
              <w:rPr>
                <w:rFonts w:ascii="Times New Roman" w:hAnsi="Times New Roman"/>
                <w:sz w:val="20"/>
              </w:rPr>
              <w:t>58</w:t>
            </w:r>
          </w:p>
        </w:tc>
        <w:tc>
          <w:tcPr>
            <w:tcW w:type="dxa" w:w="936"/>
          </w:tcPr>
          <w:p>
            <w:r>
              <w:rPr>
                <w:rFonts w:ascii="Times New Roman" w:hAnsi="Times New Roman"/>
                <w:sz w:val="20"/>
              </w:rPr>
              <w:t>58</w:t>
            </w:r>
          </w:p>
        </w:tc>
        <w:tc>
          <w:tcPr>
            <w:tcW w:type="dxa" w:w="864"/>
          </w:tcPr>
          <w:p>
            <w:r>
              <w:rPr>
                <w:rFonts w:ascii="Times New Roman" w:hAnsi="Times New Roman"/>
                <w:sz w:val="20"/>
              </w:rPr>
              <w:t>0</w:t>
            </w:r>
          </w:p>
        </w:tc>
        <w:tc>
          <w:tcPr>
            <w:tcW w:type="dxa" w:w="1224"/>
          </w:tcPr>
          <w:p>
            <w:r>
              <w:rPr>
                <w:rFonts w:ascii="Times New Roman" w:hAnsi="Times New Roman"/>
                <w:sz w:val="20"/>
              </w:rPr>
              <w:t>100%</w:t>
            </w:r>
          </w:p>
        </w:tc>
        <w:tc>
          <w:tcPr>
            <w:tcW w:type="dxa" w:w="1728"/>
          </w:tcPr>
          <w:p>
            <w:r>
              <w:rPr>
                <w:rFonts w:ascii="Times New Roman" w:hAnsi="Times New Roman"/>
                <w:sz w:val="20"/>
              </w:rPr>
              <w:t>10</w:t>
            </w:r>
          </w:p>
        </w:tc>
      </w:tr>
    </w:tbl>
    <w:p/>
    <w:p>
      <w:pPr>
        <w:spacing w:after="200"/>
        <w:jc w:val="center"/>
      </w:pPr>
      <w:r>
        <w:rPr>
          <w:rFonts w:ascii="Times New Roman" w:hAnsi="Times New Roman"/>
          <w:i/>
          <w:sz w:val="20"/>
        </w:rPr>
        <w:t>Table 2: Behavioural Fidelity Validation results. PVSio-web Aligned = number of tests additionally verified against the published formal model.</w:t>
      </w:r>
    </w:p>
    <w:p>
      <w:pPr>
        <w:spacing w:after="120" w:before="0" w:line="280" w:lineRule="exact"/>
        <w:jc w:val="both"/>
      </w:pPr>
      <w:r>
        <w:rPr>
          <w:rFonts w:ascii="Times New Roman" w:hAnsi="Times New Roman"/>
          <w:b w:val="0"/>
          <w:i w:val="0"/>
          <w:sz w:val="24"/>
        </w:rPr>
        <w:t>The Alaris GP suite covers: initial state (LANGUAGE_SELECT), all valid transitions in the core programming workflow, chevron step magnitudes (STEP_LARGE=10, STEP_SMALL=1 matching DFU Table 1), boundary clamping at RATE_MIN (0.1 ml/h) and RATE_MAX (1200 ml/h), two-tier guardrail activation (soft warning and hard block), guardrail override logging (the most safety-critical logging invariant), direction-reversal correction detection, VTBI programming and confirmation, INFUSION_COMPLETE alarm when volumeInfused reaches VTBI, KVO rate activation at 1.0 ml/h (FACTORY_DEFAULTS.KVO_RATE), alarm priority ordering (OCCLUSION &gt; AIR_IN_LINE), KVO-active alarm silence behavior, and MANUAL mode guardrail bypass.</w:t>
      </w:r>
    </w:p>
    <w:p>
      <w:pPr>
        <w:spacing w:after="120" w:before="0" w:line="280" w:lineRule="exact"/>
        <w:jc w:val="both"/>
      </w:pPr>
      <w:r>
        <w:rPr>
          <w:rFonts w:ascii="Times New Roman" w:hAnsi="Times New Roman"/>
          <w:b w:val="0"/>
          <w:i w:val="0"/>
          <w:sz w:val="24"/>
        </w:rPr>
        <w:t>The B. Braun suite adds tests specific to the three-tier system: advisory zone boundary precision (rate 8.0 triggers RUNNING, rate 8.1 triggers GUARDRAIL_ADVISORY for morphine with softMax=10 and ADVISORY_ZONE_FRACTION=0.20), advisory acknowledgement versus explicit override (different event types), bolus clamping at 2.0 ml, SpaceCom2 connect/disconnect event logging, firmware unsigned flag as a permanent property (firmwareSigned=false in both BRAUN_DEFAULTS and initial state), and direct rate editing without a rateBuffer field.</w:t>
      </w:r>
    </w:p>
    <w:p>
      <w:pPr>
        <w:spacing w:after="120" w:before="0" w:line="280" w:lineRule="exact"/>
        <w:jc w:val="both"/>
      </w:pPr>
      <w:r>
        <w:rPr>
          <w:rFonts w:ascii="Times New Roman" w:hAnsi="Times New Roman"/>
          <w:b w:val="0"/>
          <w:i w:val="0"/>
          <w:sz w:val="24"/>
        </w:rPr>
        <w:t>The Graseby suite focuses on the structural and behavioral contrasts with the guardrailed devices: immediate RATE_ENTRY on power-on (no language or startup screen), zero-guardrail acceptance of any valid rate (pressStart at 150 ml/h transitions directly to RUNNING), rejection of rate=0, RATE_MAX=199.9 ml/h confirmed in both constants and boundary behavior, SYRINGE_EMPTY alarm, and structural verification that the state type contains no drug library, VTBI, or bolus fields.</w:t>
      </w:r>
    </w:p>
    <w:p>
      <w:pPr>
        <w:spacing w:after="120" w:before="0" w:line="280" w:lineRule="exact"/>
        <w:jc w:val="both"/>
      </w:pPr>
      <w:r>
        <w:rPr>
          <w:rFonts w:ascii="Times New Roman" w:hAnsi="Times New Roman"/>
          <w:b w:val="0"/>
          <w:i w:val="0"/>
          <w:sz w:val="24"/>
        </w:rPr>
        <w:t>The five cross-device tests verify the comparative claims that are central to the research enabled by the platform: guardrail tier counts (Alaris=2, B.Braun=3, Graseby=0), bolus maxima (Alaris=5ml, B.Braun=2ml, Graseby N/A), shared chevron step sizes across all three devices (STEP_LARGE=10, STEP_SMALL=1), rate maxima (Alaris=B.Braun=1200 ml/h, Graseby=199.9 ml/h), and initial screens (LANGUAGE_SELECT / STARTUP / RATE_ENTRY).</w:t>
      </w:r>
    </w:p>
    <w:p>
      <w:pPr>
        <w:pStyle w:val="Heading2"/>
      </w:pPr>
      <w:r>
        <w:rPr>
          <w:rFonts w:ascii="Times New Roman" w:hAnsi="Times New Roman"/>
          <w:b/>
          <w:i w:val="0"/>
          <w:sz w:val="24"/>
        </w:rPr>
        <w:t>5.3  Scope and Limitations</w:t>
      </w:r>
    </w:p>
    <w:p>
      <w:pPr>
        <w:spacing w:after="120" w:before="0" w:line="280" w:lineRule="exact"/>
        <w:jc w:val="both"/>
      </w:pPr>
      <w:r>
        <w:rPr>
          <w:rFonts w:ascii="Times New Roman" w:hAnsi="Times New Roman"/>
          <w:b w:val="0"/>
          <w:i w:val="0"/>
          <w:sz w:val="24"/>
        </w:rPr>
        <w:t>The BFV suite demonstrates that the simulators match their documentary specifications. It does not demonstrate that the simulators match the physical hardware, and this distinction is important for interpreting research findings based on simulated data. Three categories of discrepancy are possible and are acknowledged explicitly.</w:t>
      </w:r>
    </w:p>
    <w:p>
      <w:pPr>
        <w:spacing w:after="120" w:before="0" w:line="280" w:lineRule="exact"/>
        <w:jc w:val="both"/>
      </w:pPr>
      <w:r>
        <w:rPr>
          <w:rFonts w:ascii="Times New Roman" w:hAnsi="Times New Roman"/>
          <w:b w:val="0"/>
          <w:i w:val="0"/>
          <w:sz w:val="24"/>
        </w:rPr>
        <w:t>First, documentation incompleteness. Manufacturer DFU documents are occasionally ambiguous or silent on edge cases. The Alaris GP DFU, for example, describes chevron acceleration qualitatively ("faster" and "slower") without specifying the 500ms / 80ms timing parameters, which are sourced from the PVSio-web model [4]. Where our interpretation differs from the hardware's actual behaviour, the simulator will be wrong in a way the documentation-grounded tests cannot detect.</w:t>
      </w:r>
    </w:p>
    <w:p>
      <w:pPr>
        <w:spacing w:after="120" w:before="0" w:line="280" w:lineRule="exact"/>
        <w:jc w:val="both"/>
      </w:pPr>
      <w:r>
        <w:rPr>
          <w:rFonts w:ascii="Times New Roman" w:hAnsi="Times New Roman"/>
          <w:b w:val="0"/>
          <w:i w:val="0"/>
          <w:sz w:val="24"/>
        </w:rPr>
        <w:t>Second, firmware variation. The DFU documents referenced are the most recent publicly available editions. Earlier firmware versions may have had different guardrail thresholds, alarm priorities, or screen flows. Research conclusions should note the firmware version(s) on which the relevant DFU is based.</w:t>
      </w:r>
    </w:p>
    <w:p>
      <w:pPr>
        <w:spacing w:after="200" w:before="0" w:line="280" w:lineRule="exact"/>
        <w:jc w:val="both"/>
      </w:pPr>
      <w:r>
        <w:rPr>
          <w:rFonts w:ascii="Times New Roman" w:hAnsi="Times New Roman"/>
          <w:b w:val="0"/>
          <w:i w:val="0"/>
          <w:sz w:val="24"/>
        </w:rPr>
        <w:t>Third, physical interaction context. The simulator models the logical state machine, not the physical device experience. Haptic feedback, display brightness, alarm volume, and reaction time under clinical stress conditions are not captured. Studies of alarm fatigue, physical error recovery, or nurse workflow integration require physical devices in realistic clinical environments.</w:t>
      </w:r>
    </w:p>
    <w:p>
      <w:pPr>
        <w:pStyle w:val="Heading1"/>
      </w:pPr>
      <w:r>
        <w:rPr>
          <w:rFonts w:ascii="Times New Roman" w:hAnsi="Times New Roman"/>
          <w:b/>
          <w:sz w:val="26"/>
        </w:rPr>
        <w:t>6  Research Enabled by the Platform</w:t>
      </w:r>
    </w:p>
    <w:p>
      <w:pPr>
        <w:pStyle w:val="Heading2"/>
      </w:pPr>
      <w:r>
        <w:rPr>
          <w:rFonts w:ascii="Times New Roman" w:hAnsi="Times New Roman"/>
          <w:b/>
          <w:i w:val="0"/>
          <w:sz w:val="24"/>
        </w:rPr>
        <w:t>6.1  AI Safety and Security Dataset Generation</w:t>
      </w:r>
    </w:p>
    <w:p>
      <w:pPr>
        <w:spacing w:after="120" w:before="0" w:line="280" w:lineRule="exact"/>
        <w:jc w:val="both"/>
      </w:pPr>
      <w:r>
        <w:rPr>
          <w:rFonts w:ascii="Times New Roman" w:hAnsi="Times New Roman"/>
          <w:b w:val="0"/>
          <w:i w:val="0"/>
          <w:sz w:val="24"/>
        </w:rPr>
        <w:t>The primary research application driving this platform is an AI-powered safety and security ranking system for infusion pump fleets [12]. Each simulator is connected to a programmatic scenario generator that drives the state machine through clinical programming sequences without human interaction. Four scenario profiles — ideal (well-maintained, connected, current library), neglected (overdue maintenance, outdated library, disconnected), cyber-risk (known firmware CVE, connected but vulnerable), and emergency (MANUAL mode only, no drug library) — define the ranges of device state parameters. For each scenario, the generator records the complete session log and extracts a 48-field feature vector covering interaction metrics (entry time, correction count, boundary hits, error magnitude), configuration choices (drug library used, guardrail override, VTBI set, bolus delivered), and system state (firmware version risk, maintenance age, battery level, network connectivity, drug library age). A rule engine applies 26 evidence-based risk rules to assign a risk label (low / medium / high) and continuous risk score (0.0–1.0). The full pipeline generates 1,000 labeled records across all three devices in under 30 seconds.</w:t>
      </w:r>
    </w:p>
    <w:p>
      <w:pPr>
        <w:pStyle w:val="Heading2"/>
      </w:pPr>
      <w:r>
        <w:rPr>
          <w:rFonts w:ascii="Times New Roman" w:hAnsi="Times New Roman"/>
          <w:b/>
          <w:i w:val="0"/>
          <w:sz w:val="24"/>
        </w:rPr>
        <w:t>6.2  Cross-Device Comparative Analysis</w:t>
      </w:r>
    </w:p>
    <w:p>
      <w:pPr>
        <w:spacing w:after="120" w:before="0" w:line="280" w:lineRule="exact"/>
        <w:jc w:val="both"/>
      </w:pPr>
      <w:r>
        <w:rPr>
          <w:rFonts w:ascii="Times New Roman" w:hAnsi="Times New Roman"/>
          <w:b w:val="0"/>
          <w:i w:val="0"/>
          <w:sz w:val="24"/>
        </w:rPr>
        <w:t>Because all three simulators implement the same event log schema and feature extraction pipeline, their outputs are directly comparable. A researcher can apply the same clinical scenario — for example, programming morphine at a rate that exceeds the soft limit and observing whether the nurse overrides — across all three devices and compare the resulting session logs, feature vectors, and risk scores without any data transformation. The structural differences revealed by this comparison are themselves a research finding: the Graseby 3100 produces no guardrail-related events for the same scenario that produces GUARDRAIL_WARNING and a potential guardrail_override on the Alaris GP, and GUARDRAIL_ADVISORY followed by GUARDRAIL_WARNING on the B. Braun — three qualitatively different behavioral signatures for an identical clinical programming sequence.</w:t>
      </w:r>
    </w:p>
    <w:p>
      <w:pPr>
        <w:pStyle w:val="Heading2"/>
      </w:pPr>
      <w:r>
        <w:rPr>
          <w:rFonts w:ascii="Times New Roman" w:hAnsi="Times New Roman"/>
          <w:b/>
          <w:i w:val="0"/>
          <w:sz w:val="24"/>
        </w:rPr>
        <w:t>6.3  Guardrail Override Behavior Analysis</w:t>
      </w:r>
    </w:p>
    <w:p>
      <w:pPr>
        <w:spacing w:after="120" w:before="0" w:line="280" w:lineRule="exact"/>
        <w:jc w:val="both"/>
      </w:pPr>
      <w:r>
        <w:rPr>
          <w:rFonts w:ascii="Times New Roman" w:hAnsi="Times New Roman"/>
          <w:b w:val="0"/>
          <w:i w:val="0"/>
          <w:sz w:val="24"/>
        </w:rPr>
        <w:t>Guardrail override events are captured as first-class log entries with full context: timestamp, current rate, drug name, guardrail tier, and the choice made (override, re-enter, or advisory acknowledgement). This enables analysis of override patterns that has been difficult to study with physical devices because clinical observation studies require ethical approval, observer presence, and access to clinical staff during actual programming sessions. The simulator generates override scenarios programmatically at any desired scale, enabling statistical analysis of override frequency as a function of drug type, rate magnitude, device type, and guardrail tier — research questions that the existing literature has addressed only partially due to access constraints [6,7].</w:t>
      </w:r>
    </w:p>
    <w:p>
      <w:pPr>
        <w:pStyle w:val="Heading2"/>
      </w:pPr>
      <w:r>
        <w:rPr>
          <w:rFonts w:ascii="Times New Roman" w:hAnsi="Times New Roman"/>
          <w:b/>
          <w:i w:val="0"/>
          <w:sz w:val="24"/>
        </w:rPr>
        <w:t>6.4  Security Research Without Device Access</w:t>
      </w:r>
    </w:p>
    <w:p>
      <w:pPr>
        <w:spacing w:after="200" w:before="0" w:line="280" w:lineRule="exact"/>
        <w:jc w:val="both"/>
      </w:pPr>
      <w:r>
        <w:rPr>
          <w:rFonts w:ascii="Times New Roman" w:hAnsi="Times New Roman"/>
          <w:b w:val="0"/>
          <w:i w:val="0"/>
          <w:sz w:val="24"/>
        </w:rPr>
        <w:t>The B. Braun simulator models CVE-2021-33885 and CVE-2021-33882 as runtime-observable device properties (firmwareSigned, spacecom2Connected) that appear in training records. This enables research into how cybersecurity risk interacts with clinical programming behavior in composite safety scoring — research that would require physical access to B. Braun hardware and potentially a controlled network environment to conduct on real devices. The simulator allows this interaction to be studied purely in software, generating training data that explicitly represents the compound risk of a networked device with unsigned firmware being programmed in MANUAL mode outside its guardrail limits.</w:t>
      </w:r>
    </w:p>
    <w:p>
      <w:pPr>
        <w:pStyle w:val="Heading1"/>
      </w:pPr>
      <w:r>
        <w:rPr>
          <w:rFonts w:ascii="Times New Roman" w:hAnsi="Times New Roman"/>
          <w:b/>
          <w:sz w:val="26"/>
        </w:rPr>
        <w:t>7  Discussion</w:t>
      </w:r>
    </w:p>
    <w:p>
      <w:pPr>
        <w:pStyle w:val="Heading2"/>
      </w:pPr>
      <w:r>
        <w:rPr>
          <w:rFonts w:ascii="Times New Roman" w:hAnsi="Times New Roman"/>
          <w:b/>
          <w:i w:val="0"/>
          <w:sz w:val="24"/>
        </w:rPr>
        <w:t>7.1  The Case for Open-Source Device Simulation</w:t>
      </w:r>
    </w:p>
    <w:p>
      <w:pPr>
        <w:spacing w:after="120" w:before="0" w:line="280" w:lineRule="exact"/>
        <w:jc w:val="both"/>
      </w:pPr>
      <w:r>
        <w:rPr>
          <w:rFonts w:ascii="Times New Roman" w:hAnsi="Times New Roman"/>
          <w:b w:val="0"/>
          <w:i w:val="0"/>
          <w:sz w:val="24"/>
        </w:rPr>
        <w:t>Physical infusion pump access creates a structural barrier that concentrates medical device safety research in well-funded clinical institutions. The methodology described in this paper — DFU to state machine — is available to any researcher with access to a device manual and basic TypeScript skills. The DFU documents for the Alaris GP, B. Braun Infusomat Space, and Graseby 3100 are all publicly available through hospital equipment archives and equipment servicing resources. The tools required (TypeScript, Node.js, Vitest) are free. The resulting platform is open-source.</w:t>
      </w:r>
    </w:p>
    <w:p>
      <w:pPr>
        <w:spacing w:after="120" w:before="0" w:line="280" w:lineRule="exact"/>
        <w:jc w:val="both"/>
      </w:pPr>
      <w:r>
        <w:rPr>
          <w:rFonts w:ascii="Times New Roman" w:hAnsi="Times New Roman"/>
          <w:b w:val="0"/>
          <w:i w:val="0"/>
          <w:sz w:val="24"/>
        </w:rPr>
        <w:t>This democratisation argument must be tempered by the validation limitation identified in Section 5.3: a simulator built from documentation cannot guarantee behavioral equivalence with hardware. Researchers using simulation-generated data to draw conclusions about real clinical behaviour should treat the platform as a hypothesis generator: simulation findings identify patterns and thresholds worth investigating with real device studies, rather than replacing such studies.</w:t>
      </w:r>
    </w:p>
    <w:p>
      <w:pPr>
        <w:pStyle w:val="Heading2"/>
      </w:pPr>
      <w:r>
        <w:rPr>
          <w:rFonts w:ascii="Times New Roman" w:hAnsi="Times New Roman"/>
          <w:b/>
          <w:i w:val="0"/>
          <w:sz w:val="24"/>
        </w:rPr>
        <w:t>7.2  Extending the Methodology to Other Devices</w:t>
      </w:r>
    </w:p>
    <w:p>
      <w:pPr>
        <w:spacing w:after="120" w:before="0" w:line="280" w:lineRule="exact"/>
        <w:jc w:val="both"/>
      </w:pPr>
      <w:r>
        <w:rPr>
          <w:rFonts w:ascii="Times New Roman" w:hAnsi="Times New Roman"/>
          <w:b w:val="0"/>
          <w:i w:val="0"/>
          <w:sz w:val="24"/>
        </w:rPr>
        <w:t>The four-step methodology is device-agnostic. The main variables affecting application effort are documentation quality and formal model availability. Modern devices with detailed DFUs and published formal models — such as the Alaris GP — yield the most confident simulators and the strongest validation claims. Legacy devices with sparse documentation — such as the Graseby 3100, whose 2002 manual contains minimal detail on alarm sequencing and timing — require more interpretation and produce less certain simulators. Devices with no publicly available DFU — increasingly common as manufacturers move to proprietary service documentation — cannot be simulated by this method without documentation access.</w:t>
      </w:r>
    </w:p>
    <w:p>
      <w:pPr>
        <w:pStyle w:val="Heading2"/>
      </w:pPr>
      <w:r>
        <w:rPr>
          <w:rFonts w:ascii="Times New Roman" w:hAnsi="Times New Roman"/>
          <w:b/>
          <w:i w:val="0"/>
          <w:sz w:val="24"/>
        </w:rPr>
        <w:t>7.3  Synthetic vs. Real Interaction Data</w:t>
      </w:r>
    </w:p>
    <w:p>
      <w:pPr>
        <w:spacing w:after="200" w:before="0" w:line="280" w:lineRule="exact"/>
        <w:jc w:val="both"/>
      </w:pPr>
      <w:r>
        <w:rPr>
          <w:rFonts w:ascii="Times New Roman" w:hAnsi="Times New Roman"/>
          <w:b w:val="0"/>
          <w:i w:val="0"/>
          <w:sz w:val="24"/>
        </w:rPr>
        <w:t>All interaction features in the training dataset are synthetically generated by the scenario generator, not recorded from human participants programming the simulators. The implications of this are significant and should be stated explicitly. The behavioural metrics in Layer 1 — correction count, entry time, boundary hit count — are assigned by the scenario profile rather than emerging from observed human behaviour. This means the dataset is valid for demonstrating that the scoring framework correctly classifies known risk patterns, but it cannot reveal whether real nurses produce the correction counts, entry times, and boundary hit frequencies that the rules assume. A prospective user study using the simulator as a research platform — recording real interaction metrics from participants programming clinical scenarios — is a critical next step for empirical validation of the framework.</w:t>
      </w:r>
    </w:p>
    <w:p>
      <w:pPr>
        <w:pStyle w:val="Heading1"/>
      </w:pPr>
      <w:r>
        <w:rPr>
          <w:rFonts w:ascii="Times New Roman" w:hAnsi="Times New Roman"/>
          <w:b/>
          <w:sz w:val="26"/>
        </w:rPr>
        <w:t>8  Conclusion</w:t>
      </w:r>
    </w:p>
    <w:p>
      <w:pPr>
        <w:spacing w:after="120" w:before="0" w:line="280" w:lineRule="exact"/>
        <w:jc w:val="both"/>
      </w:pPr>
      <w:r>
        <w:rPr>
          <w:rFonts w:ascii="Times New Roman" w:hAnsi="Times New Roman"/>
          <w:b w:val="0"/>
          <w:i w:val="0"/>
          <w:sz w:val="24"/>
        </w:rPr>
        <w:t>This paper has presented a methodology and open-source platform for building behaviorally faithful infusion pump simulators from manufacturer documentation, demonstrated across three devices spanning the range of clinical complexity: the BD Alaris GP, the B. Braun Infusomat Space, and the Graseby 3100 syringe driver. The four-step methodology — DFU analysis, pure functional state machine encoding, guardrail logic implementation, and automated data pipeline construction — is reproducible, device-agnostic, and requires no physical device access.</w:t>
      </w:r>
    </w:p>
    <w:p>
      <w:pPr>
        <w:spacing w:after="120" w:before="0" w:line="280" w:lineRule="exact"/>
        <w:jc w:val="both"/>
      </w:pPr>
      <w:r>
        <w:rPr>
          <w:rFonts w:ascii="Times New Roman" w:hAnsi="Times New Roman"/>
          <w:b w:val="0"/>
          <w:i w:val="0"/>
          <w:sz w:val="24"/>
        </w:rPr>
        <w:t>The 58-test Behavioural Fidelity Validation suite, achieving 100% pass rate across all three devices with every assertion traceable to a primary source, provides evidence of simulator correctness to a standard not typically reported in related work. The platform enables AI safety and security research at a scale and across a device range that would be logistically infeasible with physical hardware, and provides the data generation infrastructure for an ongoing AI-powered infusion pump fleet ranking programme.</w:t>
      </w:r>
    </w:p>
    <w:p>
      <w:pPr>
        <w:spacing w:after="200" w:before="0" w:line="280" w:lineRule="exact"/>
        <w:jc w:val="both"/>
      </w:pPr>
      <w:r>
        <w:rPr>
          <w:rFonts w:ascii="Times New Roman" w:hAnsi="Times New Roman"/>
          <w:b w:val="0"/>
          <w:i w:val="0"/>
          <w:sz w:val="24"/>
        </w:rPr>
        <w:t>The primary contribution of this work is methodological: the demonstration that research-grade, multi-device infusion pump simulation can be produced from publicly available documentation by a small research team, and validated with transparent, reproducible evidence. This makes infusion pump safety and security research accessible to groups that would otherwise be excluded by the cost and availability of physical devices — a non-trivial widening of who can meaningfully contribute to an important clinical problem.</w:t>
      </w:r>
    </w:p>
    <w:p>
      <w:pPr>
        <w:pStyle w:val="Heading1"/>
      </w:pPr>
      <w:r>
        <w:rPr>
          <w:rFonts w:ascii="Times New Roman" w:hAnsi="Times New Roman"/>
          <w:b/>
          <w:sz w:val="26"/>
        </w:rPr>
        <w:t>References</w:t>
      </w:r>
    </w:p>
    <w:p>
      <w:pPr>
        <w:spacing w:after="80" w:line="260" w:lineRule="exact"/>
        <w:ind w:left="576" w:hanging="576"/>
        <w:jc w:val="both"/>
      </w:pPr>
      <w:r>
        <w:rPr>
          <w:rFonts w:ascii="Times New Roman" w:hAnsi="Times New Roman"/>
          <w:sz w:val="22"/>
        </w:rPr>
        <w:t>[1]  U.S. Food and Drug Administration (2010) Infusion Pump Improvement Initiative. White Paper, Center for Devices and Radiological Health, Silver Spring, MD.</w:t>
      </w:r>
    </w:p>
    <w:p>
      <w:pPr>
        <w:spacing w:after="80" w:line="260" w:lineRule="exact"/>
        <w:ind w:left="576" w:hanging="576"/>
        <w:jc w:val="both"/>
      </w:pPr>
      <w:r>
        <w:rPr>
          <w:rFonts w:ascii="Times New Roman" w:hAnsi="Times New Roman"/>
          <w:sz w:val="22"/>
        </w:rPr>
        <w:t>[2]  Thimbleby, H. and Cairns, P. (2010) 'Reducing number entry errors: solving a widespread, serious problem', Journal of the Royal Society Interface, 7(51), pp. 1429–1439. doi:10.1098/rsif.2010.0112</w:t>
      </w:r>
    </w:p>
    <w:p>
      <w:pPr>
        <w:spacing w:after="80" w:line="260" w:lineRule="exact"/>
        <w:ind w:left="576" w:hanging="576"/>
        <w:jc w:val="both"/>
      </w:pPr>
      <w:r>
        <w:rPr>
          <w:rFonts w:ascii="Times New Roman" w:hAnsi="Times New Roman"/>
          <w:sz w:val="22"/>
        </w:rPr>
        <w:t>[3]  Cauchi, A., Curzon, P., Eslambolchilar, P., Gimblett, A., Huang, H., Lee, P., Li, Y., Masci, P., Oladimeji, P., Ruksenas, R. and Thimbleby, H. (2011) 'Towards dependable number entry for medical devices', in Proc. EICS4Med Workshop at ACM CHI. CHI-MED Project. Available: www.chi-med.ac.uk</w:t>
      </w:r>
    </w:p>
    <w:p>
      <w:pPr>
        <w:spacing w:after="80" w:line="260" w:lineRule="exact"/>
        <w:ind w:left="576" w:hanging="576"/>
        <w:jc w:val="both"/>
      </w:pPr>
      <w:r>
        <w:rPr>
          <w:rFonts w:ascii="Times New Roman" w:hAnsi="Times New Roman"/>
          <w:sz w:val="22"/>
        </w:rPr>
        <w:t>[4]  Masci, P., Ruksenas, R., Oladimeji, P., Cauchi, A., Gimblett, A., Li, Y., Curzon, P. and Thimbleby, H. (2011) 'On formalising interactive number entry on infusion pumps', in Proc. Fourth International Workshop on Formal Methods for Interactive Systems (FMIS 2011). Springer, pp. 81–98. PVSio-web demo: http://www.pvsioweb.org/demos/AlarisGP</w:t>
      </w:r>
    </w:p>
    <w:p>
      <w:pPr>
        <w:spacing w:after="80" w:line="260" w:lineRule="exact"/>
        <w:ind w:left="576" w:hanging="576"/>
        <w:jc w:val="both"/>
      </w:pPr>
      <w:r>
        <w:rPr>
          <w:rFonts w:ascii="Times New Roman" w:hAnsi="Times New Roman"/>
          <w:sz w:val="22"/>
        </w:rPr>
        <w:t>[5]  Rajkomar, A., Blandford, A. and Mayer, A. (2012) 'Physiological closed-loop simulation for infusion pump interface design verification', Anaesthesia, 67(1), pp. 58–66. doi:10.1111/j.1365-2044.2011.06955.x</w:t>
      </w:r>
    </w:p>
    <w:p>
      <w:pPr>
        <w:spacing w:after="80" w:line="260" w:lineRule="exact"/>
        <w:ind w:left="576" w:hanging="576"/>
        <w:jc w:val="both"/>
      </w:pPr>
      <w:r>
        <w:rPr>
          <w:rFonts w:ascii="Times New Roman" w:hAnsi="Times New Roman"/>
          <w:sz w:val="22"/>
        </w:rPr>
        <w:t>[6]  Cassano-Piché, A.L., Fan, M., Sabovitch, J., Elke, M. and Easty, A.C. (2012) 'Multiple intravenous infusions phase 1b: Practice and training scan', Ontario Health Technology Assessment Series, 12(16), pp. 1–132.</w:t>
      </w:r>
    </w:p>
    <w:p>
      <w:pPr>
        <w:spacing w:after="80" w:line="260" w:lineRule="exact"/>
        <w:ind w:left="576" w:hanging="576"/>
        <w:jc w:val="both"/>
      </w:pPr>
      <w:r>
        <w:rPr>
          <w:rFonts w:ascii="Times New Roman" w:hAnsi="Times New Roman"/>
          <w:sz w:val="22"/>
        </w:rPr>
        <w:t>[7]  Ohashi, K., Dalleur, O., Dykes, P.C. and Bates, D.W. (2014) 'Benefits and risks of using smart pumps to reduce medication error rates: a systematic review', Drug Safety, 37(12), pp. 1011–1020. doi:10.1007/s40264-014-0232-7</w:t>
      </w:r>
    </w:p>
    <w:p>
      <w:pPr>
        <w:spacing w:after="80" w:line="260" w:lineRule="exact"/>
        <w:ind w:left="576" w:hanging="576"/>
        <w:jc w:val="both"/>
      </w:pPr>
      <w:r>
        <w:rPr>
          <w:rFonts w:ascii="Times New Roman" w:hAnsi="Times New Roman"/>
          <w:sz w:val="22"/>
        </w:rPr>
        <w:t>[8]  Cybersecurity and Infrastructure Security Agency (2021) ICS Medical Advisory ICSMA-21-294-01: B. Braun Infusomat Space Large Volume Pump and SpaceCom2. Washington, DC: US Department of Homeland Security.</w:t>
      </w:r>
    </w:p>
    <w:p>
      <w:pPr>
        <w:spacing w:after="80" w:line="260" w:lineRule="exact"/>
        <w:ind w:left="576" w:hanging="576"/>
        <w:jc w:val="both"/>
      </w:pPr>
      <w:r>
        <w:rPr>
          <w:rFonts w:ascii="Times New Roman" w:hAnsi="Times New Roman"/>
          <w:sz w:val="22"/>
        </w:rPr>
        <w:t>[9]  National Patient Safety Agency (2010) Safer use of syringe drivers in palliative care. NPSA Patient Safety Alert NPSA/2010/RRR019, London.</w:t>
      </w:r>
    </w:p>
    <w:p>
      <w:pPr>
        <w:spacing w:after="80" w:line="260" w:lineRule="exact"/>
        <w:ind w:left="576" w:hanging="576"/>
        <w:jc w:val="both"/>
      </w:pPr>
      <w:r>
        <w:rPr>
          <w:rFonts w:ascii="Times New Roman" w:hAnsi="Times New Roman"/>
          <w:sz w:val="22"/>
        </w:rPr>
        <w:t>[10] BD Medical (2017) Alaris GP Volumetric Infusion Pump — Directions For Use, Document 1000DF00152 Issue 1. Becton Dickinson.</w:t>
      </w:r>
    </w:p>
    <w:p>
      <w:pPr>
        <w:spacing w:after="80" w:line="260" w:lineRule="exact"/>
        <w:ind w:left="576" w:hanging="576"/>
        <w:jc w:val="both"/>
      </w:pPr>
      <w:r>
        <w:rPr>
          <w:rFonts w:ascii="Times New Roman" w:hAnsi="Times New Roman"/>
          <w:sz w:val="22"/>
        </w:rPr>
        <w:t>[11] Graseby Medical Ltd (2002) Graseby 3100 Syringe Driver — Operators Manual. Ardus Medical.</w:t>
      </w:r>
    </w:p>
    <w:p>
      <w:pPr>
        <w:spacing w:after="80" w:line="260" w:lineRule="exact"/>
        <w:ind w:left="576" w:hanging="576"/>
        <w:jc w:val="both"/>
      </w:pPr>
      <w:r>
        <w:rPr>
          <w:rFonts w:ascii="Times New Roman" w:hAnsi="Times New Roman"/>
          <w:sz w:val="22"/>
        </w:rPr>
        <w:t>[12] Samy, N. (2025) 'An AI-Empowered Safety and Security Ranking System for Infusion Pump Medical Devices', QR Seed Pilot Study, University [Institution].</w:t>
      </w:r>
    </w:p>
    <w:p>
      <w:pPr>
        <w:spacing w:after="80" w:line="260" w:lineRule="exact"/>
        <w:ind w:left="576" w:hanging="576"/>
        <w:jc w:val="both"/>
      </w:pPr>
      <w:r>
        <w:rPr>
          <w:rFonts w:ascii="Times New Roman" w:hAnsi="Times New Roman"/>
          <w:sz w:val="22"/>
        </w:rPr>
        <w:t>[13] B. Braun Medical (2024) Infusomat Space Large Volume Pump — Instructions for Use, Document 686N-GB. B. Braun Melsungen AG.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