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br/>
        <w:t>INTERNSHIP SUBMISSION REPORT</w:t>
      </w:r>
    </w:p>
    <w:p>
      <w:pPr>
        <w:jc w:val="center"/>
      </w:pPr>
      <w:r>
        <w:rPr>
          <w:b/>
          <w:sz w:val="36"/>
        </w:rPr>
        <w:t>SAP FICO – WEEK 2</w:t>
      </w:r>
    </w:p>
    <w:p>
      <w:pPr>
        <w:jc w:val="center"/>
      </w:pPr>
      <w:r>
        <w:rPr>
          <w:sz w:val="28"/>
        </w:rPr>
        <w:br/>
        <w:t>SAP FICO Configuration</w:t>
        <w:br/>
        <w:t>A Beginner-Friendly Detailed Configuration Guide</w:t>
      </w:r>
    </w:p>
    <w:tbl>
      <w:tblPr>
        <w:tblStyle w:val="TableGrid"/>
        <w:tblW w:type="auto" w:w="0"/>
        <w:jc w:val="center"/>
        <w:tblLook w:firstColumn="1" w:firstRow="1" w:lastColumn="0" w:lastRow="0" w:noHBand="0" w:noVBand="1" w:val="04A0"/>
      </w:tblPr>
      <w:tblGrid>
        <w:gridCol w:w="4968"/>
        <w:gridCol w:w="4968"/>
      </w:tblGrid>
      <w:tr>
        <w:tc>
          <w:tcPr>
            <w:tcW w:type="dxa" w:w="4968"/>
          </w:tcPr>
          <w:p>
            <w:r>
              <w:t>Internship Platform</w:t>
            </w:r>
          </w:p>
        </w:tc>
        <w:tc>
          <w:tcPr>
            <w:tcW w:type="dxa" w:w="4968"/>
          </w:tcPr>
          <w:p>
            <w:r>
              <w:t>YuvaIntern</w:t>
            </w:r>
          </w:p>
        </w:tc>
      </w:tr>
      <w:tr>
        <w:tc>
          <w:tcPr>
            <w:tcW w:type="dxa" w:w="4968"/>
          </w:tcPr>
          <w:p>
            <w:r>
              <w:t>Internship</w:t>
            </w:r>
          </w:p>
        </w:tc>
        <w:tc>
          <w:tcPr>
            <w:tcW w:type="dxa" w:w="4968"/>
          </w:tcPr>
          <w:p>
            <w:r>
              <w:t>SAP FICO Internship</w:t>
            </w:r>
          </w:p>
        </w:tc>
      </w:tr>
      <w:tr>
        <w:tc>
          <w:tcPr>
            <w:tcW w:type="dxa" w:w="4968"/>
          </w:tcPr>
          <w:p>
            <w:r>
              <w:t>Task</w:t>
            </w:r>
          </w:p>
        </w:tc>
        <w:tc>
          <w:tcPr>
            <w:tcW w:type="dxa" w:w="4968"/>
          </w:tcPr>
          <w:p>
            <w:r>
              <w:t>Week 2 – SAP FICO Configuration</w:t>
            </w:r>
          </w:p>
        </w:tc>
      </w:tr>
      <w:tr>
        <w:tc>
          <w:tcPr>
            <w:tcW w:type="dxa" w:w="4968"/>
          </w:tcPr>
          <w:p>
            <w:r>
              <w:t>Start Date</w:t>
            </w:r>
          </w:p>
        </w:tc>
        <w:tc>
          <w:tcPr>
            <w:tcW w:type="dxa" w:w="4968"/>
          </w:tcPr>
          <w:p>
            <w:r>
              <w:t>24-Aug-2026</w:t>
            </w:r>
          </w:p>
        </w:tc>
      </w:tr>
      <w:tr>
        <w:tc>
          <w:tcPr>
            <w:tcW w:type="dxa" w:w="4968"/>
          </w:tcPr>
          <w:p>
            <w:r>
              <w:t>End Date</w:t>
            </w:r>
          </w:p>
        </w:tc>
        <w:tc>
          <w:tcPr>
            <w:tcW w:type="dxa" w:w="4968"/>
          </w:tcPr>
          <w:p>
            <w:r>
              <w:t>05-Oct-2026</w:t>
            </w:r>
          </w:p>
        </w:tc>
      </w:tr>
      <w:tr>
        <w:tc>
          <w:tcPr>
            <w:tcW w:type="dxa" w:w="4968"/>
          </w:tcPr>
          <w:p>
            <w:r>
              <w:t>Duration</w:t>
            </w:r>
          </w:p>
        </w:tc>
        <w:tc>
          <w:tcPr>
            <w:tcW w:type="dxa" w:w="4968"/>
          </w:tcPr>
          <w:p>
            <w:r>
              <w:t>6 Weeks</w:t>
            </w:r>
          </w:p>
        </w:tc>
      </w:tr>
      <w:tr>
        <w:tc>
          <w:tcPr>
            <w:tcW w:type="dxa" w:w="4968"/>
          </w:tcPr>
          <w:p>
            <w:r>
              <w:t>Deliverable</w:t>
            </w:r>
          </w:p>
        </w:tc>
        <w:tc>
          <w:tcPr>
            <w:tcW w:type="dxa" w:w="4968"/>
          </w:tcPr>
          <w:p>
            <w:r>
              <w:t>Detailed Configuration Guide</w:t>
            </w:r>
          </w:p>
        </w:tc>
      </w:tr>
      <w:tr>
        <w:tc>
          <w:tcPr>
            <w:tcW w:type="dxa" w:w="4968"/>
          </w:tcPr>
          <w:p>
            <w:r>
              <w:t>GitHub Repository</w:t>
            </w:r>
          </w:p>
        </w:tc>
        <w:tc>
          <w:tcPr>
            <w:tcW w:type="dxa" w:w="4968"/>
          </w:tcPr>
          <w:p>
            <w:r>
              <w:t>To be added</w:t>
            </w:r>
          </w:p>
        </w:tc>
      </w:tr>
    </w:tbl>
    <w:p>
      <w:r>
        <w:br w:type="page"/>
      </w:r>
    </w:p>
    <w:p>
      <w:pPr>
        <w:pStyle w:val="Heading1"/>
      </w:pPr>
      <w:r>
        <w:t>1. Objective</w:t>
      </w:r>
    </w:p>
    <w:p>
      <w:r>
        <w:t>This Week 2 task explains the major configuration activities used to prepare SAP FICO for business operations. It is written for beginners and focuses on the purpose, sequence, dependencies and testing of configuration activities.</w:t>
      </w:r>
    </w:p>
    <w:p>
      <w:r>
        <w:t>SAP configuration differs by product and release. SAP S/4HANA Cloud commonly uses configuration activities and Fiori apps, while SAP S/4HANA on-premise/private edition commonly uses IMG/Customizing. Therefore, this guide explains the configuration concepts and gives representative GUI/IMG paths where useful. Exact screens and options must be checked in the target SAP release.</w:t>
      </w:r>
    </w:p>
    <w:p>
      <w:pPr>
        <w:pStyle w:val="Heading1"/>
      </w:pPr>
      <w:r>
        <w:t>2. What is SAP FICO Configuration?</w:t>
      </w:r>
    </w:p>
    <w:p>
      <w:r>
        <w:t>Configuration is the process of translating business, accounting and reporting requirements into SAP system settings. It defines how SAP handles organizational structures, ledgers, fiscal periods, documents, G/L accounts, taxes, subledgers, controlling objects and integrated business transactions.</w:t>
      </w:r>
    </w:p>
    <w:p>
      <w:pPr>
        <w:pStyle w:val="ListBullet"/>
      </w:pPr>
      <w:r>
        <w:t>Configuration should be performed only in an authorized development/configuration environment.</w:t>
      </w:r>
    </w:p>
    <w:p>
      <w:pPr>
        <w:pStyle w:val="ListBullet"/>
      </w:pPr>
      <w:r>
        <w:t>Every change should have a documented business reason.</w:t>
      </w:r>
    </w:p>
    <w:p>
      <w:pPr>
        <w:pStyle w:val="ListBullet"/>
      </w:pPr>
      <w:r>
        <w:t>Configuration should be tested before production use.</w:t>
      </w:r>
    </w:p>
    <w:p>
      <w:pPr>
        <w:pStyle w:val="ListBullet"/>
      </w:pPr>
      <w:r>
        <w:t>Approved changes should follow the organization's transport and change-control process.</w:t>
      </w:r>
    </w:p>
    <w:p>
      <w:pPr>
        <w:pStyle w:val="ListBullet"/>
      </w:pPr>
      <w:r>
        <w:t>Never change productive financial configuration without appropriate authorization.</w:t>
      </w:r>
    </w:p>
    <w:p>
      <w:pPr>
        <w:pStyle w:val="Heading1"/>
      </w:pPr>
      <w:r>
        <w:t>3. Prerequisites</w:t>
      </w:r>
    </w:p>
    <w:p>
      <w:pPr>
        <w:pStyle w:val="ListBullet"/>
      </w:pPr>
      <w:r>
        <w:t>Basic knowledge of debit, credit, G/L, AP, AR, assets, revenue and expenses.</w:t>
      </w:r>
    </w:p>
    <w:p>
      <w:pPr>
        <w:pStyle w:val="ListBullet"/>
      </w:pPr>
      <w:r>
        <w:t>Knowledge of the organization's legal entities, currencies and fiscal calendar.</w:t>
      </w:r>
    </w:p>
    <w:p>
      <w:pPr>
        <w:pStyle w:val="ListBullet"/>
      </w:pPr>
      <w:r>
        <w:t>Approved chart of accounts and accounting requirements.</w:t>
      </w:r>
    </w:p>
    <w:p>
      <w:pPr>
        <w:pStyle w:val="ListBullet"/>
      </w:pPr>
      <w:r>
        <w:t>Knowledge of the target SAP product/release.</w:t>
      </w:r>
    </w:p>
    <w:p>
      <w:pPr>
        <w:pStyle w:val="ListBullet"/>
      </w:pPr>
      <w:r>
        <w:t>Appropriate configuration authorization.</w:t>
      </w:r>
    </w:p>
    <w:p>
      <w:pPr>
        <w:pStyle w:val="ListBullet"/>
      </w:pPr>
      <w:r>
        <w:t>A configuration workbook containing requirements, decisions and test cases.</w:t>
      </w:r>
    </w:p>
    <w:p>
      <w:pPr>
        <w:pStyle w:val="Heading1"/>
      </w:pPr>
      <w:r>
        <w:t>4. High-Level Configuration Sequence</w:t>
      </w:r>
    </w:p>
    <w:p>
      <w:pPr>
        <w:pStyle w:val="ListNumber"/>
      </w:pPr>
      <w:r>
        <w:t>Define/review organizational structure.</w:t>
      </w:r>
    </w:p>
    <w:p>
      <w:pPr>
        <w:pStyle w:val="ListNumber"/>
      </w:pPr>
      <w:r>
        <w:t>Create or review the company code.</w:t>
      </w:r>
    </w:p>
    <w:p>
      <w:pPr>
        <w:pStyle w:val="ListNumber"/>
      </w:pPr>
      <w:r>
        <w:t>Assign the chart of accounts and fiscal year.</w:t>
      </w:r>
    </w:p>
    <w:p>
      <w:pPr>
        <w:pStyle w:val="ListNumber"/>
      </w:pPr>
      <w:r>
        <w:t>Configure posting-period control.</w:t>
      </w:r>
    </w:p>
    <w:p>
      <w:pPr>
        <w:pStyle w:val="ListNumber"/>
      </w:pPr>
      <w:r>
        <w:t>Configure ledgers, currencies and accounting principles.</w:t>
      </w:r>
    </w:p>
    <w:p>
      <w:pPr>
        <w:pStyle w:val="ListNumber"/>
      </w:pPr>
      <w:r>
        <w:t>Configure document types and number ranges.</w:t>
      </w:r>
    </w:p>
    <w:p>
      <w:pPr>
        <w:pStyle w:val="ListNumber"/>
      </w:pPr>
      <w:r>
        <w:t>Review posting keys and field-status controls.</w:t>
      </w:r>
    </w:p>
    <w:p>
      <w:pPr>
        <w:pStyle w:val="ListNumber"/>
      </w:pPr>
      <w:r>
        <w:t>Create/configure G/L accounts.</w:t>
      </w:r>
    </w:p>
    <w:p>
      <w:pPr>
        <w:pStyle w:val="ListNumber"/>
      </w:pPr>
      <w:r>
        <w:t>Configure AP and AR.</w:t>
      </w:r>
    </w:p>
    <w:p>
      <w:pPr>
        <w:pStyle w:val="ListNumber"/>
      </w:pPr>
      <w:r>
        <w:t>Configure tax and automatic account determination.</w:t>
      </w:r>
    </w:p>
    <w:p>
      <w:pPr>
        <w:pStyle w:val="ListNumber"/>
      </w:pPr>
      <w:r>
        <w:t>Configure CO objects such as cost centers and profit centers.</w:t>
      </w:r>
    </w:p>
    <w:p>
      <w:pPr>
        <w:pStyle w:val="ListNumber"/>
      </w:pPr>
      <w:r>
        <w:t>Configure FI-MM, FI-SD and Asset Accounting integration.</w:t>
      </w:r>
    </w:p>
    <w:p>
      <w:pPr>
        <w:pStyle w:val="ListNumber"/>
      </w:pPr>
      <w:r>
        <w:t>Perform end-to-end testing and document results.</w:t>
      </w:r>
    </w:p>
    <w:p>
      <w:pPr>
        <w:pStyle w:val="Heading1"/>
      </w:pPr>
      <w:r>
        <w:t>5. Company Code Configuration</w:t>
      </w:r>
    </w:p>
    <w:p>
      <w:r>
        <w:t>A company code is a key organizational unit for Financial Accounting. SAP Learning identifies company code data such as the four-character key, company name, address, country, currency and language, along with global Finance parameters such as chart of accounts and fiscal year. [1]</w:t>
      </w:r>
    </w:p>
    <w:p>
      <w:pPr>
        <w:pStyle w:val="ListNumber"/>
      </w:pPr>
      <w:r>
        <w:t>Open the authorized SAP configuration/IMG environment.</w:t>
      </w:r>
    </w:p>
    <w:p>
      <w:pPr>
        <w:pStyle w:val="ListNumber"/>
      </w:pPr>
      <w:r>
        <w:t>Navigate, in GUI-based systems, to Enterprise Structure → Definition → Financial Accounting → Edit, Copy, Delete, Check Company Code.</w:t>
      </w:r>
    </w:p>
    <w:p>
      <w:pPr>
        <w:pStyle w:val="ListNumber"/>
      </w:pPr>
      <w:r>
        <w:t>Create or copy a company code according to the project's design.</w:t>
      </w:r>
    </w:p>
    <w:p>
      <w:pPr>
        <w:pStyle w:val="ListNumber"/>
      </w:pPr>
      <w:r>
        <w:t>Maintain key, name, country, currency, language and address.</w:t>
      </w:r>
    </w:p>
    <w:p>
      <w:pPr>
        <w:pStyle w:val="ListNumber"/>
      </w:pPr>
      <w:r>
        <w:t>Save and document the company code.</w:t>
      </w:r>
    </w:p>
    <w:p>
      <w:pPr>
        <w:pStyle w:val="ListNumber"/>
      </w:pPr>
      <w:r>
        <w:t>Assign required Finance settings later in the configuration sequence.</w:t>
      </w:r>
    </w:p>
    <w:p>
      <w:r>
        <w:t>Training example: Z100. Use only approved training identifiers in a sandbox.</w:t>
      </w:r>
    </w:p>
    <w:p>
      <w:pPr>
        <w:pStyle w:val="Heading1"/>
      </w:pPr>
      <w:r>
        <w:t>6. Chart of Accounts</w:t>
      </w:r>
    </w:p>
    <w:p>
      <w:r>
        <w:t>The chart of accounts is the structured collection of G/L accounts used by a company code. It provides the accounting framework for classifying transactions.</w:t>
      </w:r>
    </w:p>
    <w:p>
      <w:pPr>
        <w:pStyle w:val="ListNumber"/>
      </w:pPr>
      <w:r>
        <w:t>Determine statutory and management-reporting requirements.</w:t>
      </w:r>
    </w:p>
    <w:p>
      <w:pPr>
        <w:pStyle w:val="ListNumber"/>
      </w:pPr>
      <w:r>
        <w:t>Select or create the appropriate chart of accounts.</w:t>
      </w:r>
    </w:p>
    <w:p>
      <w:pPr>
        <w:pStyle w:val="ListNumber"/>
      </w:pPr>
      <w:r>
        <w:t>Define account groups and number ranges.</w:t>
      </w:r>
    </w:p>
    <w:p>
      <w:pPr>
        <w:pStyle w:val="ListNumber"/>
      </w:pPr>
      <w:r>
        <w:t>Assign the chart of accounts to the company code.</w:t>
      </w:r>
    </w:p>
    <w:p>
      <w:pPr>
        <w:pStyle w:val="ListNumber"/>
      </w:pPr>
      <w:r>
        <w:t>Create G/L accounts within the approved structure.</w:t>
      </w:r>
    </w:p>
    <w:p>
      <w:r>
        <w:t>Account structure should be designed carefully because it affects reporting, integration and historical analysis.</w:t>
      </w:r>
    </w:p>
    <w:p>
      <w:pPr>
        <w:pStyle w:val="Heading1"/>
      </w:pPr>
      <w:r>
        <w:t>7. Fiscal Year Variant</w:t>
      </w:r>
    </w:p>
    <w:p>
      <w:r>
        <w:t>A fiscal year variant defines the relationship between calendar dates and fiscal periods. SAP documentation states that it defines the number of periods and their start/end dates and is assigned to company codes. It can represent a calendar year or a non-calendar fiscal year. [2][3]</w:t>
      </w:r>
    </w:p>
    <w:p>
      <w:pPr>
        <w:pStyle w:val="ListNumber"/>
      </w:pPr>
      <w:r>
        <w:t>Identify the organization's fiscal calendar.</w:t>
      </w:r>
    </w:p>
    <w:p>
      <w:pPr>
        <w:pStyle w:val="ListNumber"/>
      </w:pPr>
      <w:r>
        <w:t>Determine normal and special periods.</w:t>
      </w:r>
    </w:p>
    <w:p>
      <w:pPr>
        <w:pStyle w:val="ListNumber"/>
      </w:pPr>
      <w:r>
        <w:t>Create or select the fiscal year variant.</w:t>
      </w:r>
    </w:p>
    <w:p>
      <w:pPr>
        <w:pStyle w:val="ListNumber"/>
      </w:pPr>
      <w:r>
        <w:t>Define period dates when required.</w:t>
      </w:r>
    </w:p>
    <w:p>
      <w:pPr>
        <w:pStyle w:val="ListNumber"/>
      </w:pPr>
      <w:r>
        <w:t>Assign it to the company code.</w:t>
      </w:r>
    </w:p>
    <w:p>
      <w:pPr>
        <w:pStyle w:val="ListNumber"/>
      </w:pPr>
      <w:r>
        <w:t>Test posting-date and fiscal-period determination.</w:t>
      </w:r>
    </w:p>
    <w:p>
      <w:pPr>
        <w:pStyle w:val="Heading1"/>
      </w:pPr>
      <w:r>
        <w:t>8. Posting Period Variant</w:t>
      </w:r>
    </w:p>
    <w:p>
      <w:r>
        <w:t>The fiscal year variant defines periods; the posting period variant controls which periods are open for posting. SAP Learning explains that posting-period variants can be assigned to company codes and can control periods by account type or account range. [4]</w:t>
      </w:r>
    </w:p>
    <w:p>
      <w:pPr>
        <w:pStyle w:val="ListNumber"/>
      </w:pPr>
      <w:r>
        <w:t>Create or select a posting period variant.</w:t>
      </w:r>
    </w:p>
    <w:p>
      <w:pPr>
        <w:pStyle w:val="ListNumber"/>
      </w:pPr>
      <w:r>
        <w:t>Assign it to the company code.</w:t>
      </w:r>
    </w:p>
    <w:p>
      <w:pPr>
        <w:pStyle w:val="ListNumber"/>
      </w:pPr>
      <w:r>
        <w:t>Open the required normal posting period.</w:t>
      </w:r>
    </w:p>
    <w:p>
      <w:pPr>
        <w:pStyle w:val="ListNumber"/>
      </w:pPr>
      <w:r>
        <w:t>Restrict periods for selected account types where required.</w:t>
      </w:r>
    </w:p>
    <w:p>
      <w:pPr>
        <w:pStyle w:val="ListNumber"/>
      </w:pPr>
      <w:r>
        <w:t>Use controlled special periods for closing activities when applicable.</w:t>
      </w:r>
    </w:p>
    <w:p>
      <w:pPr>
        <w:pStyle w:val="ListNumber"/>
      </w:pPr>
      <w:r>
        <w:t>Test both an allowed posting and a closed-period posting.</w:t>
      </w:r>
    </w:p>
    <w:p>
      <w:pPr>
        <w:pStyle w:val="Heading1"/>
      </w:pPr>
      <w:r>
        <w:t>9. Ledgers and Accounting Principles</w:t>
      </w:r>
    </w:p>
    <w:p>
      <w:r>
        <w:t>SAP S/4HANA requires a leading ledger and can also use additional standard or extension ledgers. SAP documentation describes settings for company-code assignments, currencies, fiscal year variants, posting-period variants and accounting principles. [5]</w:t>
      </w:r>
    </w:p>
    <w:p>
      <w:pPr>
        <w:pStyle w:val="ListNumber"/>
      </w:pPr>
      <w:r>
        <w:t>Confirm reporting and accounting-principle requirements.</w:t>
      </w:r>
    </w:p>
    <w:p>
      <w:pPr>
        <w:pStyle w:val="ListNumber"/>
      </w:pPr>
      <w:r>
        <w:t>Review the leading ledger.</w:t>
      </w:r>
    </w:p>
    <w:p>
      <w:pPr>
        <w:pStyle w:val="ListNumber"/>
      </w:pPr>
      <w:r>
        <w:t>Create additional ledgers only when required.</w:t>
      </w:r>
    </w:p>
    <w:p>
      <w:pPr>
        <w:pStyle w:val="ListNumber"/>
      </w:pPr>
      <w:r>
        <w:t>Assign company codes to ledgers.</w:t>
      </w:r>
    </w:p>
    <w:p>
      <w:pPr>
        <w:pStyle w:val="ListNumber"/>
      </w:pPr>
      <w:r>
        <w:t>Maintain currency and fiscal-year settings.</w:t>
      </w:r>
    </w:p>
    <w:p>
      <w:pPr>
        <w:pStyle w:val="ListNumber"/>
      </w:pPr>
      <w:r>
        <w:t>Assign accounting principles where parallel accounting is required.</w:t>
      </w:r>
    </w:p>
    <w:p>
      <w:pPr>
        <w:pStyle w:val="ListNumber"/>
      </w:pPr>
      <w:r>
        <w:t>Test ledger-specific reporting.</w:t>
      </w:r>
    </w:p>
    <w:p>
      <w:pPr>
        <w:pStyle w:val="Heading1"/>
      </w:pPr>
      <w:r>
        <w:t>10. Document Types and Number Ranges</w:t>
      </w:r>
    </w:p>
    <w:p>
      <w:r>
        <w:t>SAP follows the document principle: a business transaction is represented by an accounting document. SAP Learning states that an FI document is uniquely identified by document number, company code and fiscal year. Document types control document characteristics, while number ranges control document numbering. [6]</w:t>
      </w:r>
    </w:p>
    <w:p>
      <w:pPr>
        <w:pStyle w:val="ListNumber"/>
      </w:pPr>
      <w:r>
        <w:t>Identify required transaction categories.</w:t>
      </w:r>
    </w:p>
    <w:p>
      <w:pPr>
        <w:pStyle w:val="ListNumber"/>
      </w:pPr>
      <w:r>
        <w:t>Define/review document types.</w:t>
      </w:r>
    </w:p>
    <w:p>
      <w:pPr>
        <w:pStyle w:val="ListNumber"/>
      </w:pPr>
      <w:r>
        <w:t>Define document number ranges.</w:t>
      </w:r>
    </w:p>
    <w:p>
      <w:pPr>
        <w:pStyle w:val="ListNumber"/>
      </w:pPr>
      <w:r>
        <w:t>Assign appropriate ranges according to the configuration design.</w:t>
      </w:r>
    </w:p>
    <w:p>
      <w:pPr>
        <w:pStyle w:val="ListNumber"/>
      </w:pPr>
      <w:r>
        <w:t>Test document creation and numbering.</w:t>
      </w:r>
    </w:p>
    <w:p>
      <w:r>
        <w:t>Standard SAP document types should generally be retained unless a documented business requirement requires additional configuration.</w:t>
      </w:r>
    </w:p>
    <w:p>
      <w:pPr>
        <w:pStyle w:val="Heading1"/>
      </w:pPr>
      <w:r>
        <w:t>11. Posting Keys</w:t>
      </w:r>
    </w:p>
    <w:p>
      <w:r>
        <w:t>Posting keys control important characteristics of FI line items, including account type and debit/credit behavior. SAP provides standard keys such as 40 for G/L debit and 50 for G/L credit, with additional keys for customer and vendor postings. [7]</w:t>
      </w:r>
    </w:p>
    <w:p>
      <w:pPr>
        <w:pStyle w:val="ListBullet"/>
      </w:pPr>
      <w:r>
        <w:t>40 – G/L debit</w:t>
      </w:r>
    </w:p>
    <w:p>
      <w:pPr>
        <w:pStyle w:val="ListBullet"/>
      </w:pPr>
      <w:r>
        <w:t>50 – G/L credit</w:t>
      </w:r>
    </w:p>
    <w:p>
      <w:pPr>
        <w:pStyle w:val="ListBullet"/>
      </w:pPr>
      <w:r>
        <w:t>01 – customer debit/invoice</w:t>
      </w:r>
    </w:p>
    <w:p>
      <w:pPr>
        <w:pStyle w:val="ListBullet"/>
      </w:pPr>
      <w:r>
        <w:t>11 – customer credit</w:t>
      </w:r>
    </w:p>
    <w:p>
      <w:pPr>
        <w:pStyle w:val="ListBullet"/>
      </w:pPr>
      <w:r>
        <w:t>21 and 31 – standard vendor-related posting examples</w:t>
      </w:r>
    </w:p>
    <w:p>
      <w:r>
        <w:t>Beginners should understand posting keys conceptually. Custom posting keys should not be created merely for practice; standard SAP controls should be used where possible.</w:t>
      </w:r>
    </w:p>
    <w:p>
      <w:pPr>
        <w:pStyle w:val="Heading1"/>
      </w:pPr>
      <w:r>
        <w:t>12. Field Status</w:t>
      </w:r>
    </w:p>
    <w:p>
      <w:r>
        <w:t>Field status controls whether fields on G/L line items are hidden, optional or required. It helps enforce the information needed for accounting and management reporting.</w:t>
      </w:r>
    </w:p>
    <w:p>
      <w:pPr>
        <w:pStyle w:val="ListNumber"/>
      </w:pPr>
      <w:r>
        <w:t>Identify required fields by business process.</w:t>
      </w:r>
    </w:p>
    <w:p>
      <w:pPr>
        <w:pStyle w:val="ListNumber"/>
      </w:pPr>
      <w:r>
        <w:t>Define/review field status variants.</w:t>
      </w:r>
    </w:p>
    <w:p>
      <w:pPr>
        <w:pStyle w:val="ListNumber"/>
      </w:pPr>
      <w:r>
        <w:t>Assign the field status variant to the company code.</w:t>
      </w:r>
    </w:p>
    <w:p>
      <w:pPr>
        <w:pStyle w:val="ListNumber"/>
      </w:pPr>
      <w:r>
        <w:t>Assign field status groups to G/L accounts.</w:t>
      </w:r>
    </w:p>
    <w:p>
      <w:pPr>
        <w:pStyle w:val="ListNumber"/>
      </w:pPr>
      <w:r>
        <w:t>Test postings to confirm required fields and screen behavior.</w:t>
      </w:r>
    </w:p>
    <w:p>
      <w:pPr>
        <w:pStyle w:val="Heading1"/>
      </w:pPr>
      <w:r>
        <w:t>13. G/L Account Configuration</w:t>
      </w:r>
    </w:p>
    <w:p>
      <w:pPr>
        <w:pStyle w:val="ListNumber"/>
      </w:pPr>
      <w:r>
        <w:t>Define G/L account groups and number ranges.</w:t>
      </w:r>
    </w:p>
    <w:p>
      <w:pPr>
        <w:pStyle w:val="ListNumber"/>
      </w:pPr>
      <w:r>
        <w:t>Create G/L accounts under the appropriate chart of accounts.</w:t>
      </w:r>
    </w:p>
    <w:p>
      <w:pPr>
        <w:pStyle w:val="ListNumber"/>
      </w:pPr>
      <w:r>
        <w:t>Maintain account type and company-code data.</w:t>
      </w:r>
    </w:p>
    <w:p>
      <w:pPr>
        <w:pStyle w:val="ListNumber"/>
      </w:pPr>
      <w:r>
        <w:t>Assign field status groups.</w:t>
      </w:r>
    </w:p>
    <w:p>
      <w:pPr>
        <w:pStyle w:val="ListNumber"/>
      </w:pPr>
      <w:r>
        <w:t>Maintain tax and other control settings where required.</w:t>
      </w:r>
    </w:p>
    <w:p>
      <w:pPr>
        <w:pStyle w:val="ListNumber"/>
      </w:pPr>
      <w:r>
        <w:t>Test debit and credit postings.</w:t>
      </w:r>
    </w:p>
    <w:p>
      <w:r>
        <w:t>Example: an expense account may require a cost center so that management can analyze departmental spending.</w:t>
      </w:r>
    </w:p>
    <w:p>
      <w:pPr>
        <w:pStyle w:val="Heading1"/>
      </w:pPr>
      <w:r>
        <w:t>14. Accounts Payable and Accounts Receivable</w:t>
      </w:r>
    </w:p>
    <w:p>
      <w:r>
        <w:t>AP manages supplier accounting and AR manages customer accounting. Reconciliation accounts connect subledger activity to the General Ledger.</w:t>
      </w:r>
    </w:p>
    <w:p>
      <w:pPr>
        <w:pStyle w:val="ListNumber"/>
      </w:pPr>
      <w:r>
        <w:t>Define relevant customer/vendor account groups and number ranges.</w:t>
      </w:r>
    </w:p>
    <w:p>
      <w:pPr>
        <w:pStyle w:val="ListNumber"/>
      </w:pPr>
      <w:r>
        <w:t>Configure company-code settings.</w:t>
      </w:r>
    </w:p>
    <w:p>
      <w:pPr>
        <w:pStyle w:val="ListNumber"/>
      </w:pPr>
      <w:r>
        <w:t>Define or confirm reconciliation accounts.</w:t>
      </w:r>
    </w:p>
    <w:p>
      <w:pPr>
        <w:pStyle w:val="ListNumber"/>
      </w:pPr>
      <w:r>
        <w:t>Maintain payment terms and payment methods as required.</w:t>
      </w:r>
    </w:p>
    <w:p>
      <w:pPr>
        <w:pStyle w:val="ListNumber"/>
      </w:pPr>
      <w:r>
        <w:t>Configure payment/dunning processes if in scope.</w:t>
      </w:r>
    </w:p>
    <w:p>
      <w:pPr>
        <w:pStyle w:val="ListNumber"/>
      </w:pPr>
      <w:r>
        <w:t>Create test master data.</w:t>
      </w:r>
    </w:p>
    <w:p>
      <w:pPr>
        <w:pStyle w:val="ListNumber"/>
      </w:pPr>
      <w:r>
        <w:t>Post test invoices, payments and clearing transactions.</w:t>
      </w:r>
    </w:p>
    <w:p>
      <w:pPr>
        <w:pStyle w:val="Heading1"/>
      </w:pPr>
      <w:r>
        <w:t>15. Tax Configuration</w:t>
      </w:r>
    </w:p>
    <w:p>
      <w:r>
        <w:t>Tax configuration is country-specific and legally sensitive. It should be designed with approved tax requirements.</w:t>
      </w:r>
    </w:p>
    <w:p>
      <w:pPr>
        <w:pStyle w:val="ListNumber"/>
      </w:pPr>
      <w:r>
        <w:t>Identify applicable tax requirements.</w:t>
      </w:r>
    </w:p>
    <w:p>
      <w:pPr>
        <w:pStyle w:val="ListNumber"/>
      </w:pPr>
      <w:r>
        <w:t>Confirm localization/country settings.</w:t>
      </w:r>
    </w:p>
    <w:p>
      <w:pPr>
        <w:pStyle w:val="ListNumber"/>
      </w:pPr>
      <w:r>
        <w:t>Define or review tax codes and rates.</w:t>
      </w:r>
    </w:p>
    <w:p>
      <w:pPr>
        <w:pStyle w:val="ListNumber"/>
      </w:pPr>
      <w:r>
        <w:t>Configure relevant tax accounts.</w:t>
      </w:r>
    </w:p>
    <w:p>
      <w:pPr>
        <w:pStyle w:val="ListNumber"/>
      </w:pPr>
      <w:r>
        <w:t>Test taxable and non-taxable transactions.</w:t>
      </w:r>
    </w:p>
    <w:p>
      <w:pPr>
        <w:pStyle w:val="ListNumber"/>
      </w:pPr>
      <w:r>
        <w:t>Verify tax postings and reports with finance/tax stakeholders.</w:t>
      </w:r>
    </w:p>
    <w:p>
      <w:pPr>
        <w:pStyle w:val="Heading1"/>
      </w:pPr>
      <w:r>
        <w:t>16. Automatic Account Determination</w:t>
      </w:r>
    </w:p>
    <w:p>
      <w:r>
        <w:t>Automatic account determination tells SAP which G/L accounts to use when integrated business processes generate accounting entries.</w:t>
      </w:r>
    </w:p>
    <w:p>
      <w:pPr>
        <w:pStyle w:val="ListNumber"/>
      </w:pPr>
      <w:r>
        <w:t>Identify the business process.</w:t>
      </w:r>
    </w:p>
    <w:p>
      <w:pPr>
        <w:pStyle w:val="ListNumber"/>
      </w:pPr>
      <w:r>
        <w:t>Identify the accounting event.</w:t>
      </w:r>
    </w:p>
    <w:p>
      <w:pPr>
        <w:pStyle w:val="ListNumber"/>
      </w:pPr>
      <w:r>
        <w:t>Identify valuation and organizational factors.</w:t>
      </w:r>
    </w:p>
    <w:p>
      <w:pPr>
        <w:pStyle w:val="ListNumber"/>
      </w:pPr>
      <w:r>
        <w:t>Map the event to the approved G/L account.</w:t>
      </w:r>
    </w:p>
    <w:p>
      <w:pPr>
        <w:pStyle w:val="ListNumber"/>
      </w:pPr>
      <w:r>
        <w:t>Execute the business transaction.</w:t>
      </w:r>
    </w:p>
    <w:p>
      <w:pPr>
        <w:pStyle w:val="ListNumber"/>
      </w:pPr>
      <w:r>
        <w:t>Check the resulting accounting document.</w:t>
      </w:r>
    </w:p>
    <w:p>
      <w:pPr>
        <w:pStyle w:val="ListNumber"/>
      </w:pPr>
      <w:r>
        <w:t>Reconcile the result with the expected accounting treatment.</w:t>
      </w:r>
    </w:p>
    <w:p>
      <w:r>
        <w:t>This is particularly important for MM, SD and Asset Accounting integration.</w:t>
      </w:r>
    </w:p>
    <w:p>
      <w:pPr>
        <w:pStyle w:val="Heading1"/>
      </w:pPr>
      <w:r>
        <w:t>17. Controlling (CO) Configuration</w:t>
      </w:r>
    </w:p>
    <w:p>
      <w:r>
        <w:t>CO supports internal cost and profitability management.</w:t>
      </w:r>
    </w:p>
    <w:p>
      <w:pPr>
        <w:pStyle w:val="ListNumber"/>
      </w:pPr>
      <w:r>
        <w:t>Define/review the controlling area.</w:t>
      </w:r>
    </w:p>
    <w:p>
      <w:pPr>
        <w:pStyle w:val="ListNumber"/>
      </w:pPr>
      <w:r>
        <w:t>Assign relevant company codes as required.</w:t>
      </w:r>
    </w:p>
    <w:p>
      <w:pPr>
        <w:pStyle w:val="ListNumber"/>
      </w:pPr>
      <w:r>
        <w:t>Create the standard cost-center hierarchy.</w:t>
      </w:r>
    </w:p>
    <w:p>
      <w:pPr>
        <w:pStyle w:val="ListNumber"/>
      </w:pPr>
      <w:r>
        <w:t>Create cost centers and groups.</w:t>
      </w:r>
    </w:p>
    <w:p>
      <w:pPr>
        <w:pStyle w:val="ListNumber"/>
      </w:pPr>
      <w:r>
        <w:t>Configure profit centers.</w:t>
      </w:r>
    </w:p>
    <w:p>
      <w:pPr>
        <w:pStyle w:val="ListNumber"/>
      </w:pPr>
      <w:r>
        <w:t>Configure internal order types and settlement where required.</w:t>
      </w:r>
    </w:p>
    <w:p>
      <w:pPr>
        <w:pStyle w:val="ListNumber"/>
      </w:pPr>
      <w:r>
        <w:t>Configure planning/allocation requirements.</w:t>
      </w:r>
    </w:p>
    <w:p>
      <w:pPr>
        <w:pStyle w:val="ListNumber"/>
      </w:pPr>
      <w:r>
        <w:t>Test FI-to-CO postings and reporting.</w:t>
      </w:r>
    </w:p>
    <w:p>
      <w:pPr>
        <w:pStyle w:val="Heading1"/>
      </w:pPr>
      <w:r>
        <w:t>18. FI-MM Integration</w:t>
      </w:r>
    </w:p>
    <w:p>
      <w:r>
        <w:t>Procurement and inventory activities can generate financial postings. A typical test is purchase order → goods receipt → invoice receipt → payment.</w:t>
      </w:r>
    </w:p>
    <w:p>
      <w:pPr>
        <w:pStyle w:val="ListNumber"/>
      </w:pPr>
      <w:r>
        <w:t>Confirm company code, plant and valuation design.</w:t>
      </w:r>
    </w:p>
    <w:p>
      <w:pPr>
        <w:pStyle w:val="ListNumber"/>
      </w:pPr>
      <w:r>
        <w:t>Review material valuation requirements.</w:t>
      </w:r>
    </w:p>
    <w:p>
      <w:pPr>
        <w:pStyle w:val="ListNumber"/>
      </w:pPr>
      <w:r>
        <w:t>Configure relevant valuation/account-determination settings.</w:t>
      </w:r>
    </w:p>
    <w:p>
      <w:pPr>
        <w:pStyle w:val="ListNumber"/>
      </w:pPr>
      <w:r>
        <w:t>Test procurement and inventory postings.</w:t>
      </w:r>
    </w:p>
    <w:p>
      <w:pPr>
        <w:pStyle w:val="ListNumber"/>
      </w:pPr>
      <w:r>
        <w:t>Test supplier invoice posting.</w:t>
      </w:r>
    </w:p>
    <w:p>
      <w:pPr>
        <w:pStyle w:val="ListNumber"/>
      </w:pPr>
      <w:r>
        <w:t>Verify the resulting FI documents.</w:t>
      </w:r>
    </w:p>
    <w:p>
      <w:pPr>
        <w:pStyle w:val="Heading1"/>
      </w:pPr>
      <w:r>
        <w:t>19. FI-SD Integration</w:t>
      </w:r>
    </w:p>
    <w:p>
      <w:r>
        <w:t>Sales and billing processes can generate revenue, customer receivable and tax postings.</w:t>
      </w:r>
    </w:p>
    <w:p>
      <w:pPr>
        <w:pStyle w:val="ListNumber"/>
      </w:pPr>
      <w:r>
        <w:t>Confirm sales and Finance organizational assignments.</w:t>
      </w:r>
    </w:p>
    <w:p>
      <w:pPr>
        <w:pStyle w:val="ListNumber"/>
      </w:pPr>
      <w:r>
        <w:t>Review customer and revenue account-determination requirements.</w:t>
      </w:r>
    </w:p>
    <w:p>
      <w:pPr>
        <w:pStyle w:val="ListNumber"/>
      </w:pPr>
      <w:r>
        <w:t>Configure revenue/tax settings.</w:t>
      </w:r>
    </w:p>
    <w:p>
      <w:pPr>
        <w:pStyle w:val="ListNumber"/>
      </w:pPr>
      <w:r>
        <w:t>Test billing-to-accounting integration.</w:t>
      </w:r>
    </w:p>
    <w:p>
      <w:pPr>
        <w:pStyle w:val="ListNumber"/>
      </w:pPr>
      <w:r>
        <w:t>Verify the accounting document and customer receivable.</w:t>
      </w:r>
    </w:p>
    <w:p>
      <w:pPr>
        <w:pStyle w:val="Heading1"/>
      </w:pPr>
      <w:r>
        <w:t>20. Asset Accounting Configuration</w:t>
      </w:r>
    </w:p>
    <w:p>
      <w:r>
        <w:t>Asset Accounting manages the financial lifecycle of fixed assets.</w:t>
      </w:r>
    </w:p>
    <w:p>
      <w:pPr>
        <w:pStyle w:val="ListNumber"/>
      </w:pPr>
      <w:r>
        <w:t>Define/review asset classes and number ranges.</w:t>
      </w:r>
    </w:p>
    <w:p>
      <w:pPr>
        <w:pStyle w:val="ListNumber"/>
      </w:pPr>
      <w:r>
        <w:t>Configure depreciation areas and accounting-principle/ledger relationships as required.</w:t>
      </w:r>
    </w:p>
    <w:p>
      <w:pPr>
        <w:pStyle w:val="ListNumber"/>
      </w:pPr>
      <w:r>
        <w:t>Configure depreciation keys and useful-life rules according to approved policy.</w:t>
      </w:r>
    </w:p>
    <w:p>
      <w:pPr>
        <w:pStyle w:val="ListNumber"/>
      </w:pPr>
      <w:r>
        <w:t>Configure asset account determination.</w:t>
      </w:r>
    </w:p>
    <w:p>
      <w:pPr>
        <w:pStyle w:val="ListNumber"/>
      </w:pPr>
      <w:r>
        <w:t>Create a test asset.</w:t>
      </w:r>
    </w:p>
    <w:p>
      <w:pPr>
        <w:pStyle w:val="ListNumber"/>
      </w:pPr>
      <w:r>
        <w:t>Test acquisition, depreciation and retirement.</w:t>
      </w:r>
    </w:p>
    <w:p>
      <w:pPr>
        <w:pStyle w:val="ListNumber"/>
      </w:pPr>
      <w:r>
        <w:t>Verify asset and G/L reports.</w:t>
      </w:r>
    </w:p>
    <w:p>
      <w:pPr>
        <w:pStyle w:val="Heading1"/>
      </w:pPr>
      <w:r>
        <w:t>21. Testing and Validation</w:t>
      </w:r>
    </w:p>
    <w:p>
      <w:r>
        <w:t>Configuration is not complete until the resulting business transaction and accounting document have been validated.</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Test Case</w:t>
            </w:r>
          </w:p>
        </w:tc>
        <w:tc>
          <w:tcPr>
            <w:tcW w:type="dxa" w:w="2484"/>
          </w:tcPr>
          <w:p>
            <w:r>
              <w:t>Transaction</w:t>
            </w:r>
          </w:p>
        </w:tc>
        <w:tc>
          <w:tcPr>
            <w:tcW w:type="dxa" w:w="2484"/>
          </w:tcPr>
          <w:p>
            <w:r>
              <w:t>Expected Result</w:t>
            </w:r>
          </w:p>
        </w:tc>
        <w:tc>
          <w:tcPr>
            <w:tcW w:type="dxa" w:w="2484"/>
          </w:tcPr>
          <w:p>
            <w:r>
              <w:t>Status</w:t>
            </w:r>
          </w:p>
        </w:tc>
      </w:tr>
      <w:tr>
        <w:tc>
          <w:tcPr>
            <w:tcW w:type="dxa" w:w="2484"/>
          </w:tcPr>
          <w:p>
            <w:r>
              <w:t>1</w:t>
            </w:r>
          </w:p>
        </w:tc>
        <w:tc>
          <w:tcPr>
            <w:tcW w:type="dxa" w:w="2484"/>
          </w:tcPr>
          <w:p>
            <w:r>
              <w:t>G/L posting</w:t>
            </w:r>
          </w:p>
        </w:tc>
        <w:tc>
          <w:tcPr>
            <w:tcW w:type="dxa" w:w="2484"/>
          </w:tcPr>
          <w:p>
            <w:r>
              <w:t>Correct account, amount, date and document</w:t>
            </w:r>
          </w:p>
        </w:tc>
        <w:tc>
          <w:tcPr>
            <w:tcW w:type="dxa" w:w="2484"/>
          </w:tcPr>
          <w:p>
            <w:r>
              <w:t>Pending</w:t>
            </w:r>
          </w:p>
        </w:tc>
      </w:tr>
      <w:tr>
        <w:tc>
          <w:tcPr>
            <w:tcW w:type="dxa" w:w="2484"/>
          </w:tcPr>
          <w:p>
            <w:r>
              <w:t>2</w:t>
            </w:r>
          </w:p>
        </w:tc>
        <w:tc>
          <w:tcPr>
            <w:tcW w:type="dxa" w:w="2484"/>
          </w:tcPr>
          <w:p>
            <w:r>
              <w:t>Vendor invoice</w:t>
            </w:r>
          </w:p>
        </w:tc>
        <w:tc>
          <w:tcPr>
            <w:tcW w:type="dxa" w:w="2484"/>
          </w:tcPr>
          <w:p>
            <w:r>
              <w:t>Correct payable, expense and tax</w:t>
            </w:r>
          </w:p>
        </w:tc>
        <w:tc>
          <w:tcPr>
            <w:tcW w:type="dxa" w:w="2484"/>
          </w:tcPr>
          <w:p>
            <w:r>
              <w:t>Pending</w:t>
            </w:r>
          </w:p>
        </w:tc>
      </w:tr>
      <w:tr>
        <w:tc>
          <w:tcPr>
            <w:tcW w:type="dxa" w:w="2484"/>
          </w:tcPr>
          <w:p>
            <w:r>
              <w:t>3</w:t>
            </w:r>
          </w:p>
        </w:tc>
        <w:tc>
          <w:tcPr>
            <w:tcW w:type="dxa" w:w="2484"/>
          </w:tcPr>
          <w:p>
            <w:r>
              <w:t>Customer invoice</w:t>
            </w:r>
          </w:p>
        </w:tc>
        <w:tc>
          <w:tcPr>
            <w:tcW w:type="dxa" w:w="2484"/>
          </w:tcPr>
          <w:p>
            <w:r>
              <w:t>Correct receivable, revenue and tax</w:t>
            </w:r>
          </w:p>
        </w:tc>
        <w:tc>
          <w:tcPr>
            <w:tcW w:type="dxa" w:w="2484"/>
          </w:tcPr>
          <w:p>
            <w:r>
              <w:t>Pending</w:t>
            </w:r>
          </w:p>
        </w:tc>
      </w:tr>
      <w:tr>
        <w:tc>
          <w:tcPr>
            <w:tcW w:type="dxa" w:w="2484"/>
          </w:tcPr>
          <w:p>
            <w:r>
              <w:t>4</w:t>
            </w:r>
          </w:p>
        </w:tc>
        <w:tc>
          <w:tcPr>
            <w:tcW w:type="dxa" w:w="2484"/>
          </w:tcPr>
          <w:p>
            <w:r>
              <w:t>Vendor payment</w:t>
            </w:r>
          </w:p>
        </w:tc>
        <w:tc>
          <w:tcPr>
            <w:tcW w:type="dxa" w:w="2484"/>
          </w:tcPr>
          <w:p>
            <w:r>
              <w:t>Open item cleared and bank updated</w:t>
            </w:r>
          </w:p>
        </w:tc>
        <w:tc>
          <w:tcPr>
            <w:tcW w:type="dxa" w:w="2484"/>
          </w:tcPr>
          <w:p>
            <w:r>
              <w:t>Pending</w:t>
            </w:r>
          </w:p>
        </w:tc>
      </w:tr>
      <w:tr>
        <w:tc>
          <w:tcPr>
            <w:tcW w:type="dxa" w:w="2484"/>
          </w:tcPr>
          <w:p>
            <w:r>
              <w:t>5</w:t>
            </w:r>
          </w:p>
        </w:tc>
        <w:tc>
          <w:tcPr>
            <w:tcW w:type="dxa" w:w="2484"/>
          </w:tcPr>
          <w:p>
            <w:r>
              <w:t>Closed period</w:t>
            </w:r>
          </w:p>
        </w:tc>
        <w:tc>
          <w:tcPr>
            <w:tcW w:type="dxa" w:w="2484"/>
          </w:tcPr>
          <w:p>
            <w:r>
              <w:t>Posting blocked appropriately</w:t>
            </w:r>
          </w:p>
        </w:tc>
        <w:tc>
          <w:tcPr>
            <w:tcW w:type="dxa" w:w="2484"/>
          </w:tcPr>
          <w:p>
            <w:r>
              <w:t>Pending</w:t>
            </w:r>
          </w:p>
        </w:tc>
      </w:tr>
      <w:tr>
        <w:tc>
          <w:tcPr>
            <w:tcW w:type="dxa" w:w="2484"/>
          </w:tcPr>
          <w:p>
            <w:r>
              <w:t>6</w:t>
            </w:r>
          </w:p>
        </w:tc>
        <w:tc>
          <w:tcPr>
            <w:tcW w:type="dxa" w:w="2484"/>
          </w:tcPr>
          <w:p>
            <w:r>
              <w:t>Procure-to-pay</w:t>
            </w:r>
          </w:p>
        </w:tc>
        <w:tc>
          <w:tcPr>
            <w:tcW w:type="dxa" w:w="2484"/>
          </w:tcPr>
          <w:p>
            <w:r>
              <w:t>MM and FI results agree</w:t>
            </w:r>
          </w:p>
        </w:tc>
        <w:tc>
          <w:tcPr>
            <w:tcW w:type="dxa" w:w="2484"/>
          </w:tcPr>
          <w:p>
            <w:r>
              <w:t>Pending</w:t>
            </w:r>
          </w:p>
        </w:tc>
      </w:tr>
      <w:tr>
        <w:tc>
          <w:tcPr>
            <w:tcW w:type="dxa" w:w="2484"/>
          </w:tcPr>
          <w:p>
            <w:r>
              <w:t>7</w:t>
            </w:r>
          </w:p>
        </w:tc>
        <w:tc>
          <w:tcPr>
            <w:tcW w:type="dxa" w:w="2484"/>
          </w:tcPr>
          <w:p>
            <w:r>
              <w:t>Order-to-cash</w:t>
            </w:r>
          </w:p>
        </w:tc>
        <w:tc>
          <w:tcPr>
            <w:tcW w:type="dxa" w:w="2484"/>
          </w:tcPr>
          <w:p>
            <w:r>
              <w:t>SD billing creates correct FI impact</w:t>
            </w:r>
          </w:p>
        </w:tc>
        <w:tc>
          <w:tcPr>
            <w:tcW w:type="dxa" w:w="2484"/>
          </w:tcPr>
          <w:p>
            <w:r>
              <w:t>Pending</w:t>
            </w:r>
          </w:p>
        </w:tc>
      </w:tr>
      <w:tr>
        <w:tc>
          <w:tcPr>
            <w:tcW w:type="dxa" w:w="2484"/>
          </w:tcPr>
          <w:p>
            <w:r>
              <w:t>8</w:t>
            </w:r>
          </w:p>
        </w:tc>
        <w:tc>
          <w:tcPr>
            <w:tcW w:type="dxa" w:w="2484"/>
          </w:tcPr>
          <w:p>
            <w:r>
              <w:t>Asset acquisition</w:t>
            </w:r>
          </w:p>
        </w:tc>
        <w:tc>
          <w:tcPr>
            <w:tcW w:type="dxa" w:w="2484"/>
          </w:tcPr>
          <w:p>
            <w:r>
              <w:t>Correct asset and G/L values</w:t>
            </w:r>
          </w:p>
        </w:tc>
        <w:tc>
          <w:tcPr>
            <w:tcW w:type="dxa" w:w="2484"/>
          </w:tcPr>
          <w:p>
            <w:r>
              <w:t>Pending</w:t>
            </w:r>
          </w:p>
        </w:tc>
      </w:tr>
    </w:tbl>
    <w:p>
      <w:pPr>
        <w:pStyle w:val="Heading1"/>
      </w:pPr>
      <w:r>
        <w:t>22. Troubleshooting Checklist</w:t>
      </w:r>
    </w:p>
    <w:p>
      <w:pPr>
        <w:pStyle w:val="ListBullet"/>
      </w:pPr>
      <w:r>
        <w:t>Check company code.</w:t>
      </w:r>
    </w:p>
    <w:p>
      <w:pPr>
        <w:pStyle w:val="ListBullet"/>
      </w:pPr>
      <w:r>
        <w:t>Check fiscal year and posting-period variant.</w:t>
      </w:r>
    </w:p>
    <w:p>
      <w:pPr>
        <w:pStyle w:val="ListBullet"/>
      </w:pPr>
      <w:r>
        <w:t>Confirm the posting period is open.</w:t>
      </w:r>
    </w:p>
    <w:p>
      <w:pPr>
        <w:pStyle w:val="ListBullet"/>
      </w:pPr>
      <w:r>
        <w:t>Check chart of accounts and G/L account extension.</w:t>
      </w:r>
    </w:p>
    <w:p>
      <w:pPr>
        <w:pStyle w:val="ListBullet"/>
      </w:pPr>
      <w:r>
        <w:t>Check field status.</w:t>
      </w:r>
    </w:p>
    <w:p>
      <w:pPr>
        <w:pStyle w:val="ListBullet"/>
      </w:pPr>
      <w:r>
        <w:t>Check document type and number range.</w:t>
      </w:r>
    </w:p>
    <w:p>
      <w:pPr>
        <w:pStyle w:val="ListBullet"/>
      </w:pPr>
      <w:r>
        <w:t>Check tax code and account determination.</w:t>
      </w:r>
    </w:p>
    <w:p>
      <w:pPr>
        <w:pStyle w:val="ListBullet"/>
      </w:pPr>
      <w:r>
        <w:t>Check customer/vendor reconciliation settings.</w:t>
      </w:r>
    </w:p>
    <w:p>
      <w:pPr>
        <w:pStyle w:val="ListBullet"/>
      </w:pPr>
      <w:r>
        <w:t>Check automatic account determination.</w:t>
      </w:r>
    </w:p>
    <w:p>
      <w:pPr>
        <w:pStyle w:val="ListBullet"/>
      </w:pPr>
      <w:r>
        <w:t>Review the generated accounting document.</w:t>
      </w:r>
    </w:p>
    <w:p>
      <w:pPr>
        <w:pStyle w:val="ListBullet"/>
      </w:pPr>
      <w:r>
        <w:t>Use authorized SAP logs and test tools rather than changing configuration randomly.</w:t>
      </w:r>
    </w:p>
    <w:p>
      <w:pPr>
        <w:pStyle w:val="Heading1"/>
      </w:pPr>
      <w:r>
        <w:t>23. Common Beginner Mistakes</w:t>
      </w:r>
    </w:p>
    <w:p>
      <w:pPr>
        <w:pStyle w:val="ListBullet"/>
      </w:pPr>
      <w:r>
        <w:t>Confusing fiscal year variant with posting period variant.</w:t>
      </w:r>
    </w:p>
    <w:p>
      <w:pPr>
        <w:pStyle w:val="ListBullet"/>
      </w:pPr>
      <w:r>
        <w:t>Changing configuration without checking dependencies.</w:t>
      </w:r>
    </w:p>
    <w:p>
      <w:pPr>
        <w:pStyle w:val="ListBullet"/>
      </w:pPr>
      <w:r>
        <w:t>Checking only whether a transaction saves instead of reviewing the accounting document.</w:t>
      </w:r>
    </w:p>
    <w:p>
      <w:pPr>
        <w:pStyle w:val="ListBullet"/>
      </w:pPr>
      <w:r>
        <w:t>Creating unnecessary custom document types or posting keys.</w:t>
      </w:r>
    </w:p>
    <w:p>
      <w:pPr>
        <w:pStyle w:val="ListBullet"/>
      </w:pPr>
      <w:r>
        <w:t>Using incorrect G/L accounts in automatic account determination.</w:t>
      </w:r>
    </w:p>
    <w:p>
      <w:pPr>
        <w:pStyle w:val="ListBullet"/>
      </w:pPr>
      <w:r>
        <w:t>Not documenting changes.</w:t>
      </w:r>
    </w:p>
    <w:p>
      <w:pPr>
        <w:pStyle w:val="ListBullet"/>
      </w:pPr>
      <w:r>
        <w:t>Testing only successful scenarios.</w:t>
      </w:r>
    </w:p>
    <w:p>
      <w:pPr>
        <w:pStyle w:val="ListBullet"/>
      </w:pPr>
      <w:r>
        <w:t>Using an on-premise GUI procedure blindly in SAP S/4HANA Cloud.</w:t>
      </w:r>
    </w:p>
    <w:p>
      <w:pPr>
        <w:pStyle w:val="Heading1"/>
      </w:pPr>
      <w:r>
        <w:t>24. Configuration Documentation Template</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Item</w:t>
            </w:r>
          </w:p>
        </w:tc>
        <w:tc>
          <w:tcPr>
            <w:tcW w:type="dxa" w:w="2484"/>
          </w:tcPr>
          <w:p>
            <w:r>
              <w:t>Business Requirement</w:t>
            </w:r>
          </w:p>
        </w:tc>
        <w:tc>
          <w:tcPr>
            <w:tcW w:type="dxa" w:w="2484"/>
          </w:tcPr>
          <w:p>
            <w:r>
              <w:t>SAP Setting</w:t>
            </w:r>
          </w:p>
        </w:tc>
        <w:tc>
          <w:tcPr>
            <w:tcW w:type="dxa" w:w="2484"/>
          </w:tcPr>
          <w:p>
            <w:r>
              <w:t>Test Result</w:t>
            </w:r>
          </w:p>
        </w:tc>
      </w:tr>
      <w:tr>
        <w:tc>
          <w:tcPr>
            <w:tcW w:type="dxa" w:w="2484"/>
          </w:tcPr>
          <w:p>
            <w:r>
              <w:t>Company Code</w:t>
            </w:r>
          </w:p>
        </w:tc>
        <w:tc>
          <w:tcPr>
            <w:tcW w:type="dxa" w:w="2484"/>
          </w:tcPr>
          <w:p>
            <w:r>
              <w:t>Legal/reporting entity</w:t>
            </w:r>
          </w:p>
        </w:tc>
        <w:tc>
          <w:tcPr>
            <w:tcW w:type="dxa" w:w="2484"/>
          </w:tcPr>
          <w:p>
            <w:r>
              <w:t>Company code and global parameters</w:t>
            </w:r>
          </w:p>
        </w:tc>
        <w:tc>
          <w:tcPr>
            <w:tcW w:type="dxa" w:w="2484"/>
          </w:tcPr>
          <w:p>
            <w:r>
              <w:t>Pending</w:t>
            </w:r>
          </w:p>
        </w:tc>
      </w:tr>
      <w:tr>
        <w:tc>
          <w:tcPr>
            <w:tcW w:type="dxa" w:w="2484"/>
          </w:tcPr>
          <w:p>
            <w:r>
              <w:t>Chart of Accounts</w:t>
            </w:r>
          </w:p>
        </w:tc>
        <w:tc>
          <w:tcPr>
            <w:tcW w:type="dxa" w:w="2484"/>
          </w:tcPr>
          <w:p>
            <w:r>
              <w:t>G/L reporting</w:t>
            </w:r>
          </w:p>
        </w:tc>
        <w:tc>
          <w:tcPr>
            <w:tcW w:type="dxa" w:w="2484"/>
          </w:tcPr>
          <w:p>
            <w:r>
              <w:t>COA/account groups</w:t>
            </w:r>
          </w:p>
        </w:tc>
        <w:tc>
          <w:tcPr>
            <w:tcW w:type="dxa" w:w="2484"/>
          </w:tcPr>
          <w:p>
            <w:r>
              <w:t>Pending</w:t>
            </w:r>
          </w:p>
        </w:tc>
      </w:tr>
      <w:tr>
        <w:tc>
          <w:tcPr>
            <w:tcW w:type="dxa" w:w="2484"/>
          </w:tcPr>
          <w:p>
            <w:r>
              <w:t>Fiscal Year</w:t>
            </w:r>
          </w:p>
        </w:tc>
        <w:tc>
          <w:tcPr>
            <w:tcW w:type="dxa" w:w="2484"/>
          </w:tcPr>
          <w:p>
            <w:r>
              <w:t>Accounting calendar</w:t>
            </w:r>
          </w:p>
        </w:tc>
        <w:tc>
          <w:tcPr>
            <w:tcW w:type="dxa" w:w="2484"/>
          </w:tcPr>
          <w:p>
            <w:r>
              <w:t>Fiscal year variant</w:t>
            </w:r>
          </w:p>
        </w:tc>
        <w:tc>
          <w:tcPr>
            <w:tcW w:type="dxa" w:w="2484"/>
          </w:tcPr>
          <w:p>
            <w:r>
              <w:t>Pending</w:t>
            </w:r>
          </w:p>
        </w:tc>
      </w:tr>
      <w:tr>
        <w:tc>
          <w:tcPr>
            <w:tcW w:type="dxa" w:w="2484"/>
          </w:tcPr>
          <w:p>
            <w:r>
              <w:t>Posting Period</w:t>
            </w:r>
          </w:p>
        </w:tc>
        <w:tc>
          <w:tcPr>
            <w:tcW w:type="dxa" w:w="2484"/>
          </w:tcPr>
          <w:p>
            <w:r>
              <w:t>Period control</w:t>
            </w:r>
          </w:p>
        </w:tc>
        <w:tc>
          <w:tcPr>
            <w:tcW w:type="dxa" w:w="2484"/>
          </w:tcPr>
          <w:p>
            <w:r>
              <w:t>Posting period variant</w:t>
            </w:r>
          </w:p>
        </w:tc>
        <w:tc>
          <w:tcPr>
            <w:tcW w:type="dxa" w:w="2484"/>
          </w:tcPr>
          <w:p>
            <w:r>
              <w:t>Pending</w:t>
            </w:r>
          </w:p>
        </w:tc>
      </w:tr>
      <w:tr>
        <w:tc>
          <w:tcPr>
            <w:tcW w:type="dxa" w:w="2484"/>
          </w:tcPr>
          <w:p>
            <w:r>
              <w:t>Ledger</w:t>
            </w:r>
          </w:p>
        </w:tc>
        <w:tc>
          <w:tcPr>
            <w:tcW w:type="dxa" w:w="2484"/>
          </w:tcPr>
          <w:p>
            <w:r>
              <w:t>Accounting principles</w:t>
            </w:r>
          </w:p>
        </w:tc>
        <w:tc>
          <w:tcPr>
            <w:tcW w:type="dxa" w:w="2484"/>
          </w:tcPr>
          <w:p>
            <w:r>
              <w:t>Ledger settings</w:t>
            </w:r>
          </w:p>
        </w:tc>
        <w:tc>
          <w:tcPr>
            <w:tcW w:type="dxa" w:w="2484"/>
          </w:tcPr>
          <w:p>
            <w:r>
              <w:t>Pending</w:t>
            </w:r>
          </w:p>
        </w:tc>
      </w:tr>
      <w:tr>
        <w:tc>
          <w:tcPr>
            <w:tcW w:type="dxa" w:w="2484"/>
          </w:tcPr>
          <w:p>
            <w:r>
              <w:t>Document Type</w:t>
            </w:r>
          </w:p>
        </w:tc>
        <w:tc>
          <w:tcPr>
            <w:tcW w:type="dxa" w:w="2484"/>
          </w:tcPr>
          <w:p>
            <w:r>
              <w:t>Transaction control</w:t>
            </w:r>
          </w:p>
        </w:tc>
        <w:tc>
          <w:tcPr>
            <w:tcW w:type="dxa" w:w="2484"/>
          </w:tcPr>
          <w:p>
            <w:r>
              <w:t>Type/number range</w:t>
            </w:r>
          </w:p>
        </w:tc>
        <w:tc>
          <w:tcPr>
            <w:tcW w:type="dxa" w:w="2484"/>
          </w:tcPr>
          <w:p>
            <w:r>
              <w:t>Pending</w:t>
            </w:r>
          </w:p>
        </w:tc>
      </w:tr>
      <w:tr>
        <w:tc>
          <w:tcPr>
            <w:tcW w:type="dxa" w:w="2484"/>
          </w:tcPr>
          <w:p>
            <w:r>
              <w:t>G/L Account</w:t>
            </w:r>
          </w:p>
        </w:tc>
        <w:tc>
          <w:tcPr>
            <w:tcW w:type="dxa" w:w="2484"/>
          </w:tcPr>
          <w:p>
            <w:r>
              <w:t>Financial classification</w:t>
            </w:r>
          </w:p>
        </w:tc>
        <w:tc>
          <w:tcPr>
            <w:tcW w:type="dxa" w:w="2484"/>
          </w:tcPr>
          <w:p>
            <w:r>
              <w:t>Account/field status</w:t>
            </w:r>
          </w:p>
        </w:tc>
        <w:tc>
          <w:tcPr>
            <w:tcW w:type="dxa" w:w="2484"/>
          </w:tcPr>
          <w:p>
            <w:r>
              <w:t>Pending</w:t>
            </w:r>
          </w:p>
        </w:tc>
      </w:tr>
      <w:tr>
        <w:tc>
          <w:tcPr>
            <w:tcW w:type="dxa" w:w="2484"/>
          </w:tcPr>
          <w:p>
            <w:r>
              <w:t>Tax</w:t>
            </w:r>
          </w:p>
        </w:tc>
        <w:tc>
          <w:tcPr>
            <w:tcW w:type="dxa" w:w="2484"/>
          </w:tcPr>
          <w:p>
            <w:r>
              <w:t>Legal tax treatment</w:t>
            </w:r>
          </w:p>
        </w:tc>
        <w:tc>
          <w:tcPr>
            <w:tcW w:type="dxa" w:w="2484"/>
          </w:tcPr>
          <w:p>
            <w:r>
              <w:t>Tax code/accounts</w:t>
            </w:r>
          </w:p>
        </w:tc>
        <w:tc>
          <w:tcPr>
            <w:tcW w:type="dxa" w:w="2484"/>
          </w:tcPr>
          <w:p>
            <w:r>
              <w:t>Pending</w:t>
            </w:r>
          </w:p>
        </w:tc>
      </w:tr>
      <w:tr>
        <w:tc>
          <w:tcPr>
            <w:tcW w:type="dxa" w:w="2484"/>
          </w:tcPr>
          <w:p>
            <w:r>
              <w:t>CO Objects</w:t>
            </w:r>
          </w:p>
        </w:tc>
        <w:tc>
          <w:tcPr>
            <w:tcW w:type="dxa" w:w="2484"/>
          </w:tcPr>
          <w:p>
            <w:r>
              <w:t>Internal reporting</w:t>
            </w:r>
          </w:p>
        </w:tc>
        <w:tc>
          <w:tcPr>
            <w:tcW w:type="dxa" w:w="2484"/>
          </w:tcPr>
          <w:p>
            <w:r>
              <w:t>Cost/profit centers</w:t>
            </w:r>
          </w:p>
        </w:tc>
        <w:tc>
          <w:tcPr>
            <w:tcW w:type="dxa" w:w="2484"/>
          </w:tcPr>
          <w:p>
            <w:r>
              <w:t>Pending</w:t>
            </w:r>
          </w:p>
        </w:tc>
      </w:tr>
      <w:tr>
        <w:tc>
          <w:tcPr>
            <w:tcW w:type="dxa" w:w="2484"/>
          </w:tcPr>
          <w:p>
            <w:r>
              <w:t>Integration</w:t>
            </w:r>
          </w:p>
        </w:tc>
        <w:tc>
          <w:tcPr>
            <w:tcW w:type="dxa" w:w="2484"/>
          </w:tcPr>
          <w:p>
            <w:r>
              <w:t>Operational-to-FI</w:t>
            </w:r>
          </w:p>
        </w:tc>
        <w:tc>
          <w:tcPr>
            <w:tcW w:type="dxa" w:w="2484"/>
          </w:tcPr>
          <w:p>
            <w:r>
              <w:t>MM/SD/AA settings</w:t>
            </w:r>
          </w:p>
        </w:tc>
        <w:tc>
          <w:tcPr>
            <w:tcW w:type="dxa" w:w="2484"/>
          </w:tcPr>
          <w:p>
            <w:r>
              <w:t>Pending</w:t>
            </w:r>
          </w:p>
        </w:tc>
      </w:tr>
    </w:tbl>
    <w:p>
      <w:pPr>
        <w:pStyle w:val="Heading1"/>
      </w:pPr>
      <w:r>
        <w:t>25. Week 2 Learning Outcomes</w:t>
      </w:r>
    </w:p>
    <w:p>
      <w:pPr>
        <w:pStyle w:val="ListBullet"/>
      </w:pPr>
      <w:r>
        <w:t>Understood SAP FICO configuration and its purpose.</w:t>
      </w:r>
    </w:p>
    <w:p>
      <w:pPr>
        <w:pStyle w:val="ListBullet"/>
      </w:pPr>
      <w:r>
        <w:t>Learned the logical sequence of core FI configuration.</w:t>
      </w:r>
    </w:p>
    <w:p>
      <w:pPr>
        <w:pStyle w:val="ListBullet"/>
      </w:pPr>
      <w:r>
        <w:t>Understood company code, chart of accounts, fiscal year and posting-period configuration.</w:t>
      </w:r>
    </w:p>
    <w:p>
      <w:pPr>
        <w:pStyle w:val="ListBullet"/>
      </w:pPr>
      <w:r>
        <w:t>Learned ledgers, accounting principles and document controls.</w:t>
      </w:r>
    </w:p>
    <w:p>
      <w:pPr>
        <w:pStyle w:val="ListBullet"/>
      </w:pPr>
      <w:r>
        <w:t>Understood posting keys, field status and G/L account configuration.</w:t>
      </w:r>
    </w:p>
    <w:p>
      <w:pPr>
        <w:pStyle w:val="ListBullet"/>
      </w:pPr>
      <w:r>
        <w:t>Learned AP, AR, tax and automatic account-determination concepts.</w:t>
      </w:r>
    </w:p>
    <w:p>
      <w:pPr>
        <w:pStyle w:val="ListBullet"/>
      </w:pPr>
      <w:r>
        <w:t>Understood basic CO configuration.</w:t>
      </w:r>
    </w:p>
    <w:p>
      <w:pPr>
        <w:pStyle w:val="ListBullet"/>
      </w:pPr>
      <w:r>
        <w:t>Understood FI-MM, FI-SD and Asset Accounting integration testing.</w:t>
      </w:r>
    </w:p>
    <w:p>
      <w:pPr>
        <w:pStyle w:val="ListBullet"/>
      </w:pPr>
      <w:r>
        <w:t>Learned how to document and troubleshoot configuration.</w:t>
      </w:r>
    </w:p>
    <w:p>
      <w:pPr>
        <w:pStyle w:val="Heading1"/>
      </w:pPr>
      <w:r>
        <w:t>26. Conclusion</w:t>
      </w:r>
    </w:p>
    <w:p>
      <w:r>
        <w:t>SAP FICO configuration converts business and accounting requirements into controlled system behavior. A logical sequence is important because organizational structures, ledgers, fiscal periods, document controls, accounts, tax and integration settings depend on one another.</w:t>
      </w:r>
    </w:p>
    <w:p>
      <w:r>
        <w:t>For a beginner, the key principle is to understand why each configuration setting exists, what business process depends on it, and how to prove through testing that the resulting accounting document is correct. SAP releases differ, so exact IMG paths, Fiori apps and configuration activities should always be verified in the target system.</w:t>
      </w:r>
    </w:p>
    <w:p>
      <w:pPr>
        <w:pStyle w:val="Heading1"/>
      </w:pPr>
      <w:r>
        <w:t>27. GitHub Repository</w:t>
      </w:r>
    </w:p>
    <w:p>
      <w:pPr>
        <w:pStyle w:val="ListBullet"/>
      </w:pPr>
      <w:r>
        <w:t>Repository name: SAP-FICO-Internship</w:t>
      </w:r>
    </w:p>
    <w:p>
      <w:pPr>
        <w:pStyle w:val="ListBullet"/>
      </w:pPr>
      <w:r>
        <w:t>README.md – internship overview and progress</w:t>
      </w:r>
    </w:p>
    <w:p>
      <w:pPr>
        <w:pStyle w:val="ListBullet"/>
      </w:pPr>
      <w:r>
        <w:t>Week-1/ – Week 1 report</w:t>
      </w:r>
    </w:p>
    <w:p>
      <w:pPr>
        <w:pStyle w:val="ListBullet"/>
      </w:pPr>
      <w:r>
        <w:t>Week-2/ – this configuration guide</w:t>
      </w:r>
    </w:p>
    <w:p>
      <w:pPr>
        <w:pStyle w:val="ListBullet"/>
      </w:pPr>
      <w:r>
        <w:t>Week-3/ to Week-6/ – future tasks</w:t>
      </w:r>
    </w:p>
    <w:p>
      <w:r>
        <w:rPr>
          <w:b/>
        </w:rPr>
        <w:t xml:space="preserve">GitHub URL: </w:t>
      </w:r>
      <w:r>
        <w:t>[Add your actual GitHub repository link here]</w:t>
      </w:r>
    </w:p>
    <w:p>
      <w:pPr>
        <w:pStyle w:val="Heading1"/>
      </w:pPr>
      <w:r>
        <w:t>28. References – Official SAP Sources</w:t>
      </w:r>
    </w:p>
    <w:p>
      <w:pPr>
        <w:pStyle w:val="ListBullet"/>
      </w:pPr>
      <w:r>
        <w:rPr>
          <w:b/>
        </w:rPr>
        <w:t xml:space="preserve">SAP Learning – Creating Company Codes – </w:t>
      </w:r>
      <w:r>
        <w:t>https://learning.sap.com/courses/maintaining-financial-accounting-core-settings/creating-company-codes</w:t>
      </w:r>
    </w:p>
    <w:p>
      <w:pPr>
        <w:pStyle w:val="ListBullet"/>
      </w:pPr>
      <w:r>
        <w:rPr>
          <w:b/>
        </w:rPr>
        <w:t xml:space="preserve">SAP Learning – Managing Organizational Units in Financial Accounting – </w:t>
      </w:r>
      <w:r>
        <w:t>https://learning.sap.com/courses/customizing-core-settings-in-financial-accounting-in-sap-s4hana/managing-organizational-units-in-financial-accounting-fi</w:t>
      </w:r>
    </w:p>
    <w:p>
      <w:pPr>
        <w:pStyle w:val="ListBullet"/>
      </w:pPr>
      <w:r>
        <w:rPr>
          <w:b/>
        </w:rPr>
        <w:t xml:space="preserve">SAP Help – Fiscal Years and Periods – </w:t>
      </w:r>
      <w:r>
        <w:t>https://help.sap.com/docs/SAP_ERP/b350210eef6443b6bb3a155840ff905c/98604352d2fc121be10000000a445394.html</w:t>
      </w:r>
    </w:p>
    <w:p>
      <w:pPr>
        <w:pStyle w:val="ListBullet"/>
      </w:pPr>
      <w:r>
        <w:rPr>
          <w:b/>
        </w:rPr>
        <w:t xml:space="preserve">SAP Learning – Defining Posting Periods – </w:t>
      </w:r>
      <w:r>
        <w:t>https://learning.sap.com/courses/customizing-financial-document-control/defining-posting-periods-in-financial-accounting</w:t>
      </w:r>
    </w:p>
    <w:p>
      <w:pPr>
        <w:pStyle w:val="ListBullet"/>
      </w:pPr>
      <w:r>
        <w:rPr>
          <w:b/>
        </w:rPr>
        <w:t xml:space="preserve">SAP Learning – Configuring Ledgers – </w:t>
      </w:r>
      <w:r>
        <w:t>https://learning.sap.com/courses/configuring-the-financial-closing-in-sap-s-4hana/configuring-ledgers</w:t>
      </w:r>
    </w:p>
    <w:p>
      <w:pPr>
        <w:pStyle w:val="ListBullet"/>
      </w:pPr>
      <w:r>
        <w:rPr>
          <w:b/>
        </w:rPr>
        <w:t xml:space="preserve">SAP Learning – Configuring FI Documents – </w:t>
      </w:r>
      <w:r>
        <w:t>https://learning.sap.com/courses/customizing-core-settings-in-financial-accounting-in-sap-s4hana/configuring-the-header-and-line-items-of-financial-accounting-fi-documents</w:t>
      </w:r>
    </w:p>
    <w:p>
      <w:pPr>
        <w:pStyle w:val="ListBullet"/>
      </w:pPr>
      <w:r>
        <w:rPr>
          <w:b/>
        </w:rPr>
        <w:t xml:space="preserve">SAP Help – Posting Key – </w:t>
      </w:r>
      <w:r>
        <w:t>https://help.sap.com/docs/SAP_ERP_SPV/34e83d3c59844048bb8289f00ce23ddd/12f6c353fad0b44ce10000000a174cb4.html</w:t>
      </w:r>
    </w:p>
    <w:p>
      <w:pPr>
        <w:pStyle w:val="ListBullet"/>
      </w:pPr>
      <w:r>
        <w:rPr>
          <w:b/>
        </w:rPr>
        <w:t xml:space="preserve">SAP Learning – Managing Posting Periods – </w:t>
      </w:r>
      <w:r>
        <w:t>https://learning.sap.com/courses/customizing-core-settings-in-financial-accounting-in-sap-s-4hana/managing-posting-periods</w:t>
      </w:r>
    </w:p>
    <w:p>
      <w:pPr>
        <w:pStyle w:val="Heading1"/>
      </w:pPr>
      <w:r>
        <w:t>29. Declaration</w:t>
      </w:r>
    </w:p>
    <w:p>
      <w:r>
        <w:t>I hereby submit this report as the Week 2 deliverable for the SAP FICO Internship. This guide demonstrates my understanding of major SAP FICO configuration activities, their purpose, logical sequence, testing requirements and integration considerations.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SAP FICO Internship | Week 2 Configuration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