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JAGADISH BALIJA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Operations Manager &amp; Structural Analysis Engineer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Karnataka  </w:t>
      </w:r>
      <w:r>
        <w:rPr>
          <w:rFonts w:ascii="Calibri" w:cs="Calibri" w:eastAsia="Calibri" w:hAnsi="Calibri"/>
          <w:b/>
          <w:bCs/>
          <w:color w:val="2C5F9E"/>
          <w:sz w:val="19"/>
          <w:szCs w:val="19"/>
        </w:rPr>
        <w:t xml:space="preserve">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+91 9032701713  </w:t>
      </w:r>
      <w:r>
        <w:rPr>
          <w:rFonts w:ascii="Calibri" w:cs="Calibri" w:eastAsia="Calibri" w:hAnsi="Calibri"/>
          <w:b/>
          <w:bCs/>
          <w:color w:val="2C5F9E"/>
          <w:sz w:val="19"/>
          <w:szCs w:val="19"/>
        </w:rPr>
        <w:t xml:space="preserve">·  </w:t>
      </w:r>
      <w:r>
        <w:rPr>
          <w:rFonts w:ascii="Calibri" w:cs="Calibri" w:eastAsia="Calibri" w:hAnsi="Calibri"/>
          <w:color w:val="2C5F9E"/>
          <w:sz w:val="19"/>
          <w:szCs w:val="19"/>
        </w:rPr>
        <w:t xml:space="preserve">balijajagadish@gmail.com  </w:t>
      </w:r>
      <w:r>
        <w:rPr>
          <w:rFonts w:ascii="Calibri" w:cs="Calibri" w:eastAsia="Calibri" w:hAnsi="Calibri"/>
          <w:b/>
          <w:bCs/>
          <w:color w:val="2C5F9E"/>
          <w:sz w:val="19"/>
          <w:szCs w:val="19"/>
        </w:rPr>
        <w:t xml:space="preserve">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LinkedIn: linkedin.com/in/jagadishbalija</w:t>
      </w:r>
    </w:p>
    <w:p>
      <w:pPr>
        <w:pBdr>
          <w:bottom w:val="single" w:color="2C5F9E" w:sz="8" w:space="4"/>
        </w:pBdr>
        <w:spacing w:after="0" w:before="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B3A6B"/>
          <w:sz w:val="22"/>
          <w:szCs w:val="22"/>
        </w:rPr>
        <w:t xml:space="preserve">PROFESSIONAL SUMMARY</w:t>
      </w:r>
    </w:p>
    <w:p>
      <w:pPr>
        <w:pBdr>
          <w:bottom w:val="single" w:color="2C5F9E" w:sz="8" w:space="4"/>
        </w:pBdr>
        <w:spacing w:after="0" w:before="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Aerospace Operations Manager at Airbus with 12+ years of experience in aircraft structural analysis and in-service engineering support. Currently leading two high-visibility fleet-support programs (NCF &amp; FAF) with a 45-member cross-functional team, delivering solutions to global airline customers across A320, A330, and A350 fleets. Proven record of driving operational efficiency, managing AOG escalations, and aligning multi-site delivery across Bangalore, Toulouse, Germany, and Wichita. EASA Part 21 compliant, with deep expertise in metallic and composite structural repairs, FEM analysis, and stakeholder engagement at senior leadership level.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B3A6B"/>
          <w:sz w:val="22"/>
          <w:szCs w:val="22"/>
        </w:rPr>
        <w:t xml:space="preserve">CORE COMPETENCIES</w:t>
      </w:r>
    </w:p>
    <w:p>
      <w:pPr>
        <w:pBdr>
          <w:bottom w:val="single" w:color="2C5F9E" w:sz="8" w:space="4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Operations &amp; Program Management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Structural Analysis (Static / Fatigue / Buckling)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AOG &amp; Escalation Management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FEM / DFEM Modelling (Patran/Nastran)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EASA Part 21 Airworthiness Compliance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Metallic &amp; Composite Repair Engineering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SLA Adherence &amp; Risk Mitigation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Classical Hand Calculations (Bruhn, NIU)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Cross-Functional Stakeholder Management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A320 / A330 / A350 Platform Expertise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Team Leadership &amp; Talent Development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•  Customer Service &amp; Technical Interface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B3A6B"/>
          <w:sz w:val="22"/>
          <w:szCs w:val="22"/>
        </w:rPr>
        <w:t xml:space="preserve">PROFESSIONAL EXPERIENCE</w:t>
      </w:r>
    </w:p>
    <w:p>
      <w:pPr>
        <w:pBdr>
          <w:bottom w:val="single" w:color="2C5F9E" w:sz="8" w:space="4"/>
        </w:pBdr>
        <w:spacing w:after="0" w:before="0"/>
      </w:pPr>
    </w:p>
    <w:p>
      <w:pPr>
        <w:tabs>
          <w:tab w:val="right" w:pos="9360"/>
        </w:tabs>
        <w:spacing w:after="30" w:before="2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Operations Manager &amp; Repair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Airbus India, Bengaluru, KA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Sep 2022 – Present</w:t>
      </w:r>
    </w:p>
    <w:p>
      <w:pPr>
        <w:spacing w:after="60" w:before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Leading NCF &amp; FAF in-service fleet-support programs across A320/A330/A350 families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Managed a 45-member engineering team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delivering structural repair solutions for global airline customers, maintaining 100% SLA adherence across AOG and routine workstreams.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Reduced multi-centre dependency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by developing autonomous delivery capability at Bangalore, eliminating escalation bottlenecks previously routed through Toulouse and Germany.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Led rapid AOG response coordination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as primary operational interface between airline customers and Airbus internal engineering and airworthiness departments.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Presented performance dashboards and recovery plans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to senior leadership, enabling data-driven decisions on resource allocation and risk mitigation.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Collaborated with international delivery centres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(Germany, Toulouse, Wichita) to resolve cross-programme bottlenecks and drive on-time repair solutions.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Ensured EASA Part 21 compliance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across all structural repair approvals, covering metallic and composite structures on SA, LR, DD, and WB variants.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Executed structural repair analysis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 Sec 11/12, Sec 13/14, and Sec 14A across A320, A321, A330, and A350 programmes using static and fatigue calculation methods.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Instituted lessons-learned capture and knowledge-sharing protocols across programmes, strengthening team resilience.</w:t>
      </w:r>
    </w:p>
    <w:p>
      <w:pPr>
        <w:tabs>
          <w:tab w:val="right" w:pos="9360"/>
        </w:tabs>
        <w:spacing w:after="30" w:before="2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Stress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Altran Technologies (Capgemini Engineering), Bengaluru, KA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2018 – Feb 2022</w:t>
      </w:r>
    </w:p>
    <w:p>
      <w:pPr>
        <w:spacing w:after="60" w:before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Structural stress analysis for A320neo and A350 XWB aircraft programmes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Performed DFEM modelling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of sub-assemblies including CWB, MLGB, RCT, and LPF components for A320neo and A350 XWB using Patran/Nastran.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Conducted classical hand calculations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using SOM approach with reference to Bruhn and NIU handbooks for static, thermal mapping, and buckling analysis.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fatigue analysis and flight cycle/flight hour assessments to validate structural integrity within programme certification requirements.</w:t>
      </w:r>
    </w:p>
    <w:p>
      <w:pPr>
        <w:tabs>
          <w:tab w:val="right" w:pos="9360"/>
        </w:tabs>
        <w:spacing w:after="30" w:before="2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Project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National Aerospace Laboratories (NAL), Bengaluru, KA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2016 – Dec 2018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lug sizing, fastener calculations, and wing design modifications for the HANSA aircraft programme.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structural calculations and composite analysis for missile design change programmes.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hand calculations for both metallic and composite structures, applying SFC, SIF, plate buckling, and stiffened panel methodologies.</w:t>
      </w:r>
    </w:p>
    <w:p>
      <w:pPr>
        <w:tabs>
          <w:tab w:val="right" w:pos="9360"/>
        </w:tabs>
        <w:spacing w:after="30" w:before="2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Graduate Trainee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Bangalore Aircraft Industries Pvt. Ltd., Bengaluru, KA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2015 – Jul 2016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structural analysis and validation of attachment modifications on a Military Helicopter-to-VVIP conversion project.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design checks and FEA quality assurance for aircraft structural components.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B3A6B"/>
          <w:sz w:val="22"/>
          <w:szCs w:val="22"/>
        </w:rPr>
        <w:t xml:space="preserve">EDUCATION</w:t>
      </w:r>
    </w:p>
    <w:p>
      <w:pPr>
        <w:pBdr>
          <w:bottom w:val="single" w:color="2C5F9E" w:sz="8" w:space="4"/>
        </w:pBdr>
        <w:spacing w:after="0" w:before="0"/>
      </w:pP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Bachelor of Engineering — Aeronautical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Graduated: May 2014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JNTU Hyderabad  •  CGPA: 8.1 / 10  •  Graduated 2nd in class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B3A6B"/>
          <w:sz w:val="22"/>
          <w:szCs w:val="22"/>
        </w:rPr>
        <w:t xml:space="preserve">CERTIFICATIONS &amp; PROFESSIONAL DEVELOPMENT</w:t>
      </w:r>
    </w:p>
    <w:p>
      <w:pPr>
        <w:pBdr>
          <w:bottom w:val="single" w:color="2C5F9E" w:sz="8" w:space="4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Structural Analysis &amp; Design Optimisation of Mechanical Structures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– IISc Bangalore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Analysis and Design of Composite Structures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– IISc Bangalore  (Outstanding Performance Award)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Composite Analysis &amp; Manufacturing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– M.S. Ramaiah University, Bengaluru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B3A6B"/>
          <w:sz w:val="22"/>
          <w:szCs w:val="22"/>
        </w:rPr>
        <w:t xml:space="preserve">AWARDS &amp; RECOGNITION</w:t>
      </w:r>
    </w:p>
    <w:p>
      <w:pPr>
        <w:pBdr>
          <w:bottom w:val="single" w:color="2C5F9E" w:sz="8" w:space="4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Outstanding Performance Award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– Analysis and Design of Composite Structures course, IISc Bangalore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Graduated 2nd in class — JNTU Hyderabad B.E. Aeronautical Engineering (CGPA 8.1)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2026-05-23T07:18:31.830Z</dcterms:created>
  <dcterms:modified xsi:type="dcterms:W3CDTF">2026-05-23T07:18:31.830Z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