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A9E48" w14:textId="77777777" w:rsidR="001673C5" w:rsidRPr="00E13558" w:rsidRDefault="00000000">
      <w:pPr>
        <w:spacing w:before="1200"/>
        <w:jc w:val="center"/>
        <w:rPr>
          <w:sz w:val="22"/>
          <w:szCs w:val="22"/>
        </w:rPr>
      </w:pPr>
      <w:r w:rsidRPr="00E13558">
        <w:rPr>
          <w:b/>
          <w:bCs/>
          <w:color w:val="1F3864"/>
          <w:sz w:val="48"/>
          <w:szCs w:val="48"/>
        </w:rPr>
        <w:t>AI-Powered Citizen Grievance Analytics</w:t>
      </w:r>
    </w:p>
    <w:p w14:paraId="0F66E1C3" w14:textId="77777777" w:rsidR="001673C5" w:rsidRPr="00E13558" w:rsidRDefault="00000000">
      <w:pPr>
        <w:spacing w:after="400"/>
        <w:jc w:val="center"/>
        <w:rPr>
          <w:sz w:val="22"/>
          <w:szCs w:val="22"/>
        </w:rPr>
      </w:pPr>
      <w:r w:rsidRPr="00E13558">
        <w:rPr>
          <w:b/>
          <w:bCs/>
          <w:color w:val="1F3864"/>
          <w:sz w:val="48"/>
          <w:szCs w:val="48"/>
        </w:rPr>
        <w:t>&amp; Resolution Intelligence System</w:t>
      </w:r>
    </w:p>
    <w:p w14:paraId="0BFD5D74" w14:textId="3DEAB03D" w:rsidR="00E13558" w:rsidRPr="00E13558" w:rsidRDefault="00000000" w:rsidP="008141F8">
      <w:pPr>
        <w:spacing w:after="600"/>
        <w:jc w:val="center"/>
        <w:rPr>
          <w:b/>
          <w:bCs/>
          <w:i/>
          <w:iCs/>
          <w:sz w:val="32"/>
          <w:szCs w:val="32"/>
        </w:rPr>
      </w:pPr>
      <w:r w:rsidRPr="00E13558">
        <w:rPr>
          <w:b/>
          <w:bCs/>
          <w:i/>
          <w:iCs/>
          <w:sz w:val="32"/>
          <w:szCs w:val="32"/>
        </w:rPr>
        <w:t>Project Report</w:t>
      </w:r>
    </w:p>
    <w:p w14:paraId="1EA9954E" w14:textId="77777777" w:rsidR="001673C5" w:rsidRDefault="00000000">
      <w:pPr>
        <w:spacing w:before="800" w:after="60"/>
        <w:jc w:val="center"/>
        <w:rPr>
          <w:b/>
          <w:bCs/>
          <w:sz w:val="32"/>
          <w:szCs w:val="32"/>
        </w:rPr>
      </w:pPr>
      <w:r w:rsidRPr="00E13558">
        <w:rPr>
          <w:b/>
          <w:bCs/>
          <w:sz w:val="32"/>
          <w:szCs w:val="32"/>
        </w:rPr>
        <w:t>AICTE | IBM SkillsBuild — Data Analytics with AI Internship 2026</w:t>
      </w:r>
    </w:p>
    <w:p w14:paraId="3A027501" w14:textId="77777777" w:rsidR="00E13558" w:rsidRPr="00E13558" w:rsidRDefault="00E13558">
      <w:pPr>
        <w:spacing w:before="800" w:after="60"/>
        <w:jc w:val="center"/>
        <w:rPr>
          <w:sz w:val="24"/>
          <w:szCs w:val="24"/>
        </w:rPr>
      </w:pPr>
    </w:p>
    <w:p w14:paraId="6AD1A4E1" w14:textId="77777777" w:rsidR="001673C5" w:rsidRPr="00E13558" w:rsidRDefault="00000000">
      <w:pPr>
        <w:spacing w:after="60"/>
        <w:jc w:val="center"/>
        <w:rPr>
          <w:sz w:val="24"/>
          <w:szCs w:val="24"/>
        </w:rPr>
      </w:pPr>
      <w:r w:rsidRPr="00E13558">
        <w:rPr>
          <w:sz w:val="28"/>
          <w:szCs w:val="28"/>
        </w:rPr>
        <w:t>Organized by BharatCares  |  17 August – 30 September 2026</w:t>
      </w:r>
    </w:p>
    <w:p w14:paraId="07AF39E3" w14:textId="77777777" w:rsidR="001673C5" w:rsidRDefault="00000000">
      <w:pPr>
        <w:spacing w:after="60"/>
        <w:jc w:val="center"/>
        <w:rPr>
          <w:sz w:val="28"/>
          <w:szCs w:val="28"/>
        </w:rPr>
      </w:pPr>
      <w:r w:rsidRPr="00E13558">
        <w:rPr>
          <w:sz w:val="28"/>
          <w:szCs w:val="28"/>
        </w:rPr>
        <w:t>Trainer: Mr. Kartik Hooda</w:t>
      </w:r>
    </w:p>
    <w:p w14:paraId="012E3B52" w14:textId="77777777" w:rsidR="00E13558" w:rsidRDefault="00E13558">
      <w:pPr>
        <w:spacing w:after="60"/>
        <w:jc w:val="center"/>
        <w:rPr>
          <w:sz w:val="28"/>
          <w:szCs w:val="28"/>
        </w:rPr>
      </w:pPr>
    </w:p>
    <w:p w14:paraId="3CB99CB2" w14:textId="77777777" w:rsidR="00E13558" w:rsidRPr="00E13558" w:rsidRDefault="00E13558">
      <w:pPr>
        <w:spacing w:after="60"/>
        <w:jc w:val="center"/>
        <w:rPr>
          <w:sz w:val="24"/>
          <w:szCs w:val="24"/>
        </w:rPr>
      </w:pPr>
    </w:p>
    <w:p w14:paraId="684C6D8A" w14:textId="77777777" w:rsidR="001673C5" w:rsidRPr="00E13558" w:rsidRDefault="00000000">
      <w:pPr>
        <w:spacing w:after="800"/>
        <w:jc w:val="center"/>
        <w:rPr>
          <w:b/>
          <w:bCs/>
          <w:sz w:val="28"/>
          <w:szCs w:val="28"/>
        </w:rPr>
      </w:pPr>
      <w:r w:rsidRPr="00E13558">
        <w:rPr>
          <w:b/>
          <w:bCs/>
          <w:sz w:val="32"/>
          <w:szCs w:val="32"/>
        </w:rPr>
        <w:t>Focus Area: Data Analytics with AI — Foundation to Implementation</w:t>
      </w:r>
    </w:p>
    <w:p w14:paraId="57132A30" w14:textId="77777777" w:rsidR="001673C5" w:rsidRDefault="00000000">
      <w:r>
        <w:br w:type="page"/>
      </w:r>
    </w:p>
    <w:p w14:paraId="1546523A" w14:textId="77777777" w:rsidR="001673C5" w:rsidRPr="00E13558" w:rsidRDefault="00000000">
      <w:pPr>
        <w:pStyle w:val="Heading1"/>
        <w:spacing w:before="300" w:after="150"/>
        <w:rPr>
          <w:sz w:val="44"/>
          <w:szCs w:val="44"/>
        </w:rPr>
      </w:pPr>
      <w:r w:rsidRPr="00E13558">
        <w:rPr>
          <w:sz w:val="44"/>
          <w:szCs w:val="44"/>
        </w:rPr>
        <w:lastRenderedPageBreak/>
        <w:t>Table of Contents</w:t>
      </w:r>
    </w:p>
    <w:p w14:paraId="45CD25EE" w14:textId="77777777" w:rsidR="001673C5" w:rsidRPr="00E13558" w:rsidRDefault="00000000">
      <w:pPr>
        <w:spacing w:after="80"/>
        <w:rPr>
          <w:sz w:val="28"/>
          <w:szCs w:val="28"/>
        </w:rPr>
      </w:pPr>
      <w:r w:rsidRPr="00E13558">
        <w:rPr>
          <w:sz w:val="28"/>
          <w:szCs w:val="28"/>
        </w:rPr>
        <w:t>1. Problem Statement</w:t>
      </w:r>
    </w:p>
    <w:p w14:paraId="6A34F167" w14:textId="77777777" w:rsidR="001673C5" w:rsidRPr="00E13558" w:rsidRDefault="00000000">
      <w:pPr>
        <w:spacing w:after="80"/>
        <w:rPr>
          <w:sz w:val="28"/>
          <w:szCs w:val="28"/>
        </w:rPr>
      </w:pPr>
      <w:r w:rsidRPr="00E13558">
        <w:rPr>
          <w:sz w:val="28"/>
          <w:szCs w:val="28"/>
        </w:rPr>
        <w:t>2. Objectives</w:t>
      </w:r>
    </w:p>
    <w:p w14:paraId="0C1DE35F" w14:textId="77777777" w:rsidR="001673C5" w:rsidRPr="00E13558" w:rsidRDefault="00000000">
      <w:pPr>
        <w:spacing w:after="80"/>
        <w:rPr>
          <w:sz w:val="28"/>
          <w:szCs w:val="28"/>
        </w:rPr>
      </w:pPr>
      <w:r w:rsidRPr="00E13558">
        <w:rPr>
          <w:sz w:val="28"/>
          <w:szCs w:val="28"/>
        </w:rPr>
        <w:t>3. Dataset &amp; Source</w:t>
      </w:r>
    </w:p>
    <w:p w14:paraId="71A87D03" w14:textId="77777777" w:rsidR="001673C5" w:rsidRPr="00E13558" w:rsidRDefault="00000000">
      <w:pPr>
        <w:spacing w:after="80"/>
        <w:rPr>
          <w:sz w:val="28"/>
          <w:szCs w:val="28"/>
        </w:rPr>
      </w:pPr>
      <w:r w:rsidRPr="00E13558">
        <w:rPr>
          <w:sz w:val="28"/>
          <w:szCs w:val="28"/>
        </w:rPr>
        <w:t>4. Data Cleaning &amp; Preparation</w:t>
      </w:r>
    </w:p>
    <w:p w14:paraId="67D0E38F" w14:textId="77777777" w:rsidR="001673C5" w:rsidRPr="00E13558" w:rsidRDefault="00000000">
      <w:pPr>
        <w:spacing w:after="80"/>
        <w:rPr>
          <w:sz w:val="28"/>
          <w:szCs w:val="28"/>
        </w:rPr>
      </w:pPr>
      <w:r w:rsidRPr="00E13558">
        <w:rPr>
          <w:sz w:val="28"/>
          <w:szCs w:val="28"/>
        </w:rPr>
        <w:t>5. Exploratory Data Analysis</w:t>
      </w:r>
    </w:p>
    <w:p w14:paraId="53B6CE5F" w14:textId="77777777" w:rsidR="001673C5" w:rsidRPr="00E13558" w:rsidRDefault="00000000">
      <w:pPr>
        <w:spacing w:after="80"/>
        <w:rPr>
          <w:sz w:val="28"/>
          <w:szCs w:val="28"/>
        </w:rPr>
      </w:pPr>
      <w:r w:rsidRPr="00E13558">
        <w:rPr>
          <w:sz w:val="28"/>
          <w:szCs w:val="28"/>
        </w:rPr>
        <w:t>6. Department / State-wise Analysis</w:t>
      </w:r>
    </w:p>
    <w:p w14:paraId="27180228" w14:textId="77777777" w:rsidR="001673C5" w:rsidRPr="00E13558" w:rsidRDefault="00000000">
      <w:pPr>
        <w:spacing w:after="80"/>
        <w:rPr>
          <w:sz w:val="28"/>
          <w:szCs w:val="28"/>
        </w:rPr>
      </w:pPr>
      <w:r w:rsidRPr="00E13558">
        <w:rPr>
          <w:sz w:val="28"/>
          <w:szCs w:val="28"/>
        </w:rPr>
        <w:t>7. Received vs Disposed vs Pending Analysis</w:t>
      </w:r>
    </w:p>
    <w:p w14:paraId="5F1784BB" w14:textId="77777777" w:rsidR="001673C5" w:rsidRPr="00E13558" w:rsidRDefault="00000000">
      <w:pPr>
        <w:spacing w:after="80"/>
        <w:rPr>
          <w:sz w:val="28"/>
          <w:szCs w:val="28"/>
        </w:rPr>
      </w:pPr>
      <w:r w:rsidRPr="00E13558">
        <w:rPr>
          <w:sz w:val="28"/>
          <w:szCs w:val="28"/>
        </w:rPr>
        <w:t>8. Resolution / Pendency Insights</w:t>
      </w:r>
    </w:p>
    <w:p w14:paraId="244BEFB9" w14:textId="77777777" w:rsidR="001673C5" w:rsidRPr="00E13558" w:rsidRDefault="00000000">
      <w:pPr>
        <w:spacing w:after="80"/>
        <w:rPr>
          <w:sz w:val="28"/>
          <w:szCs w:val="28"/>
        </w:rPr>
      </w:pPr>
      <w:r w:rsidRPr="00E13558">
        <w:rPr>
          <w:sz w:val="28"/>
          <w:szCs w:val="28"/>
        </w:rPr>
        <w:t>9. AI / ML Analysis</w:t>
      </w:r>
    </w:p>
    <w:p w14:paraId="1038545E" w14:textId="77777777" w:rsidR="001673C5" w:rsidRPr="00E13558" w:rsidRDefault="00000000">
      <w:pPr>
        <w:spacing w:after="80"/>
        <w:rPr>
          <w:sz w:val="28"/>
          <w:szCs w:val="28"/>
        </w:rPr>
      </w:pPr>
      <w:r w:rsidRPr="00E13558">
        <w:rPr>
          <w:sz w:val="28"/>
          <w:szCs w:val="28"/>
        </w:rPr>
        <w:t>10. Key Findings</w:t>
      </w:r>
    </w:p>
    <w:p w14:paraId="5C094A8D" w14:textId="77777777" w:rsidR="001673C5" w:rsidRPr="00E13558" w:rsidRDefault="00000000">
      <w:pPr>
        <w:spacing w:after="80"/>
        <w:rPr>
          <w:sz w:val="28"/>
          <w:szCs w:val="28"/>
        </w:rPr>
      </w:pPr>
      <w:r w:rsidRPr="00E13558">
        <w:rPr>
          <w:sz w:val="28"/>
          <w:szCs w:val="28"/>
        </w:rPr>
        <w:t>11. Conclusion</w:t>
      </w:r>
    </w:p>
    <w:p w14:paraId="6B7DEA19" w14:textId="77777777" w:rsidR="001673C5" w:rsidRPr="00E13558" w:rsidRDefault="00000000">
      <w:pPr>
        <w:spacing w:after="80"/>
        <w:rPr>
          <w:sz w:val="28"/>
          <w:szCs w:val="28"/>
        </w:rPr>
      </w:pPr>
      <w:r w:rsidRPr="00E13558">
        <w:rPr>
          <w:sz w:val="28"/>
          <w:szCs w:val="28"/>
        </w:rPr>
        <w:t>12. Future Scope</w:t>
      </w:r>
    </w:p>
    <w:p w14:paraId="588AA9FB" w14:textId="77777777" w:rsidR="001673C5" w:rsidRPr="00E13558" w:rsidRDefault="00000000">
      <w:pPr>
        <w:spacing w:after="80"/>
        <w:rPr>
          <w:sz w:val="28"/>
          <w:szCs w:val="28"/>
        </w:rPr>
      </w:pPr>
      <w:r w:rsidRPr="00E13558">
        <w:rPr>
          <w:sz w:val="28"/>
          <w:szCs w:val="28"/>
        </w:rPr>
        <w:t>13. References &amp; Limitations</w:t>
      </w:r>
    </w:p>
    <w:p w14:paraId="5AA7E769" w14:textId="77777777" w:rsidR="001673C5" w:rsidRDefault="00000000">
      <w:r>
        <w:br w:type="page"/>
      </w:r>
    </w:p>
    <w:p w14:paraId="76659031" w14:textId="77777777" w:rsidR="001673C5" w:rsidRDefault="00000000">
      <w:pPr>
        <w:pStyle w:val="Heading1"/>
        <w:spacing w:before="300" w:after="150"/>
      </w:pPr>
      <w:r>
        <w:lastRenderedPageBreak/>
        <w:t>1. Problem Statement</w:t>
      </w:r>
    </w:p>
    <w:p w14:paraId="31599AF7" w14:textId="77777777" w:rsidR="001673C5" w:rsidRDefault="00000000">
      <w:pPr>
        <w:spacing w:after="160"/>
        <w:jc w:val="both"/>
      </w:pPr>
      <w:r>
        <w:t>Citizens across India submit lakhs of grievances every year through the Centralised Public Grievance Redress and Monitoring System (CPGRAMS) — the Government of India's single online platform for lodging and tracking complaints against any Central Ministry, Department, State, or Union Territory. While CPGRAMS captures large volumes of receipt, disposal, and pendency data, this information is rarely converted into actionable, data-driven insight for citizens, researchers, or administrators. There is a clear need for a data-analytics system that can objectively measure how efficiently different government bodies resolve citizen grievances, identify where backlogs are concentrated, and apply AI/ML techniques to group and model performance so that limited administrative attention can be targeted where it is needed most.</w:t>
      </w:r>
    </w:p>
    <w:p w14:paraId="559AD69D" w14:textId="77777777" w:rsidR="001673C5" w:rsidRDefault="00000000">
      <w:pPr>
        <w:pStyle w:val="Heading1"/>
        <w:spacing w:before="300" w:after="150"/>
      </w:pPr>
      <w:r>
        <w:t>2. Objectives</w:t>
      </w:r>
    </w:p>
    <w:p w14:paraId="3028198E" w14:textId="77777777" w:rsidR="001673C5" w:rsidRDefault="00000000">
      <w:pPr>
        <w:pStyle w:val="ListParagraph"/>
        <w:numPr>
          <w:ilvl w:val="0"/>
          <w:numId w:val="1"/>
        </w:numPr>
        <w:spacing w:after="80"/>
      </w:pPr>
      <w:r>
        <w:t>Collect and clean an authentic, publicly available Government of India grievance-redressal dataset.</w:t>
      </w:r>
    </w:p>
    <w:p w14:paraId="0D69323B" w14:textId="77777777" w:rsidR="001673C5" w:rsidRDefault="00000000">
      <w:pPr>
        <w:pStyle w:val="ListParagraph"/>
        <w:numPr>
          <w:ilvl w:val="0"/>
          <w:numId w:val="1"/>
        </w:numPr>
        <w:spacing w:after="80"/>
      </w:pPr>
      <w:r>
        <w:t>Perform Exploratory Data Analysis (EDA) on grievances received vs. disposed vs. pending.</w:t>
      </w:r>
    </w:p>
    <w:p w14:paraId="17B8CC84" w14:textId="77777777" w:rsidR="001673C5" w:rsidRDefault="00000000">
      <w:pPr>
        <w:pStyle w:val="ListParagraph"/>
        <w:numPr>
          <w:ilvl w:val="0"/>
          <w:numId w:val="1"/>
        </w:numPr>
        <w:spacing w:after="80"/>
      </w:pPr>
      <w:r>
        <w:t>Compare performance across Central Ministries/Departments and States/Union Territories.</w:t>
      </w:r>
    </w:p>
    <w:p w14:paraId="278A9795" w14:textId="77777777" w:rsidR="001673C5" w:rsidRDefault="00000000">
      <w:pPr>
        <w:pStyle w:val="ListParagraph"/>
        <w:numPr>
          <w:ilvl w:val="0"/>
          <w:numId w:val="1"/>
        </w:numPr>
        <w:spacing w:after="80"/>
      </w:pPr>
      <w:r>
        <w:t>Derive pendency and resolution-delay insights, including how long grievances stay unresolved.</w:t>
      </w:r>
    </w:p>
    <w:p w14:paraId="0AE5E861" w14:textId="77777777" w:rsidR="001673C5" w:rsidRDefault="00000000">
      <w:pPr>
        <w:pStyle w:val="ListParagraph"/>
        <w:numPr>
          <w:ilvl w:val="0"/>
          <w:numId w:val="1"/>
        </w:numPr>
        <w:spacing w:after="80"/>
      </w:pPr>
      <w:r>
        <w:t>Apply relevant AI/ML techniques (clustering and regression) on the available numeric fields.</w:t>
      </w:r>
    </w:p>
    <w:p w14:paraId="31107C06" w14:textId="77777777" w:rsidR="001673C5" w:rsidRDefault="00000000">
      <w:pPr>
        <w:pStyle w:val="ListParagraph"/>
        <w:numPr>
          <w:ilvl w:val="0"/>
          <w:numId w:val="1"/>
        </w:numPr>
        <w:spacing w:after="80"/>
      </w:pPr>
      <w:r>
        <w:t>Summarise findings into clear, decision-useful insights, and recommend future extensions.</w:t>
      </w:r>
    </w:p>
    <w:p w14:paraId="6072C127" w14:textId="77777777" w:rsidR="001673C5" w:rsidRDefault="00000000">
      <w:pPr>
        <w:pStyle w:val="Heading1"/>
        <w:spacing w:before="300" w:after="150"/>
      </w:pPr>
      <w:r>
        <w:t>3. Dataset &amp; Source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5"/>
        <w:gridCol w:w="5035"/>
      </w:tblGrid>
      <w:tr w:rsidR="001673C5" w14:paraId="6DB4B24B" w14:textId="77777777">
        <w:tblPrEx>
          <w:tblCellMar>
            <w:top w:w="0" w:type="dxa"/>
            <w:bottom w:w="0" w:type="dxa"/>
          </w:tblCellMar>
        </w:tblPrEx>
        <w:tc>
          <w:tcPr>
            <w:tcW w:w="4500" w:type="dxa"/>
            <w:shd w:val="clear" w:color="auto" w:fill="1F3864"/>
          </w:tcPr>
          <w:p w14:paraId="2D68E03E" w14:textId="77777777" w:rsidR="001673C5" w:rsidRDefault="00000000">
            <w:r>
              <w:rPr>
                <w:b/>
                <w:bCs/>
                <w:color w:val="FFFFFF"/>
              </w:rPr>
              <w:t>Field</w:t>
            </w:r>
          </w:p>
        </w:tc>
        <w:tc>
          <w:tcPr>
            <w:tcW w:w="4500" w:type="dxa"/>
            <w:shd w:val="clear" w:color="auto" w:fill="1F3864"/>
          </w:tcPr>
          <w:p w14:paraId="2B6F73A8" w14:textId="77777777" w:rsidR="001673C5" w:rsidRDefault="00000000">
            <w:r>
              <w:rPr>
                <w:b/>
                <w:bCs/>
                <w:color w:val="FFFFFF"/>
              </w:rPr>
              <w:t>Detail</w:t>
            </w:r>
          </w:p>
        </w:tc>
      </w:tr>
      <w:tr w:rsidR="001673C5" w14:paraId="20AAEE15" w14:textId="77777777">
        <w:tblPrEx>
          <w:tblCellMar>
            <w:top w:w="0" w:type="dxa"/>
            <w:bottom w:w="0" w:type="dxa"/>
          </w:tblCellMar>
        </w:tblPrEx>
        <w:tc>
          <w:tcPr>
            <w:tcW w:w="4500" w:type="dxa"/>
            <w:shd w:val="clear" w:color="auto" w:fill="F2F2F2"/>
          </w:tcPr>
          <w:p w14:paraId="4828E546" w14:textId="77777777" w:rsidR="001673C5" w:rsidRDefault="00000000">
            <w:r>
              <w:rPr>
                <w:b/>
                <w:bCs/>
                <w:color w:val="000000"/>
              </w:rPr>
              <w:t>Dataset</w:t>
            </w:r>
          </w:p>
        </w:tc>
        <w:tc>
          <w:tcPr>
            <w:tcW w:w="4500" w:type="dxa"/>
            <w:shd w:val="clear" w:color="auto" w:fill="F2F2F2"/>
          </w:tcPr>
          <w:p w14:paraId="63F09C59" w14:textId="77777777" w:rsidR="001673C5" w:rsidRDefault="00000000">
            <w:r>
              <w:rPr>
                <w:color w:val="000000"/>
              </w:rPr>
              <w:t>Department/State-wise Receipts, Disposal &amp; Pendency of Public Grievances (CPGRAMS)</w:t>
            </w:r>
          </w:p>
        </w:tc>
      </w:tr>
      <w:tr w:rsidR="001673C5" w14:paraId="1208C8EC" w14:textId="77777777">
        <w:tblPrEx>
          <w:tblCellMar>
            <w:top w:w="0" w:type="dxa"/>
            <w:bottom w:w="0" w:type="dxa"/>
          </w:tblCellMar>
        </w:tblPrEx>
        <w:tc>
          <w:tcPr>
            <w:tcW w:w="4500" w:type="dxa"/>
            <w:shd w:val="clear" w:color="auto" w:fill="FFFFFF"/>
          </w:tcPr>
          <w:p w14:paraId="587C56BF" w14:textId="77777777" w:rsidR="001673C5" w:rsidRDefault="00000000">
            <w:r>
              <w:rPr>
                <w:b/>
                <w:bCs/>
                <w:color w:val="000000"/>
              </w:rPr>
              <w:t>Publisher</w:t>
            </w:r>
          </w:p>
        </w:tc>
        <w:tc>
          <w:tcPr>
            <w:tcW w:w="4500" w:type="dxa"/>
            <w:shd w:val="clear" w:color="auto" w:fill="FFFFFF"/>
          </w:tcPr>
          <w:p w14:paraId="3518C34A" w14:textId="77777777" w:rsidR="001673C5" w:rsidRDefault="00000000">
            <w:r>
              <w:rPr>
                <w:color w:val="000000"/>
              </w:rPr>
              <w:t>Department of Administrative Reforms and Public Grievances (DARPG), Govt. of India</w:t>
            </w:r>
          </w:p>
        </w:tc>
      </w:tr>
      <w:tr w:rsidR="001673C5" w14:paraId="0AA1AD89" w14:textId="77777777">
        <w:tblPrEx>
          <w:tblCellMar>
            <w:top w:w="0" w:type="dxa"/>
            <w:bottom w:w="0" w:type="dxa"/>
          </w:tblCellMar>
        </w:tblPrEx>
        <w:tc>
          <w:tcPr>
            <w:tcW w:w="4500" w:type="dxa"/>
            <w:shd w:val="clear" w:color="auto" w:fill="F2F2F2"/>
          </w:tcPr>
          <w:p w14:paraId="7610D3CF" w14:textId="77777777" w:rsidR="001673C5" w:rsidRDefault="00000000">
            <w:r>
              <w:rPr>
                <w:b/>
                <w:bCs/>
                <w:color w:val="000000"/>
              </w:rPr>
              <w:t>Platform</w:t>
            </w:r>
          </w:p>
        </w:tc>
        <w:tc>
          <w:tcPr>
            <w:tcW w:w="4500" w:type="dxa"/>
            <w:shd w:val="clear" w:color="auto" w:fill="F2F2F2"/>
          </w:tcPr>
          <w:p w14:paraId="7E9A9060" w14:textId="77777777" w:rsidR="001673C5" w:rsidRDefault="00000000">
            <w:r>
              <w:rPr>
                <w:color w:val="000000"/>
              </w:rPr>
              <w:t>Open Government Data (OGD) Platform India — data.gov.in</w:t>
            </w:r>
          </w:p>
        </w:tc>
      </w:tr>
      <w:tr w:rsidR="001673C5" w14:paraId="62F095E0" w14:textId="77777777">
        <w:tblPrEx>
          <w:tblCellMar>
            <w:top w:w="0" w:type="dxa"/>
            <w:bottom w:w="0" w:type="dxa"/>
          </w:tblCellMar>
        </w:tblPrEx>
        <w:tc>
          <w:tcPr>
            <w:tcW w:w="4500" w:type="dxa"/>
            <w:shd w:val="clear" w:color="auto" w:fill="FFFFFF"/>
          </w:tcPr>
          <w:p w14:paraId="778B2194" w14:textId="77777777" w:rsidR="001673C5" w:rsidRDefault="00000000">
            <w:r>
              <w:rPr>
                <w:b/>
                <w:bCs/>
                <w:color w:val="000000"/>
              </w:rPr>
              <w:t>Coverage period</w:t>
            </w:r>
          </w:p>
        </w:tc>
        <w:tc>
          <w:tcPr>
            <w:tcW w:w="4500" w:type="dxa"/>
            <w:shd w:val="clear" w:color="auto" w:fill="FFFFFF"/>
          </w:tcPr>
          <w:p w14:paraId="2F942F8A" w14:textId="77777777" w:rsidR="001673C5" w:rsidRDefault="00000000">
            <w:r>
              <w:rPr>
                <w:color w:val="000000"/>
              </w:rPr>
              <w:t>01 January 2016 to 01 November 2019 (cumulative, as on 01.11.2019)</w:t>
            </w:r>
          </w:p>
        </w:tc>
      </w:tr>
      <w:tr w:rsidR="001673C5" w14:paraId="44E87CAD" w14:textId="77777777">
        <w:tblPrEx>
          <w:tblCellMar>
            <w:top w:w="0" w:type="dxa"/>
            <w:bottom w:w="0" w:type="dxa"/>
          </w:tblCellMar>
        </w:tblPrEx>
        <w:tc>
          <w:tcPr>
            <w:tcW w:w="4500" w:type="dxa"/>
            <w:shd w:val="clear" w:color="auto" w:fill="F2F2F2"/>
          </w:tcPr>
          <w:p w14:paraId="42B29CEC" w14:textId="77777777" w:rsidR="001673C5" w:rsidRDefault="00000000">
            <w:r>
              <w:rPr>
                <w:b/>
                <w:bCs/>
                <w:color w:val="000000"/>
              </w:rPr>
              <w:t>Granularity</w:t>
            </w:r>
          </w:p>
        </w:tc>
        <w:tc>
          <w:tcPr>
            <w:tcW w:w="4500" w:type="dxa"/>
            <w:shd w:val="clear" w:color="auto" w:fill="F2F2F2"/>
          </w:tcPr>
          <w:p w14:paraId="593AEED0" w14:textId="77777777" w:rsidR="001673C5" w:rsidRDefault="00000000">
            <w:r>
              <w:rPr>
                <w:color w:val="000000"/>
              </w:rPr>
              <w:t>One row per Central Ministry/Department and per State/UT — 124 rows total</w:t>
            </w:r>
          </w:p>
        </w:tc>
      </w:tr>
      <w:tr w:rsidR="001673C5" w14:paraId="11167010" w14:textId="77777777">
        <w:tblPrEx>
          <w:tblCellMar>
            <w:top w:w="0" w:type="dxa"/>
            <w:bottom w:w="0" w:type="dxa"/>
          </w:tblCellMar>
        </w:tblPrEx>
        <w:tc>
          <w:tcPr>
            <w:tcW w:w="4500" w:type="dxa"/>
            <w:shd w:val="clear" w:color="auto" w:fill="FFFFFF"/>
          </w:tcPr>
          <w:p w14:paraId="2603CDE5" w14:textId="77777777" w:rsidR="001673C5" w:rsidRDefault="00000000">
            <w:r>
              <w:rPr>
                <w:b/>
                <w:bCs/>
                <w:color w:val="000000"/>
              </w:rPr>
              <w:t>Original catalog page</w:t>
            </w:r>
          </w:p>
        </w:tc>
        <w:tc>
          <w:tcPr>
            <w:tcW w:w="4500" w:type="dxa"/>
            <w:shd w:val="clear" w:color="auto" w:fill="FFFFFF"/>
          </w:tcPr>
          <w:p w14:paraId="7AFE83E2" w14:textId="77777777" w:rsidR="001673C5" w:rsidRDefault="00000000">
            <w:r>
              <w:rPr>
                <w:color w:val="000000"/>
              </w:rPr>
              <w:t>data.gov.in/catalog/monthly-department-wise-public-grievance-receipts-and-disposals</w:t>
            </w:r>
          </w:p>
        </w:tc>
      </w:tr>
      <w:tr w:rsidR="001673C5" w14:paraId="15F4F1D3" w14:textId="77777777">
        <w:tblPrEx>
          <w:tblCellMar>
            <w:top w:w="0" w:type="dxa"/>
            <w:bottom w:w="0" w:type="dxa"/>
          </w:tblCellMar>
        </w:tblPrEx>
        <w:tc>
          <w:tcPr>
            <w:tcW w:w="4500" w:type="dxa"/>
            <w:shd w:val="clear" w:color="auto" w:fill="F2F2F2"/>
          </w:tcPr>
          <w:p w14:paraId="24D5CC23" w14:textId="77777777" w:rsidR="001673C5" w:rsidRDefault="00000000">
            <w:r>
              <w:rPr>
                <w:b/>
                <w:bCs/>
                <w:color w:val="000000"/>
              </w:rPr>
              <w:t>File used</w:t>
            </w:r>
          </w:p>
        </w:tc>
        <w:tc>
          <w:tcPr>
            <w:tcW w:w="4500" w:type="dxa"/>
            <w:shd w:val="clear" w:color="auto" w:fill="F2F2F2"/>
          </w:tcPr>
          <w:p w14:paraId="390528A4" w14:textId="77777777" w:rsidR="001673C5" w:rsidRDefault="00000000">
            <w:r>
              <w:rPr>
                <w:color w:val="000000"/>
              </w:rPr>
              <w:t>Dept_stat_receipt_disposal_010112019.csv</w:t>
            </w:r>
          </w:p>
        </w:tc>
      </w:tr>
      <w:tr w:rsidR="001673C5" w14:paraId="50939508" w14:textId="77777777">
        <w:tblPrEx>
          <w:tblCellMar>
            <w:top w:w="0" w:type="dxa"/>
            <w:bottom w:w="0" w:type="dxa"/>
          </w:tblCellMar>
        </w:tblPrEx>
        <w:tc>
          <w:tcPr>
            <w:tcW w:w="4500" w:type="dxa"/>
            <w:shd w:val="clear" w:color="auto" w:fill="FFFFFF"/>
          </w:tcPr>
          <w:p w14:paraId="70EDE1BF" w14:textId="77777777" w:rsidR="001673C5" w:rsidRDefault="00000000">
            <w:r>
              <w:rPr>
                <w:b/>
                <w:bCs/>
                <w:color w:val="000000"/>
              </w:rPr>
              <w:t>CPGRAMS portal</w:t>
            </w:r>
          </w:p>
        </w:tc>
        <w:tc>
          <w:tcPr>
            <w:tcW w:w="4500" w:type="dxa"/>
            <w:shd w:val="clear" w:color="auto" w:fill="FFFFFF"/>
          </w:tcPr>
          <w:p w14:paraId="70FA6222" w14:textId="77777777" w:rsidR="001673C5" w:rsidRDefault="00000000">
            <w:r>
              <w:rPr>
                <w:color w:val="000000"/>
              </w:rPr>
              <w:t>pgportal.gov.in</w:t>
            </w:r>
          </w:p>
        </w:tc>
      </w:tr>
    </w:tbl>
    <w:p w14:paraId="48C93649" w14:textId="77777777" w:rsidR="001673C5" w:rsidRDefault="001673C5">
      <w:pPr>
        <w:spacing w:after="160"/>
      </w:pPr>
    </w:p>
    <w:p w14:paraId="6A347B50" w14:textId="77777777" w:rsidR="001673C5" w:rsidRDefault="00000000">
      <w:pPr>
        <w:spacing w:after="160"/>
        <w:jc w:val="both"/>
      </w:pPr>
      <w:r>
        <w:t>Note on provenance: data.gov.in blocks automated/bot downloads, so the exact, unmodified CSV was retrieved from a verified public GitHub mirror (github.com/kalyandutta209/cpgrams-statistical-analysis), whose README documents the file as the 'Original government dataset' sourced from DARPG/data.gov.in. The same file can also be requested directly from data.gov.in through a browser for independent verification.</w:t>
      </w:r>
    </w:p>
    <w:p w14:paraId="7A6BA25F" w14:textId="77777777" w:rsidR="001673C5" w:rsidRDefault="00000000">
      <w:pPr>
        <w:spacing w:after="160"/>
        <w:jc w:val="both"/>
      </w:pPr>
      <w:r>
        <w:rPr>
          <w:b/>
          <w:bCs/>
        </w:rPr>
        <w:t>Important, honest limitations of this dataset:</w:t>
      </w:r>
    </w:p>
    <w:p w14:paraId="0E410F73" w14:textId="77777777" w:rsidR="001673C5" w:rsidRDefault="00000000">
      <w:pPr>
        <w:pStyle w:val="ListParagraph"/>
        <w:numPr>
          <w:ilvl w:val="0"/>
          <w:numId w:val="1"/>
        </w:numPr>
        <w:spacing w:after="80"/>
      </w:pPr>
      <w:r>
        <w:t>This is a single cumulative snapshot (as on 01.11.2019), not a month-by-month or year-by-year time series. This project does not claim to show a multi-year volume trend line — that would require a different, time-indexed CPGRAMS dataset not available in clean tabular form in this environment.</w:t>
      </w:r>
    </w:p>
    <w:p w14:paraId="70FA68D8" w14:textId="77777777" w:rsidR="001673C5" w:rsidRDefault="00000000">
      <w:pPr>
        <w:pStyle w:val="ListParagraph"/>
        <w:numPr>
          <w:ilvl w:val="0"/>
          <w:numId w:val="1"/>
        </w:numPr>
        <w:spacing w:after="80"/>
      </w:pPr>
      <w:r>
        <w:t>The dataset contains only aggregate counts — no individual grievance text/descriptions. No sentiment analysis or NLP topic modelling has been performed or fabricated. AI/ML in this project instead means clustering and regression on the genuine numeric fields available.</w:t>
      </w:r>
    </w:p>
    <w:p w14:paraId="51951DE7" w14:textId="77777777" w:rsidR="001673C5" w:rsidRDefault="00000000">
      <w:pPr>
        <w:pStyle w:val="ListParagraph"/>
        <w:numPr>
          <w:ilvl w:val="0"/>
          <w:numId w:val="1"/>
        </w:numPr>
        <w:spacing w:after="80"/>
      </w:pPr>
      <w:r>
        <w:t>Every number in this report is computed directly from the CSV file above; no statistic has been invented.</w:t>
      </w:r>
    </w:p>
    <w:p w14:paraId="60A9156F" w14:textId="77777777" w:rsidR="001673C5" w:rsidRDefault="00000000">
      <w:pPr>
        <w:pStyle w:val="Heading1"/>
        <w:spacing w:before="300" w:after="150"/>
      </w:pPr>
      <w:r>
        <w:t>4. Data Cleaning &amp; Preparation</w:t>
      </w:r>
    </w:p>
    <w:p w14:paraId="51A84074" w14:textId="77777777" w:rsidR="001673C5" w:rsidRDefault="00000000">
      <w:pPr>
        <w:spacing w:after="160"/>
        <w:jc w:val="both"/>
      </w:pPr>
      <w:r>
        <w:lastRenderedPageBreak/>
        <w:t>The following cleaning and preparation steps were applied (see the accompanying Jupyter Notebook, Section 5, for the executable code):</w:t>
      </w:r>
    </w:p>
    <w:p w14:paraId="3EBD8904" w14:textId="77777777" w:rsidR="001673C5" w:rsidRDefault="00000000">
      <w:pPr>
        <w:pStyle w:val="ListParagraph"/>
        <w:numPr>
          <w:ilvl w:val="0"/>
          <w:numId w:val="1"/>
        </w:numPr>
        <w:spacing w:after="80"/>
      </w:pPr>
      <w:r>
        <w:t>Renamed long, verbose column headers to short, code-friendly names.</w:t>
      </w:r>
    </w:p>
    <w:p w14:paraId="083E475B" w14:textId="77777777" w:rsidR="001673C5" w:rsidRDefault="00000000">
      <w:pPr>
        <w:pStyle w:val="ListParagraph"/>
        <w:numPr>
          <w:ilvl w:val="0"/>
          <w:numId w:val="1"/>
        </w:numPr>
        <w:spacing w:after="80"/>
      </w:pPr>
      <w:r>
        <w:t>Stripped stray whitespace and a trailing comma found in one entity name.</w:t>
      </w:r>
    </w:p>
    <w:p w14:paraId="58442CEC" w14:textId="77777777" w:rsidR="001673C5" w:rsidRDefault="00000000">
      <w:pPr>
        <w:pStyle w:val="ListParagraph"/>
        <w:numPr>
          <w:ilvl w:val="0"/>
          <w:numId w:val="1"/>
        </w:numPr>
        <w:spacing w:after="80"/>
      </w:pPr>
      <w:r>
        <w:t>Checked for missing values (none found) and duplicate rows (none found) across all 124 rows.</w:t>
      </w:r>
    </w:p>
    <w:p w14:paraId="4A7C42C9" w14:textId="77777777" w:rsidR="001673C5" w:rsidRDefault="00000000">
      <w:pPr>
        <w:pStyle w:val="ListParagraph"/>
        <w:numPr>
          <w:ilvl w:val="0"/>
          <w:numId w:val="1"/>
        </w:numPr>
        <w:spacing w:after="80"/>
      </w:pPr>
      <w:r>
        <w:t>Classified every row as 'Central Ministry/Department' (88 rows) or 'State/Union Territory' (36 rows) using an explicit, verifiable list of Indian State/UT names, since this label does not exist in the raw file.</w:t>
      </w:r>
    </w:p>
    <w:p w14:paraId="1C1AE5D3" w14:textId="77777777" w:rsidR="001673C5" w:rsidRDefault="00000000">
      <w:pPr>
        <w:pStyle w:val="ListParagraph"/>
        <w:numPr>
          <w:ilvl w:val="0"/>
          <w:numId w:val="1"/>
        </w:numPr>
        <w:spacing w:after="80"/>
      </w:pPr>
      <w:r>
        <w:t>Engineered three KPIs needed for the analysis: Disposal Rate %, Pendency Rate %, and Chronic Pendency % (share of currently-pending cases that have been pending for more than one year).</w:t>
      </w:r>
    </w:p>
    <w:p w14:paraId="4EEF8A19" w14:textId="77777777" w:rsidR="001673C5" w:rsidRDefault="00000000">
      <w:pPr>
        <w:pStyle w:val="Heading1"/>
        <w:spacing w:before="300" w:after="150"/>
      </w:pPr>
      <w:r>
        <w:t>5. Exploratory Data Analysis</w:t>
      </w:r>
    </w:p>
    <w:p w14:paraId="5691AEA2" w14:textId="77777777" w:rsidR="001673C5" w:rsidRDefault="00000000">
      <w:pPr>
        <w:spacing w:after="160"/>
        <w:jc w:val="both"/>
      </w:pPr>
      <w:r>
        <w:t>Central Ministries/Departments vs. States/UTs show a stark difference in performance on this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6"/>
        <w:gridCol w:w="3357"/>
        <w:gridCol w:w="3357"/>
      </w:tblGrid>
      <w:tr w:rsidR="001673C5" w14:paraId="23F8E4DB" w14:textId="77777777">
        <w:tblPrEx>
          <w:tblCellMar>
            <w:top w:w="0" w:type="dxa"/>
            <w:bottom w:w="0" w:type="dxa"/>
          </w:tblCellMar>
        </w:tblPrEx>
        <w:tc>
          <w:tcPr>
            <w:tcW w:w="3000" w:type="dxa"/>
            <w:shd w:val="clear" w:color="auto" w:fill="1F3864"/>
          </w:tcPr>
          <w:p w14:paraId="2DE5569E" w14:textId="77777777" w:rsidR="001673C5" w:rsidRDefault="00000000">
            <w:r>
              <w:rPr>
                <w:b/>
                <w:bCs/>
                <w:color w:val="FFFFFF"/>
              </w:rPr>
              <w:t>Metric (mean)</w:t>
            </w:r>
          </w:p>
        </w:tc>
        <w:tc>
          <w:tcPr>
            <w:tcW w:w="3000" w:type="dxa"/>
            <w:shd w:val="clear" w:color="auto" w:fill="1F3864"/>
          </w:tcPr>
          <w:p w14:paraId="5238B61A" w14:textId="77777777" w:rsidR="001673C5" w:rsidRDefault="00000000">
            <w:r>
              <w:rPr>
                <w:b/>
                <w:bCs/>
                <w:color w:val="FFFFFF"/>
              </w:rPr>
              <w:t>Central Ministries/Depts</w:t>
            </w:r>
          </w:p>
        </w:tc>
        <w:tc>
          <w:tcPr>
            <w:tcW w:w="3000" w:type="dxa"/>
            <w:shd w:val="clear" w:color="auto" w:fill="1F3864"/>
          </w:tcPr>
          <w:p w14:paraId="64AEE0F4" w14:textId="77777777" w:rsidR="001673C5" w:rsidRDefault="00000000">
            <w:r>
              <w:rPr>
                <w:b/>
                <w:bCs/>
                <w:color w:val="FFFFFF"/>
              </w:rPr>
              <w:t>States/UTs</w:t>
            </w:r>
          </w:p>
        </w:tc>
      </w:tr>
      <w:tr w:rsidR="001673C5" w14:paraId="49F13C01" w14:textId="77777777">
        <w:tblPrEx>
          <w:tblCellMar>
            <w:top w:w="0" w:type="dxa"/>
            <w:bottom w:w="0" w:type="dxa"/>
          </w:tblCellMar>
        </w:tblPrEx>
        <w:tc>
          <w:tcPr>
            <w:tcW w:w="3000" w:type="dxa"/>
            <w:shd w:val="clear" w:color="auto" w:fill="F2F2F2"/>
          </w:tcPr>
          <w:p w14:paraId="1E7074D6" w14:textId="77777777" w:rsidR="001673C5" w:rsidRDefault="00000000">
            <w:r>
              <w:rPr>
                <w:color w:val="000000"/>
              </w:rPr>
              <w:t>Disposal Rate %</w:t>
            </w:r>
          </w:p>
        </w:tc>
        <w:tc>
          <w:tcPr>
            <w:tcW w:w="3000" w:type="dxa"/>
            <w:shd w:val="clear" w:color="auto" w:fill="F2F2F2"/>
          </w:tcPr>
          <w:p w14:paraId="5B3EEFF6" w14:textId="77777777" w:rsidR="001673C5" w:rsidRDefault="00000000">
            <w:r>
              <w:rPr>
                <w:color w:val="000000"/>
              </w:rPr>
              <w:t>96.89%</w:t>
            </w:r>
          </w:p>
        </w:tc>
        <w:tc>
          <w:tcPr>
            <w:tcW w:w="3000" w:type="dxa"/>
            <w:shd w:val="clear" w:color="auto" w:fill="F2F2F2"/>
          </w:tcPr>
          <w:p w14:paraId="18888F61" w14:textId="77777777" w:rsidR="001673C5" w:rsidRDefault="00000000">
            <w:r>
              <w:rPr>
                <w:color w:val="000000"/>
              </w:rPr>
              <w:t>45.24%</w:t>
            </w:r>
          </w:p>
        </w:tc>
      </w:tr>
      <w:tr w:rsidR="001673C5" w14:paraId="41D8DC9E" w14:textId="77777777">
        <w:tblPrEx>
          <w:tblCellMar>
            <w:top w:w="0" w:type="dxa"/>
            <w:bottom w:w="0" w:type="dxa"/>
          </w:tblCellMar>
        </w:tblPrEx>
        <w:tc>
          <w:tcPr>
            <w:tcW w:w="3000" w:type="dxa"/>
            <w:shd w:val="clear" w:color="auto" w:fill="FFFFFF"/>
          </w:tcPr>
          <w:p w14:paraId="4697BBF1" w14:textId="77777777" w:rsidR="001673C5" w:rsidRDefault="00000000">
            <w:r>
              <w:rPr>
                <w:color w:val="000000"/>
              </w:rPr>
              <w:t>Pendency Rate %</w:t>
            </w:r>
          </w:p>
        </w:tc>
        <w:tc>
          <w:tcPr>
            <w:tcW w:w="3000" w:type="dxa"/>
            <w:shd w:val="clear" w:color="auto" w:fill="FFFFFF"/>
          </w:tcPr>
          <w:p w14:paraId="4611F4A0" w14:textId="77777777" w:rsidR="001673C5" w:rsidRDefault="00000000">
            <w:r>
              <w:rPr>
                <w:color w:val="000000"/>
              </w:rPr>
              <w:t>3.11%</w:t>
            </w:r>
          </w:p>
        </w:tc>
        <w:tc>
          <w:tcPr>
            <w:tcW w:w="3000" w:type="dxa"/>
            <w:shd w:val="clear" w:color="auto" w:fill="FFFFFF"/>
          </w:tcPr>
          <w:p w14:paraId="39E2836E" w14:textId="77777777" w:rsidR="001673C5" w:rsidRDefault="00000000">
            <w:r>
              <w:rPr>
                <w:color w:val="000000"/>
              </w:rPr>
              <w:t>54.76%</w:t>
            </w:r>
          </w:p>
        </w:tc>
      </w:tr>
      <w:tr w:rsidR="001673C5" w14:paraId="4A1E655C" w14:textId="77777777">
        <w:tblPrEx>
          <w:tblCellMar>
            <w:top w:w="0" w:type="dxa"/>
            <w:bottom w:w="0" w:type="dxa"/>
          </w:tblCellMar>
        </w:tblPrEx>
        <w:tc>
          <w:tcPr>
            <w:tcW w:w="3000" w:type="dxa"/>
            <w:shd w:val="clear" w:color="auto" w:fill="F2F2F2"/>
          </w:tcPr>
          <w:p w14:paraId="37946214" w14:textId="77777777" w:rsidR="001673C5" w:rsidRDefault="00000000">
            <w:r>
              <w:rPr>
                <w:color w:val="000000"/>
              </w:rPr>
              <w:t>Chronic Pendency %</w:t>
            </w:r>
          </w:p>
        </w:tc>
        <w:tc>
          <w:tcPr>
            <w:tcW w:w="3000" w:type="dxa"/>
            <w:shd w:val="clear" w:color="auto" w:fill="F2F2F2"/>
          </w:tcPr>
          <w:p w14:paraId="52837A72" w14:textId="77777777" w:rsidR="001673C5" w:rsidRDefault="00000000">
            <w:r>
              <w:rPr>
                <w:color w:val="000000"/>
              </w:rPr>
              <w:t>5.20%</w:t>
            </w:r>
          </w:p>
        </w:tc>
        <w:tc>
          <w:tcPr>
            <w:tcW w:w="3000" w:type="dxa"/>
            <w:shd w:val="clear" w:color="auto" w:fill="F2F2F2"/>
          </w:tcPr>
          <w:p w14:paraId="18FD57CF" w14:textId="77777777" w:rsidR="001673C5" w:rsidRDefault="00000000">
            <w:r>
              <w:rPr>
                <w:color w:val="000000"/>
              </w:rPr>
              <w:t>52.84%</w:t>
            </w:r>
          </w:p>
        </w:tc>
      </w:tr>
      <w:tr w:rsidR="001673C5" w14:paraId="7727C504" w14:textId="77777777">
        <w:tblPrEx>
          <w:tblCellMar>
            <w:top w:w="0" w:type="dxa"/>
            <w:bottom w:w="0" w:type="dxa"/>
          </w:tblCellMar>
        </w:tblPrEx>
        <w:tc>
          <w:tcPr>
            <w:tcW w:w="3000" w:type="dxa"/>
            <w:shd w:val="clear" w:color="auto" w:fill="FFFFFF"/>
          </w:tcPr>
          <w:p w14:paraId="0B234701" w14:textId="77777777" w:rsidR="001673C5" w:rsidRDefault="00000000">
            <w:r>
              <w:rPr>
                <w:color w:val="000000"/>
              </w:rPr>
              <w:t>Avg. Total Receipts</w:t>
            </w:r>
          </w:p>
        </w:tc>
        <w:tc>
          <w:tcPr>
            <w:tcW w:w="3000" w:type="dxa"/>
            <w:shd w:val="clear" w:color="auto" w:fill="FFFFFF"/>
          </w:tcPr>
          <w:p w14:paraId="636796E7" w14:textId="77777777" w:rsidR="001673C5" w:rsidRDefault="00000000">
            <w:r>
              <w:rPr>
                <w:color w:val="000000"/>
              </w:rPr>
              <w:t>33,083.89</w:t>
            </w:r>
          </w:p>
        </w:tc>
        <w:tc>
          <w:tcPr>
            <w:tcW w:w="3000" w:type="dxa"/>
            <w:shd w:val="clear" w:color="auto" w:fill="FFFFFF"/>
          </w:tcPr>
          <w:p w14:paraId="1814F5D6" w14:textId="77777777" w:rsidR="001673C5" w:rsidRDefault="00000000">
            <w:r>
              <w:rPr>
                <w:color w:val="000000"/>
              </w:rPr>
              <w:t>51,894.58</w:t>
            </w:r>
          </w:p>
        </w:tc>
      </w:tr>
    </w:tbl>
    <w:p w14:paraId="4BBE2616" w14:textId="77777777" w:rsidR="001673C5" w:rsidRDefault="00000000">
      <w:pPr>
        <w:spacing w:before="150" w:after="60"/>
        <w:jc w:val="center"/>
      </w:pPr>
      <w:r>
        <w:rPr>
          <w:noProof/>
        </w:rPr>
        <w:drawing>
          <wp:inline distT="0" distB="0" distL="0" distR="0" wp14:anchorId="09B73981" wp14:editId="5525C3C8">
            <wp:extent cx="4000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667000"/>
                    </a:xfrm>
                    <a:prstGeom prst="rect">
                      <a:avLst/>
                    </a:prstGeom>
                  </pic:spPr>
                </pic:pic>
              </a:graphicData>
            </a:graphic>
          </wp:inline>
        </w:drawing>
      </w:r>
    </w:p>
    <w:p w14:paraId="58C7E8BE" w14:textId="77777777" w:rsidR="001673C5" w:rsidRDefault="00000000">
      <w:pPr>
        <w:spacing w:after="200"/>
        <w:jc w:val="center"/>
      </w:pPr>
      <w:r>
        <w:rPr>
          <w:i/>
          <w:iCs/>
          <w:color w:val="555555"/>
        </w:rPr>
        <w:t>Fig 1: Disposal Rate % — Central Ministries/Departments vs. States/UTs</w:t>
      </w:r>
    </w:p>
    <w:p w14:paraId="08389732" w14:textId="77777777" w:rsidR="001673C5" w:rsidRDefault="00000000">
      <w:pPr>
        <w:spacing w:before="150" w:after="60"/>
        <w:jc w:val="center"/>
      </w:pPr>
      <w:r>
        <w:rPr>
          <w:noProof/>
        </w:rPr>
        <w:lastRenderedPageBreak/>
        <w:drawing>
          <wp:inline distT="0" distB="0" distL="0" distR="0" wp14:anchorId="24D4B928" wp14:editId="0FD003C8">
            <wp:extent cx="4381500" cy="3286125"/>
            <wp:effectExtent l="0" t="0" r="0" b="0"/>
            <wp:docPr id="1935362085" name="Picture 193536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3286125"/>
                    </a:xfrm>
                    <a:prstGeom prst="rect">
                      <a:avLst/>
                    </a:prstGeom>
                  </pic:spPr>
                </pic:pic>
              </a:graphicData>
            </a:graphic>
          </wp:inline>
        </w:drawing>
      </w:r>
    </w:p>
    <w:p w14:paraId="7E0D084A" w14:textId="77777777" w:rsidR="001673C5" w:rsidRDefault="00000000">
      <w:pPr>
        <w:spacing w:after="200"/>
        <w:jc w:val="center"/>
      </w:pPr>
      <w:r>
        <w:rPr>
          <w:i/>
          <w:iCs/>
          <w:color w:val="555555"/>
        </w:rPr>
        <w:t>Fig 2: Top 15 entities by total grievances received (2016–2019)</w:t>
      </w:r>
    </w:p>
    <w:p w14:paraId="550408C0" w14:textId="77777777" w:rsidR="001673C5" w:rsidRDefault="00000000">
      <w:pPr>
        <w:spacing w:before="150" w:after="60"/>
        <w:jc w:val="center"/>
      </w:pPr>
      <w:r>
        <w:rPr>
          <w:noProof/>
        </w:rPr>
        <w:drawing>
          <wp:inline distT="0" distB="0" distL="0" distR="0" wp14:anchorId="3A2DD7BD" wp14:editId="0BBA3D76">
            <wp:extent cx="4381500" cy="3286125"/>
            <wp:effectExtent l="0" t="0" r="0" b="0"/>
            <wp:docPr id="1912924858" name="Picture 191292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286125"/>
                    </a:xfrm>
                    <a:prstGeom prst="rect">
                      <a:avLst/>
                    </a:prstGeom>
                  </pic:spPr>
                </pic:pic>
              </a:graphicData>
            </a:graphic>
          </wp:inline>
        </w:drawing>
      </w:r>
    </w:p>
    <w:p w14:paraId="16D08FFC" w14:textId="77777777" w:rsidR="001673C5" w:rsidRDefault="00000000">
      <w:pPr>
        <w:spacing w:after="200"/>
        <w:jc w:val="center"/>
      </w:pPr>
      <w:r>
        <w:rPr>
          <w:i/>
          <w:iCs/>
          <w:color w:val="555555"/>
        </w:rPr>
        <w:t>Fig 3: Top 15 entities by total pending grievances (as on 01.11.2019)</w:t>
      </w:r>
    </w:p>
    <w:p w14:paraId="5A306F0B" w14:textId="77777777" w:rsidR="001673C5" w:rsidRDefault="00000000">
      <w:pPr>
        <w:pStyle w:val="Heading1"/>
        <w:spacing w:before="300" w:after="150"/>
      </w:pPr>
      <w:r>
        <w:t>6. Department / State-wise Analysis</w:t>
      </w:r>
    </w:p>
    <w:p w14:paraId="0F20D131" w14:textId="77777777" w:rsidR="001673C5" w:rsidRDefault="00000000">
      <w:pPr>
        <w:spacing w:after="160"/>
        <w:jc w:val="both"/>
      </w:pPr>
      <w:r>
        <w:t>Among Central Ministries/Departments, NITI Aayog and Parliamentary Affairs recorded the best disposal rates (99.84% each), while Legal Affairs (76.63%) and Legislative Department (83.52%) trailed the group — still far above most States.</w:t>
      </w:r>
    </w:p>
    <w:p w14:paraId="7905F042" w14:textId="77777777" w:rsidR="001673C5" w:rsidRDefault="00000000">
      <w:pPr>
        <w:spacing w:after="160"/>
        <w:jc w:val="both"/>
      </w:pPr>
      <w:r>
        <w:t>Among States/UTs, the smaller Union Territories (Daman &amp; Diu 97.70%, Lakshadweep 97.06%) performed best, while several large states — Himachal Pradesh (1.24%), Andhra Pradesh (2.11%), Jammu &amp; Kashmir (2.12%), Manipur (2.28%), and West Bengal (2.33%) — recorded disposal rates under 3%, meaning almost everything they received in this period remained open.</w:t>
      </w:r>
    </w:p>
    <w:p w14:paraId="73DEFB4D" w14:textId="77777777" w:rsidR="001673C5" w:rsidRDefault="00000000">
      <w:pPr>
        <w:spacing w:before="150" w:after="60"/>
        <w:jc w:val="center"/>
      </w:pPr>
      <w:r>
        <w:rPr>
          <w:noProof/>
        </w:rPr>
        <w:lastRenderedPageBreak/>
        <w:drawing>
          <wp:inline distT="0" distB="0" distL="0" distR="0" wp14:anchorId="02D49C81" wp14:editId="3184C307">
            <wp:extent cx="4095750" cy="4610100"/>
            <wp:effectExtent l="0" t="0" r="0" b="0"/>
            <wp:docPr id="403413238" name="Picture 40341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4610100"/>
                    </a:xfrm>
                    <a:prstGeom prst="rect">
                      <a:avLst/>
                    </a:prstGeom>
                  </pic:spPr>
                </pic:pic>
              </a:graphicData>
            </a:graphic>
          </wp:inline>
        </w:drawing>
      </w:r>
    </w:p>
    <w:p w14:paraId="4C5BA565" w14:textId="77777777" w:rsidR="001673C5" w:rsidRDefault="00000000">
      <w:pPr>
        <w:spacing w:after="200"/>
        <w:jc w:val="center"/>
      </w:pPr>
      <w:r>
        <w:rPr>
          <w:i/>
          <w:iCs/>
          <w:color w:val="555555"/>
        </w:rPr>
        <w:t>Fig 4: Disposal Rate % by State/UT, sorted (dashed line = 50%)</w:t>
      </w:r>
    </w:p>
    <w:p w14:paraId="72E4E73C" w14:textId="77777777" w:rsidR="001673C5" w:rsidRDefault="00000000">
      <w:pPr>
        <w:pStyle w:val="Heading1"/>
        <w:spacing w:before="300" w:after="150"/>
      </w:pPr>
      <w:r>
        <w:t>7. Received vs Disposed vs Pending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5"/>
        <w:gridCol w:w="5035"/>
      </w:tblGrid>
      <w:tr w:rsidR="001673C5" w14:paraId="004B8DF8" w14:textId="77777777">
        <w:tblPrEx>
          <w:tblCellMar>
            <w:top w:w="0" w:type="dxa"/>
            <w:bottom w:w="0" w:type="dxa"/>
          </w:tblCellMar>
        </w:tblPrEx>
        <w:tc>
          <w:tcPr>
            <w:tcW w:w="4500" w:type="dxa"/>
            <w:shd w:val="clear" w:color="auto" w:fill="1F3864"/>
          </w:tcPr>
          <w:p w14:paraId="5287D6F1" w14:textId="77777777" w:rsidR="001673C5" w:rsidRDefault="00000000">
            <w:r>
              <w:rPr>
                <w:b/>
                <w:bCs/>
                <w:color w:val="FFFFFF"/>
              </w:rPr>
              <w:t>National Totals (2016 – 01.11.2019)</w:t>
            </w:r>
          </w:p>
        </w:tc>
        <w:tc>
          <w:tcPr>
            <w:tcW w:w="4500" w:type="dxa"/>
            <w:shd w:val="clear" w:color="auto" w:fill="1F3864"/>
          </w:tcPr>
          <w:p w14:paraId="404DB5FD" w14:textId="77777777" w:rsidR="001673C5" w:rsidRDefault="001673C5"/>
        </w:tc>
      </w:tr>
      <w:tr w:rsidR="001673C5" w14:paraId="57476AAD" w14:textId="77777777">
        <w:tblPrEx>
          <w:tblCellMar>
            <w:top w:w="0" w:type="dxa"/>
            <w:bottom w:w="0" w:type="dxa"/>
          </w:tblCellMar>
        </w:tblPrEx>
        <w:tc>
          <w:tcPr>
            <w:tcW w:w="4500" w:type="dxa"/>
            <w:shd w:val="clear" w:color="auto" w:fill="F2F2F2"/>
          </w:tcPr>
          <w:p w14:paraId="6D921B83" w14:textId="77777777" w:rsidR="001673C5" w:rsidRDefault="00000000">
            <w:r>
              <w:rPr>
                <w:b/>
                <w:bCs/>
                <w:color w:val="000000"/>
              </w:rPr>
              <w:t>Total Grievances Received</w:t>
            </w:r>
          </w:p>
        </w:tc>
        <w:tc>
          <w:tcPr>
            <w:tcW w:w="4500" w:type="dxa"/>
            <w:shd w:val="clear" w:color="auto" w:fill="F2F2F2"/>
          </w:tcPr>
          <w:p w14:paraId="1936682E" w14:textId="77777777" w:rsidR="001673C5" w:rsidRDefault="00000000">
            <w:r>
              <w:rPr>
                <w:color w:val="000000"/>
              </w:rPr>
              <w:t>47,79,587</w:t>
            </w:r>
          </w:p>
        </w:tc>
      </w:tr>
      <w:tr w:rsidR="001673C5" w14:paraId="230378ED" w14:textId="77777777">
        <w:tblPrEx>
          <w:tblCellMar>
            <w:top w:w="0" w:type="dxa"/>
            <w:bottom w:w="0" w:type="dxa"/>
          </w:tblCellMar>
        </w:tblPrEx>
        <w:tc>
          <w:tcPr>
            <w:tcW w:w="4500" w:type="dxa"/>
            <w:shd w:val="clear" w:color="auto" w:fill="FFFFFF"/>
          </w:tcPr>
          <w:p w14:paraId="69D45100" w14:textId="77777777" w:rsidR="001673C5" w:rsidRDefault="00000000">
            <w:r>
              <w:rPr>
                <w:b/>
                <w:bCs/>
                <w:color w:val="000000"/>
              </w:rPr>
              <w:t>Total Disposed</w:t>
            </w:r>
          </w:p>
        </w:tc>
        <w:tc>
          <w:tcPr>
            <w:tcW w:w="4500" w:type="dxa"/>
            <w:shd w:val="clear" w:color="auto" w:fill="FFFFFF"/>
          </w:tcPr>
          <w:p w14:paraId="11346B42" w14:textId="77777777" w:rsidR="001673C5" w:rsidRDefault="00000000">
            <w:r>
              <w:rPr>
                <w:color w:val="000000"/>
              </w:rPr>
              <w:t>37,98,755  (79.5%)</w:t>
            </w:r>
          </w:p>
        </w:tc>
      </w:tr>
      <w:tr w:rsidR="001673C5" w14:paraId="383B828F" w14:textId="77777777">
        <w:tblPrEx>
          <w:tblCellMar>
            <w:top w:w="0" w:type="dxa"/>
            <w:bottom w:w="0" w:type="dxa"/>
          </w:tblCellMar>
        </w:tblPrEx>
        <w:tc>
          <w:tcPr>
            <w:tcW w:w="4500" w:type="dxa"/>
            <w:shd w:val="clear" w:color="auto" w:fill="F2F2F2"/>
          </w:tcPr>
          <w:p w14:paraId="5742ED8B" w14:textId="77777777" w:rsidR="001673C5" w:rsidRDefault="00000000">
            <w:r>
              <w:rPr>
                <w:b/>
                <w:bCs/>
                <w:color w:val="000000"/>
              </w:rPr>
              <w:t>Total Still Pending (as on 01.11.2019)</w:t>
            </w:r>
          </w:p>
        </w:tc>
        <w:tc>
          <w:tcPr>
            <w:tcW w:w="4500" w:type="dxa"/>
            <w:shd w:val="clear" w:color="auto" w:fill="F2F2F2"/>
          </w:tcPr>
          <w:p w14:paraId="3D9FD858" w14:textId="77777777" w:rsidR="001673C5" w:rsidRDefault="00000000">
            <w:r>
              <w:rPr>
                <w:color w:val="000000"/>
              </w:rPr>
              <w:t>9,80,832  (20.5%)</w:t>
            </w:r>
          </w:p>
        </w:tc>
      </w:tr>
    </w:tbl>
    <w:p w14:paraId="5E0C7294" w14:textId="77777777" w:rsidR="001673C5" w:rsidRDefault="00000000">
      <w:pPr>
        <w:spacing w:before="150" w:after="60"/>
        <w:jc w:val="center"/>
      </w:pPr>
      <w:r>
        <w:rPr>
          <w:noProof/>
        </w:rPr>
        <w:lastRenderedPageBreak/>
        <w:drawing>
          <wp:inline distT="0" distB="0" distL="0" distR="0" wp14:anchorId="4D3AA5EE" wp14:editId="5DFC89C1">
            <wp:extent cx="3238500" cy="3238500"/>
            <wp:effectExtent l="0" t="0" r="0" b="0"/>
            <wp:docPr id="1343026704" name="Picture 134302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3238500"/>
                    </a:xfrm>
                    <a:prstGeom prst="rect">
                      <a:avLst/>
                    </a:prstGeom>
                  </pic:spPr>
                </pic:pic>
              </a:graphicData>
            </a:graphic>
          </wp:inline>
        </w:drawing>
      </w:r>
    </w:p>
    <w:p w14:paraId="1E946E4F" w14:textId="77777777" w:rsidR="001673C5" w:rsidRDefault="00000000">
      <w:pPr>
        <w:spacing w:after="200"/>
        <w:jc w:val="center"/>
      </w:pPr>
      <w:r>
        <w:rPr>
          <w:i/>
          <w:iCs/>
          <w:color w:val="555555"/>
        </w:rPr>
        <w:t>Fig 5: National split — Disposed vs Pending</w:t>
      </w:r>
    </w:p>
    <w:p w14:paraId="3F589EAC" w14:textId="77777777" w:rsidR="001673C5" w:rsidRDefault="00000000">
      <w:pPr>
        <w:pStyle w:val="Heading1"/>
        <w:spacing w:before="300" w:after="150"/>
      </w:pPr>
      <w:r>
        <w:t>8. Resolution / Pendency Insights</w:t>
      </w:r>
    </w:p>
    <w:p w14:paraId="45CBFB62" w14:textId="77777777" w:rsidR="001673C5" w:rsidRDefault="00000000">
      <w:pPr>
        <w:spacing w:after="160"/>
        <w:jc w:val="both"/>
      </w:pPr>
      <w:r>
        <w:t>Breaking down the 9,80,832 pending grievances by how long they have been open reveals that pendency is not merely recent backlog — a large majority is chronic: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5"/>
        <w:gridCol w:w="5035"/>
      </w:tblGrid>
      <w:tr w:rsidR="001673C5" w14:paraId="50FD759E" w14:textId="77777777">
        <w:tblPrEx>
          <w:tblCellMar>
            <w:top w:w="0" w:type="dxa"/>
            <w:bottom w:w="0" w:type="dxa"/>
          </w:tblCellMar>
        </w:tblPrEx>
        <w:tc>
          <w:tcPr>
            <w:tcW w:w="4500" w:type="dxa"/>
            <w:shd w:val="clear" w:color="auto" w:fill="1F3864"/>
          </w:tcPr>
          <w:p w14:paraId="3D77C2B5" w14:textId="77777777" w:rsidR="001673C5" w:rsidRDefault="00000000">
            <w:r>
              <w:rPr>
                <w:b/>
                <w:bCs/>
                <w:color w:val="FFFFFF"/>
              </w:rPr>
              <w:t>Pending Age Bucket</w:t>
            </w:r>
          </w:p>
        </w:tc>
        <w:tc>
          <w:tcPr>
            <w:tcW w:w="4500" w:type="dxa"/>
            <w:shd w:val="clear" w:color="auto" w:fill="1F3864"/>
          </w:tcPr>
          <w:p w14:paraId="36756702" w14:textId="77777777" w:rsidR="001673C5" w:rsidRDefault="00000000">
            <w:r>
              <w:rPr>
                <w:b/>
                <w:bCs/>
                <w:color w:val="FFFFFF"/>
              </w:rPr>
              <w:t>Count</w:t>
            </w:r>
          </w:p>
        </w:tc>
      </w:tr>
      <w:tr w:rsidR="001673C5" w14:paraId="7D2C7FCC" w14:textId="77777777">
        <w:tblPrEx>
          <w:tblCellMar>
            <w:top w:w="0" w:type="dxa"/>
            <w:bottom w:w="0" w:type="dxa"/>
          </w:tblCellMar>
        </w:tblPrEx>
        <w:tc>
          <w:tcPr>
            <w:tcW w:w="4500" w:type="dxa"/>
            <w:shd w:val="clear" w:color="auto" w:fill="F2F2F2"/>
          </w:tcPr>
          <w:p w14:paraId="26960997" w14:textId="77777777" w:rsidR="001673C5" w:rsidRDefault="00000000">
            <w:r>
              <w:rPr>
                <w:b/>
                <w:bCs/>
                <w:color w:val="000000"/>
              </w:rPr>
              <w:t>Less than 2 months</w:t>
            </w:r>
          </w:p>
        </w:tc>
        <w:tc>
          <w:tcPr>
            <w:tcW w:w="4500" w:type="dxa"/>
            <w:shd w:val="clear" w:color="auto" w:fill="F2F2F2"/>
          </w:tcPr>
          <w:p w14:paraId="64FA9B81" w14:textId="77777777" w:rsidR="001673C5" w:rsidRDefault="00000000">
            <w:r>
              <w:rPr>
                <w:color w:val="000000"/>
              </w:rPr>
              <w:t>1,62,927</w:t>
            </w:r>
          </w:p>
        </w:tc>
      </w:tr>
      <w:tr w:rsidR="001673C5" w14:paraId="71FAD588" w14:textId="77777777">
        <w:tblPrEx>
          <w:tblCellMar>
            <w:top w:w="0" w:type="dxa"/>
            <w:bottom w:w="0" w:type="dxa"/>
          </w:tblCellMar>
        </w:tblPrEx>
        <w:tc>
          <w:tcPr>
            <w:tcW w:w="4500" w:type="dxa"/>
            <w:shd w:val="clear" w:color="auto" w:fill="FFFFFF"/>
          </w:tcPr>
          <w:p w14:paraId="2F2FB071" w14:textId="77777777" w:rsidR="001673C5" w:rsidRDefault="00000000">
            <w:r>
              <w:rPr>
                <w:b/>
                <w:bCs/>
                <w:color w:val="000000"/>
              </w:rPr>
              <w:t>2 to 6 months</w:t>
            </w:r>
          </w:p>
        </w:tc>
        <w:tc>
          <w:tcPr>
            <w:tcW w:w="4500" w:type="dxa"/>
            <w:shd w:val="clear" w:color="auto" w:fill="FFFFFF"/>
          </w:tcPr>
          <w:p w14:paraId="5390B84A" w14:textId="77777777" w:rsidR="001673C5" w:rsidRDefault="00000000">
            <w:r>
              <w:rPr>
                <w:color w:val="000000"/>
              </w:rPr>
              <w:t>1,18,237</w:t>
            </w:r>
          </w:p>
        </w:tc>
      </w:tr>
      <w:tr w:rsidR="001673C5" w14:paraId="4D5B21C2" w14:textId="77777777">
        <w:tblPrEx>
          <w:tblCellMar>
            <w:top w:w="0" w:type="dxa"/>
            <w:bottom w:w="0" w:type="dxa"/>
          </w:tblCellMar>
        </w:tblPrEx>
        <w:tc>
          <w:tcPr>
            <w:tcW w:w="4500" w:type="dxa"/>
            <w:shd w:val="clear" w:color="auto" w:fill="F2F2F2"/>
          </w:tcPr>
          <w:p w14:paraId="3EDEBCC4" w14:textId="77777777" w:rsidR="001673C5" w:rsidRDefault="00000000">
            <w:r>
              <w:rPr>
                <w:b/>
                <w:bCs/>
                <w:color w:val="000000"/>
              </w:rPr>
              <w:t>6 to 12 months</w:t>
            </w:r>
          </w:p>
        </w:tc>
        <w:tc>
          <w:tcPr>
            <w:tcW w:w="4500" w:type="dxa"/>
            <w:shd w:val="clear" w:color="auto" w:fill="F2F2F2"/>
          </w:tcPr>
          <w:p w14:paraId="01FC7683" w14:textId="77777777" w:rsidR="001673C5" w:rsidRDefault="00000000">
            <w:r>
              <w:rPr>
                <w:color w:val="000000"/>
              </w:rPr>
              <w:t>1,00,096</w:t>
            </w:r>
          </w:p>
        </w:tc>
      </w:tr>
      <w:tr w:rsidR="001673C5" w14:paraId="05739C65" w14:textId="77777777">
        <w:tblPrEx>
          <w:tblCellMar>
            <w:top w:w="0" w:type="dxa"/>
            <w:bottom w:w="0" w:type="dxa"/>
          </w:tblCellMar>
        </w:tblPrEx>
        <w:tc>
          <w:tcPr>
            <w:tcW w:w="4500" w:type="dxa"/>
            <w:shd w:val="clear" w:color="auto" w:fill="FFFFFF"/>
          </w:tcPr>
          <w:p w14:paraId="3C2AE2BA" w14:textId="77777777" w:rsidR="001673C5" w:rsidRDefault="00000000">
            <w:r>
              <w:rPr>
                <w:b/>
                <w:bCs/>
                <w:color w:val="000000"/>
              </w:rPr>
              <w:t>More than 1 year</w:t>
            </w:r>
          </w:p>
        </w:tc>
        <w:tc>
          <w:tcPr>
            <w:tcW w:w="4500" w:type="dxa"/>
            <w:shd w:val="clear" w:color="auto" w:fill="FFFFFF"/>
          </w:tcPr>
          <w:p w14:paraId="5448BC7B" w14:textId="77777777" w:rsidR="001673C5" w:rsidRDefault="00000000">
            <w:r>
              <w:rPr>
                <w:color w:val="000000"/>
              </w:rPr>
              <w:t>5,99,572  (61.13% of all pending cases)</w:t>
            </w:r>
          </w:p>
        </w:tc>
      </w:tr>
    </w:tbl>
    <w:p w14:paraId="3F437CC6" w14:textId="77777777" w:rsidR="001673C5" w:rsidRDefault="00000000">
      <w:pPr>
        <w:spacing w:before="150" w:after="60"/>
        <w:jc w:val="center"/>
      </w:pPr>
      <w:r>
        <w:rPr>
          <w:noProof/>
        </w:rPr>
        <w:drawing>
          <wp:inline distT="0" distB="0" distL="0" distR="0" wp14:anchorId="3C3D9957" wp14:editId="22306B7C">
            <wp:extent cx="3619500" cy="3019425"/>
            <wp:effectExtent l="0" t="0" r="0" b="0"/>
            <wp:docPr id="1613107816" name="Picture 161310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019425"/>
                    </a:xfrm>
                    <a:prstGeom prst="rect">
                      <a:avLst/>
                    </a:prstGeom>
                  </pic:spPr>
                </pic:pic>
              </a:graphicData>
            </a:graphic>
          </wp:inline>
        </w:drawing>
      </w:r>
    </w:p>
    <w:p w14:paraId="1B16869B" w14:textId="77777777" w:rsidR="001673C5" w:rsidRDefault="00000000">
      <w:pPr>
        <w:spacing w:after="200"/>
        <w:jc w:val="center"/>
      </w:pPr>
      <w:r>
        <w:rPr>
          <w:i/>
          <w:iCs/>
          <w:color w:val="555555"/>
        </w:rPr>
        <w:t>Fig 6: Age profile of pending grievances (national)</w:t>
      </w:r>
    </w:p>
    <w:p w14:paraId="4A36B782" w14:textId="77777777" w:rsidR="001673C5" w:rsidRDefault="00000000">
      <w:pPr>
        <w:spacing w:before="150" w:after="60"/>
        <w:jc w:val="center"/>
      </w:pPr>
      <w:r>
        <w:rPr>
          <w:noProof/>
        </w:rPr>
        <w:lastRenderedPageBreak/>
        <w:drawing>
          <wp:inline distT="0" distB="0" distL="0" distR="0" wp14:anchorId="36983576" wp14:editId="0847B94D">
            <wp:extent cx="4381500" cy="3286125"/>
            <wp:effectExtent l="0" t="0" r="0" b="0"/>
            <wp:docPr id="2027761927" name="Picture 202776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286125"/>
                    </a:xfrm>
                    <a:prstGeom prst="rect">
                      <a:avLst/>
                    </a:prstGeom>
                  </pic:spPr>
                </pic:pic>
              </a:graphicData>
            </a:graphic>
          </wp:inline>
        </w:drawing>
      </w:r>
    </w:p>
    <w:p w14:paraId="302ACFD8" w14:textId="77777777" w:rsidR="001673C5" w:rsidRDefault="00000000">
      <w:pPr>
        <w:spacing w:after="200"/>
        <w:jc w:val="center"/>
      </w:pPr>
      <w:r>
        <w:rPr>
          <w:i/>
          <w:iCs/>
          <w:color w:val="555555"/>
        </w:rPr>
        <w:t>Fig 7: Top 15 entities by chronic pendency % (min. 50 pending cases)</w:t>
      </w:r>
    </w:p>
    <w:p w14:paraId="75744E3C" w14:textId="77777777" w:rsidR="001673C5" w:rsidRDefault="00000000">
      <w:pPr>
        <w:spacing w:after="160"/>
        <w:jc w:val="both"/>
      </w:pPr>
      <w:r>
        <w:t>This chronic-pendency ranking is only visible once the pending-duration buckets are used — 'total pending' alone would not distinguish an entity with a large but recent backlog from one whose cases have genuinely stalled for years.</w:t>
      </w:r>
    </w:p>
    <w:p w14:paraId="09EA398E" w14:textId="77777777" w:rsidR="001673C5" w:rsidRDefault="00000000">
      <w:pPr>
        <w:pStyle w:val="Heading1"/>
        <w:spacing w:before="300" w:after="150"/>
      </w:pPr>
      <w:r>
        <w:t>9. AI / ML Analysis</w:t>
      </w:r>
    </w:p>
    <w:p w14:paraId="79AEA378" w14:textId="77777777" w:rsidR="001673C5" w:rsidRDefault="00000000">
      <w:pPr>
        <w:spacing w:after="160"/>
        <w:jc w:val="both"/>
      </w:pPr>
      <w:r>
        <w:t>The dataset has no free-text grievance descriptions, so no NLP or sentiment analysis is applied (doing so would require inventing text data, which this project explicitly avoids). Instead, two genuine, appropriate ML techniques were applied to the numeric fields:</w:t>
      </w:r>
    </w:p>
    <w:p w14:paraId="3BC23D36" w14:textId="77777777" w:rsidR="001673C5" w:rsidRDefault="00000000">
      <w:pPr>
        <w:pStyle w:val="Heading2"/>
        <w:spacing w:before="300" w:after="150"/>
      </w:pPr>
      <w:r>
        <w:t>9.1 K-Means Clustering (Unsupervised ML)</w:t>
      </w:r>
    </w:p>
    <w:p w14:paraId="25B31BF5" w14:textId="77777777" w:rsidR="001673C5" w:rsidRDefault="00000000">
      <w:pPr>
        <w:spacing w:after="160"/>
        <w:jc w:val="both"/>
      </w:pPr>
      <w:r>
        <w:t>Features used: Disposal Rate %, Pendency Rate %, Chronic Pendency % (standardised). The number of clusters (k) was chosen objectively using the silhouette score, tested for k = 2 to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5"/>
        <w:gridCol w:w="5035"/>
      </w:tblGrid>
      <w:tr w:rsidR="001673C5" w14:paraId="0BBD6BF2" w14:textId="77777777">
        <w:tblPrEx>
          <w:tblCellMar>
            <w:top w:w="0" w:type="dxa"/>
            <w:bottom w:w="0" w:type="dxa"/>
          </w:tblCellMar>
        </w:tblPrEx>
        <w:tc>
          <w:tcPr>
            <w:tcW w:w="4500" w:type="dxa"/>
            <w:shd w:val="clear" w:color="auto" w:fill="1F3864"/>
          </w:tcPr>
          <w:p w14:paraId="63444996" w14:textId="77777777" w:rsidR="001673C5" w:rsidRDefault="00000000">
            <w:r>
              <w:rPr>
                <w:b/>
                <w:bCs/>
                <w:color w:val="FFFFFF"/>
              </w:rPr>
              <w:t>k</w:t>
            </w:r>
          </w:p>
        </w:tc>
        <w:tc>
          <w:tcPr>
            <w:tcW w:w="4500" w:type="dxa"/>
            <w:shd w:val="clear" w:color="auto" w:fill="1F3864"/>
          </w:tcPr>
          <w:p w14:paraId="4DC7F98D" w14:textId="77777777" w:rsidR="001673C5" w:rsidRDefault="00000000">
            <w:r>
              <w:rPr>
                <w:b/>
                <w:bCs/>
                <w:color w:val="FFFFFF"/>
              </w:rPr>
              <w:t>Silhouette Score</w:t>
            </w:r>
          </w:p>
        </w:tc>
      </w:tr>
      <w:tr w:rsidR="001673C5" w14:paraId="7837B0E8" w14:textId="77777777">
        <w:tblPrEx>
          <w:tblCellMar>
            <w:top w:w="0" w:type="dxa"/>
            <w:bottom w:w="0" w:type="dxa"/>
          </w:tblCellMar>
        </w:tblPrEx>
        <w:tc>
          <w:tcPr>
            <w:tcW w:w="4500" w:type="dxa"/>
            <w:shd w:val="clear" w:color="auto" w:fill="F2F2F2"/>
          </w:tcPr>
          <w:p w14:paraId="7CE2CE98" w14:textId="77777777" w:rsidR="001673C5" w:rsidRDefault="00000000">
            <w:r>
              <w:rPr>
                <w:b/>
                <w:bCs/>
                <w:color w:val="000000"/>
              </w:rPr>
              <w:t>2</w:t>
            </w:r>
          </w:p>
        </w:tc>
        <w:tc>
          <w:tcPr>
            <w:tcW w:w="4500" w:type="dxa"/>
            <w:shd w:val="clear" w:color="auto" w:fill="F2F2F2"/>
          </w:tcPr>
          <w:p w14:paraId="241C9974" w14:textId="77777777" w:rsidR="001673C5" w:rsidRDefault="00000000">
            <w:r>
              <w:rPr>
                <w:color w:val="000000"/>
              </w:rPr>
              <w:t>0.807  ← selected</w:t>
            </w:r>
          </w:p>
        </w:tc>
      </w:tr>
      <w:tr w:rsidR="001673C5" w14:paraId="49D91176" w14:textId="77777777">
        <w:tblPrEx>
          <w:tblCellMar>
            <w:top w:w="0" w:type="dxa"/>
            <w:bottom w:w="0" w:type="dxa"/>
          </w:tblCellMar>
        </w:tblPrEx>
        <w:tc>
          <w:tcPr>
            <w:tcW w:w="4500" w:type="dxa"/>
            <w:shd w:val="clear" w:color="auto" w:fill="FFFFFF"/>
          </w:tcPr>
          <w:p w14:paraId="0B8AB636" w14:textId="77777777" w:rsidR="001673C5" w:rsidRDefault="00000000">
            <w:r>
              <w:rPr>
                <w:b/>
                <w:bCs/>
                <w:color w:val="000000"/>
              </w:rPr>
              <w:t>3</w:t>
            </w:r>
          </w:p>
        </w:tc>
        <w:tc>
          <w:tcPr>
            <w:tcW w:w="4500" w:type="dxa"/>
            <w:shd w:val="clear" w:color="auto" w:fill="FFFFFF"/>
          </w:tcPr>
          <w:p w14:paraId="637CE7E4" w14:textId="77777777" w:rsidR="001673C5" w:rsidRDefault="00000000">
            <w:r>
              <w:rPr>
                <w:color w:val="000000"/>
              </w:rPr>
              <w:t>0.802</w:t>
            </w:r>
          </w:p>
        </w:tc>
      </w:tr>
      <w:tr w:rsidR="001673C5" w14:paraId="2009CD64" w14:textId="77777777">
        <w:tblPrEx>
          <w:tblCellMar>
            <w:top w:w="0" w:type="dxa"/>
            <w:bottom w:w="0" w:type="dxa"/>
          </w:tblCellMar>
        </w:tblPrEx>
        <w:tc>
          <w:tcPr>
            <w:tcW w:w="4500" w:type="dxa"/>
            <w:shd w:val="clear" w:color="auto" w:fill="F2F2F2"/>
          </w:tcPr>
          <w:p w14:paraId="277FAA78" w14:textId="77777777" w:rsidR="001673C5" w:rsidRDefault="00000000">
            <w:r>
              <w:rPr>
                <w:b/>
                <w:bCs/>
                <w:color w:val="000000"/>
              </w:rPr>
              <w:t>4</w:t>
            </w:r>
          </w:p>
        </w:tc>
        <w:tc>
          <w:tcPr>
            <w:tcW w:w="4500" w:type="dxa"/>
            <w:shd w:val="clear" w:color="auto" w:fill="F2F2F2"/>
          </w:tcPr>
          <w:p w14:paraId="67BB85D3" w14:textId="77777777" w:rsidR="001673C5" w:rsidRDefault="00000000">
            <w:r>
              <w:rPr>
                <w:color w:val="000000"/>
              </w:rPr>
              <w:t>0.780</w:t>
            </w:r>
          </w:p>
        </w:tc>
      </w:tr>
      <w:tr w:rsidR="001673C5" w14:paraId="4222E59B" w14:textId="77777777">
        <w:tblPrEx>
          <w:tblCellMar>
            <w:top w:w="0" w:type="dxa"/>
            <w:bottom w:w="0" w:type="dxa"/>
          </w:tblCellMar>
        </w:tblPrEx>
        <w:tc>
          <w:tcPr>
            <w:tcW w:w="4500" w:type="dxa"/>
            <w:shd w:val="clear" w:color="auto" w:fill="FFFFFF"/>
          </w:tcPr>
          <w:p w14:paraId="331931B9" w14:textId="77777777" w:rsidR="001673C5" w:rsidRDefault="00000000">
            <w:r>
              <w:rPr>
                <w:b/>
                <w:bCs/>
                <w:color w:val="000000"/>
              </w:rPr>
              <w:t>5</w:t>
            </w:r>
          </w:p>
        </w:tc>
        <w:tc>
          <w:tcPr>
            <w:tcW w:w="4500" w:type="dxa"/>
            <w:shd w:val="clear" w:color="auto" w:fill="FFFFFF"/>
          </w:tcPr>
          <w:p w14:paraId="6895491E" w14:textId="77777777" w:rsidR="001673C5" w:rsidRDefault="00000000">
            <w:r>
              <w:rPr>
                <w:color w:val="000000"/>
              </w:rPr>
              <w:t>0.685</w:t>
            </w:r>
          </w:p>
        </w:tc>
      </w:tr>
    </w:tbl>
    <w:p w14:paraId="4FCF3FC1" w14:textId="77777777" w:rsidR="001673C5" w:rsidRDefault="00000000">
      <w:pPr>
        <w:spacing w:after="160"/>
        <w:jc w:val="both"/>
      </w:pPr>
      <w:r>
        <w:t>The algorithm — using only the numeric KPIs, with no access to the Central/State label — independently converged on a 2-way split: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5"/>
        <w:gridCol w:w="5035"/>
      </w:tblGrid>
      <w:tr w:rsidR="001673C5" w14:paraId="2C1AB6BF" w14:textId="77777777">
        <w:tblPrEx>
          <w:tblCellMar>
            <w:top w:w="0" w:type="dxa"/>
            <w:bottom w:w="0" w:type="dxa"/>
          </w:tblCellMar>
        </w:tblPrEx>
        <w:tc>
          <w:tcPr>
            <w:tcW w:w="4500" w:type="dxa"/>
            <w:shd w:val="clear" w:color="auto" w:fill="1F3864"/>
          </w:tcPr>
          <w:p w14:paraId="5CCD9DC9" w14:textId="77777777" w:rsidR="001673C5" w:rsidRDefault="00000000">
            <w:r>
              <w:rPr>
                <w:b/>
                <w:bCs/>
                <w:color w:val="FFFFFF"/>
              </w:rPr>
              <w:t>Cluster</w:t>
            </w:r>
          </w:p>
        </w:tc>
        <w:tc>
          <w:tcPr>
            <w:tcW w:w="4500" w:type="dxa"/>
            <w:shd w:val="clear" w:color="auto" w:fill="1F3864"/>
          </w:tcPr>
          <w:p w14:paraId="572B1D95" w14:textId="77777777" w:rsidR="001673C5" w:rsidRDefault="00000000">
            <w:r>
              <w:rPr>
                <w:b/>
                <w:bCs/>
                <w:color w:val="FFFFFF"/>
              </w:rPr>
              <w:t>Entities</w:t>
            </w:r>
          </w:p>
        </w:tc>
      </w:tr>
      <w:tr w:rsidR="001673C5" w14:paraId="76279DD5" w14:textId="77777777">
        <w:tblPrEx>
          <w:tblCellMar>
            <w:top w:w="0" w:type="dxa"/>
            <w:bottom w:w="0" w:type="dxa"/>
          </w:tblCellMar>
        </w:tblPrEx>
        <w:tc>
          <w:tcPr>
            <w:tcW w:w="4500" w:type="dxa"/>
            <w:shd w:val="clear" w:color="auto" w:fill="F2F2F2"/>
          </w:tcPr>
          <w:p w14:paraId="17E17A28" w14:textId="77777777" w:rsidR="001673C5" w:rsidRDefault="00000000">
            <w:r>
              <w:rPr>
                <w:b/>
                <w:bCs/>
                <w:color w:val="000000"/>
              </w:rPr>
              <w:t>Cluster 0 — 'Healthy'</w:t>
            </w:r>
          </w:p>
        </w:tc>
        <w:tc>
          <w:tcPr>
            <w:tcW w:w="4500" w:type="dxa"/>
            <w:shd w:val="clear" w:color="auto" w:fill="F2F2F2"/>
          </w:tcPr>
          <w:p w14:paraId="40180FEC" w14:textId="77777777" w:rsidR="001673C5" w:rsidRDefault="00000000">
            <w:r>
              <w:rPr>
                <w:color w:val="000000"/>
              </w:rPr>
              <w:t>100</w:t>
            </w:r>
          </w:p>
        </w:tc>
      </w:tr>
      <w:tr w:rsidR="001673C5" w14:paraId="6CB22600" w14:textId="77777777">
        <w:tblPrEx>
          <w:tblCellMar>
            <w:top w:w="0" w:type="dxa"/>
            <w:bottom w:w="0" w:type="dxa"/>
          </w:tblCellMar>
        </w:tblPrEx>
        <w:tc>
          <w:tcPr>
            <w:tcW w:w="4500" w:type="dxa"/>
            <w:shd w:val="clear" w:color="auto" w:fill="FFFFFF"/>
          </w:tcPr>
          <w:p w14:paraId="68DEF10F" w14:textId="77777777" w:rsidR="001673C5" w:rsidRDefault="00000000">
            <w:r>
              <w:rPr>
                <w:b/>
                <w:bCs/>
                <w:color w:val="000000"/>
              </w:rPr>
              <w:t>Cluster 1 — 'High-Backlog'</w:t>
            </w:r>
          </w:p>
        </w:tc>
        <w:tc>
          <w:tcPr>
            <w:tcW w:w="4500" w:type="dxa"/>
            <w:shd w:val="clear" w:color="auto" w:fill="FFFFFF"/>
          </w:tcPr>
          <w:p w14:paraId="4BD2AFE1" w14:textId="77777777" w:rsidR="001673C5" w:rsidRDefault="00000000">
            <w:r>
              <w:rPr>
                <w:color w:val="000000"/>
              </w:rPr>
              <w:t>24</w:t>
            </w:r>
          </w:p>
        </w:tc>
      </w:tr>
    </w:tbl>
    <w:p w14:paraId="0968B0FC" w14:textId="77777777" w:rsidR="001673C5" w:rsidRDefault="00000000">
      <w:pPr>
        <w:spacing w:before="150" w:after="60"/>
        <w:jc w:val="center"/>
      </w:pPr>
      <w:r>
        <w:rPr>
          <w:noProof/>
        </w:rPr>
        <w:lastRenderedPageBreak/>
        <w:drawing>
          <wp:inline distT="0" distB="0" distL="0" distR="0" wp14:anchorId="429C72C0" wp14:editId="06EAF6F0">
            <wp:extent cx="4000500" cy="3429000"/>
            <wp:effectExtent l="0" t="0" r="0" b="0"/>
            <wp:docPr id="588309011" name="Picture 58830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429000"/>
                    </a:xfrm>
                    <a:prstGeom prst="rect">
                      <a:avLst/>
                    </a:prstGeom>
                  </pic:spPr>
                </pic:pic>
              </a:graphicData>
            </a:graphic>
          </wp:inline>
        </w:drawing>
      </w:r>
    </w:p>
    <w:p w14:paraId="105A6514" w14:textId="77777777" w:rsidR="001673C5" w:rsidRDefault="00000000">
      <w:pPr>
        <w:spacing w:after="200"/>
        <w:jc w:val="center"/>
      </w:pPr>
      <w:r>
        <w:rPr>
          <w:i/>
          <w:iCs/>
          <w:color w:val="555555"/>
        </w:rPr>
        <w:t>Fig 8: K-Means performance clusters (k=2)</w:t>
      </w:r>
    </w:p>
    <w:p w14:paraId="76E46636" w14:textId="77777777" w:rsidR="001673C5" w:rsidRDefault="00000000">
      <w:pPr>
        <w:spacing w:after="160"/>
        <w:jc w:val="both"/>
      </w:pPr>
      <w:r>
        <w:t>This unsupervised result closely mirrors — but is not identical to — the manual Central-vs-State split in Sections 5–6, providing an independent, data-driven confirmation of the same finding.</w:t>
      </w:r>
    </w:p>
    <w:p w14:paraId="33321D6E" w14:textId="77777777" w:rsidR="001673C5" w:rsidRDefault="00000000">
      <w:pPr>
        <w:pStyle w:val="Heading2"/>
        <w:spacing w:before="300" w:after="150"/>
      </w:pPr>
      <w:r>
        <w:t>9.2 Linear Regression — Receipts vs Disposal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5"/>
        <w:gridCol w:w="5035"/>
      </w:tblGrid>
      <w:tr w:rsidR="001673C5" w14:paraId="04AD5BE3" w14:textId="77777777">
        <w:tblPrEx>
          <w:tblCellMar>
            <w:top w:w="0" w:type="dxa"/>
            <w:bottom w:w="0" w:type="dxa"/>
          </w:tblCellMar>
        </w:tblPrEx>
        <w:tc>
          <w:tcPr>
            <w:tcW w:w="4500" w:type="dxa"/>
            <w:shd w:val="clear" w:color="auto" w:fill="1F3864"/>
          </w:tcPr>
          <w:p w14:paraId="249FC986" w14:textId="77777777" w:rsidR="001673C5" w:rsidRDefault="00000000">
            <w:r>
              <w:rPr>
                <w:b/>
                <w:bCs/>
                <w:color w:val="FFFFFF"/>
              </w:rPr>
              <w:t>Statistic</w:t>
            </w:r>
          </w:p>
        </w:tc>
        <w:tc>
          <w:tcPr>
            <w:tcW w:w="4500" w:type="dxa"/>
            <w:shd w:val="clear" w:color="auto" w:fill="1F3864"/>
          </w:tcPr>
          <w:p w14:paraId="2102D4E0" w14:textId="77777777" w:rsidR="001673C5" w:rsidRDefault="00000000">
            <w:r>
              <w:rPr>
                <w:b/>
                <w:bCs/>
                <w:color w:val="FFFFFF"/>
              </w:rPr>
              <w:t>Value</w:t>
            </w:r>
          </w:p>
        </w:tc>
      </w:tr>
      <w:tr w:rsidR="001673C5" w14:paraId="57DF8B5C" w14:textId="77777777">
        <w:tblPrEx>
          <w:tblCellMar>
            <w:top w:w="0" w:type="dxa"/>
            <w:bottom w:w="0" w:type="dxa"/>
          </w:tblCellMar>
        </w:tblPrEx>
        <w:tc>
          <w:tcPr>
            <w:tcW w:w="4500" w:type="dxa"/>
            <w:shd w:val="clear" w:color="auto" w:fill="F2F2F2"/>
          </w:tcPr>
          <w:p w14:paraId="09AAC406" w14:textId="77777777" w:rsidR="001673C5" w:rsidRDefault="00000000">
            <w:r>
              <w:rPr>
                <w:b/>
                <w:bCs/>
                <w:color w:val="000000"/>
              </w:rPr>
              <w:t>Slope (disposal per grievance received)</w:t>
            </w:r>
          </w:p>
        </w:tc>
        <w:tc>
          <w:tcPr>
            <w:tcW w:w="4500" w:type="dxa"/>
            <w:shd w:val="clear" w:color="auto" w:fill="F2F2F2"/>
          </w:tcPr>
          <w:p w14:paraId="772EC243" w14:textId="77777777" w:rsidR="001673C5" w:rsidRDefault="00000000">
            <w:r>
              <w:rPr>
                <w:color w:val="000000"/>
              </w:rPr>
              <w:t>0.8429</w:t>
            </w:r>
          </w:p>
        </w:tc>
      </w:tr>
      <w:tr w:rsidR="001673C5" w14:paraId="7855C08C" w14:textId="77777777">
        <w:tblPrEx>
          <w:tblCellMar>
            <w:top w:w="0" w:type="dxa"/>
            <w:bottom w:w="0" w:type="dxa"/>
          </w:tblCellMar>
        </w:tblPrEx>
        <w:tc>
          <w:tcPr>
            <w:tcW w:w="4500" w:type="dxa"/>
            <w:shd w:val="clear" w:color="auto" w:fill="FFFFFF"/>
          </w:tcPr>
          <w:p w14:paraId="35F22E8D" w14:textId="77777777" w:rsidR="001673C5" w:rsidRDefault="00000000">
            <w:r>
              <w:rPr>
                <w:b/>
                <w:bCs/>
                <w:color w:val="000000"/>
              </w:rPr>
              <w:t>Intercept</w:t>
            </w:r>
          </w:p>
        </w:tc>
        <w:tc>
          <w:tcPr>
            <w:tcW w:w="4500" w:type="dxa"/>
            <w:shd w:val="clear" w:color="auto" w:fill="FFFFFF"/>
          </w:tcPr>
          <w:p w14:paraId="26F0A0CE" w14:textId="77777777" w:rsidR="001673C5" w:rsidRDefault="00000000">
            <w:r>
              <w:rPr>
                <w:color w:val="000000"/>
              </w:rPr>
              <w:t>-1854.84</w:t>
            </w:r>
          </w:p>
        </w:tc>
      </w:tr>
      <w:tr w:rsidR="001673C5" w14:paraId="4DBBBDB0" w14:textId="77777777">
        <w:tblPrEx>
          <w:tblCellMar>
            <w:top w:w="0" w:type="dxa"/>
            <w:bottom w:w="0" w:type="dxa"/>
          </w:tblCellMar>
        </w:tblPrEx>
        <w:tc>
          <w:tcPr>
            <w:tcW w:w="4500" w:type="dxa"/>
            <w:shd w:val="clear" w:color="auto" w:fill="F2F2F2"/>
          </w:tcPr>
          <w:p w14:paraId="0CC8A02A" w14:textId="77777777" w:rsidR="001673C5" w:rsidRDefault="00000000">
            <w:r>
              <w:rPr>
                <w:b/>
                <w:bCs/>
                <w:color w:val="000000"/>
              </w:rPr>
              <w:t>R-squared (R²)</w:t>
            </w:r>
          </w:p>
        </w:tc>
        <w:tc>
          <w:tcPr>
            <w:tcW w:w="4500" w:type="dxa"/>
            <w:shd w:val="clear" w:color="auto" w:fill="F2F2F2"/>
          </w:tcPr>
          <w:p w14:paraId="07B534EB" w14:textId="77777777" w:rsidR="001673C5" w:rsidRDefault="00000000">
            <w:r>
              <w:rPr>
                <w:color w:val="000000"/>
              </w:rPr>
              <w:t>0.9200</w:t>
            </w:r>
          </w:p>
        </w:tc>
      </w:tr>
      <w:tr w:rsidR="001673C5" w14:paraId="4A090F68" w14:textId="77777777">
        <w:tblPrEx>
          <w:tblCellMar>
            <w:top w:w="0" w:type="dxa"/>
            <w:bottom w:w="0" w:type="dxa"/>
          </w:tblCellMar>
        </w:tblPrEx>
        <w:tc>
          <w:tcPr>
            <w:tcW w:w="4500" w:type="dxa"/>
            <w:shd w:val="clear" w:color="auto" w:fill="FFFFFF"/>
          </w:tcPr>
          <w:p w14:paraId="3668EA1F" w14:textId="77777777" w:rsidR="001673C5" w:rsidRDefault="00000000">
            <w:r>
              <w:rPr>
                <w:b/>
                <w:bCs/>
                <w:color w:val="000000"/>
              </w:rPr>
              <w:t>Pearson Correlation (r)</w:t>
            </w:r>
          </w:p>
        </w:tc>
        <w:tc>
          <w:tcPr>
            <w:tcW w:w="4500" w:type="dxa"/>
            <w:shd w:val="clear" w:color="auto" w:fill="FFFFFF"/>
          </w:tcPr>
          <w:p w14:paraId="71EA714A" w14:textId="77777777" w:rsidR="001673C5" w:rsidRDefault="00000000">
            <w:r>
              <w:rPr>
                <w:color w:val="000000"/>
              </w:rPr>
              <w:t>0.9592</w:t>
            </w:r>
          </w:p>
        </w:tc>
      </w:tr>
    </w:tbl>
    <w:p w14:paraId="58A0D56F" w14:textId="77777777" w:rsidR="001673C5" w:rsidRDefault="00000000">
      <w:pPr>
        <w:spacing w:before="150" w:after="60"/>
        <w:jc w:val="center"/>
      </w:pPr>
      <w:r>
        <w:rPr>
          <w:noProof/>
        </w:rPr>
        <w:lastRenderedPageBreak/>
        <w:drawing>
          <wp:inline distT="0" distB="0" distL="0" distR="0" wp14:anchorId="7F0FF7BA" wp14:editId="229F90A9">
            <wp:extent cx="3619500" cy="3619500"/>
            <wp:effectExtent l="0" t="0" r="0" b="0"/>
            <wp:docPr id="813881642" name="Picture 81388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619500"/>
                    </a:xfrm>
                    <a:prstGeom prst="rect">
                      <a:avLst/>
                    </a:prstGeom>
                  </pic:spPr>
                </pic:pic>
              </a:graphicData>
            </a:graphic>
          </wp:inline>
        </w:drawing>
      </w:r>
    </w:p>
    <w:p w14:paraId="2D28D632" w14:textId="77777777" w:rsidR="001673C5" w:rsidRDefault="00000000">
      <w:pPr>
        <w:spacing w:after="200"/>
        <w:jc w:val="center"/>
      </w:pPr>
      <w:r>
        <w:rPr>
          <w:i/>
          <w:iCs/>
          <w:color w:val="555555"/>
        </w:rPr>
        <w:t>Fig 9: Total Receipts vs Total Disposal — linear fit</w:t>
      </w:r>
    </w:p>
    <w:p w14:paraId="12AE11F6" w14:textId="77777777" w:rsidR="001673C5" w:rsidRDefault="00000000">
      <w:pPr>
        <w:spacing w:after="160"/>
        <w:jc w:val="both"/>
      </w:pPr>
      <w:r>
        <w:t>A strong positive correlation (r = 0.96, R² = 0.92) shows that larger entities dispose of grievances roughly in proportion to how many they receive — i.e. volume alone does not explain poor disposal performance. Points that fall well below the regression line are entities disposing of far fewer grievances than their receipt volume would predict, and these visibly match several of the low-disposal-rate States identified earlier.</w:t>
      </w:r>
    </w:p>
    <w:p w14:paraId="3AF3BD05" w14:textId="77777777" w:rsidR="001673C5" w:rsidRDefault="00000000">
      <w:pPr>
        <w:pStyle w:val="Heading1"/>
        <w:spacing w:before="300" w:after="150"/>
      </w:pPr>
      <w:r>
        <w:t>10. Key Findings</w:t>
      </w:r>
    </w:p>
    <w:p w14:paraId="33A73A90" w14:textId="77777777" w:rsidR="001673C5" w:rsidRDefault="00000000">
      <w:pPr>
        <w:pStyle w:val="ListParagraph"/>
        <w:numPr>
          <w:ilvl w:val="0"/>
          <w:numId w:val="1"/>
        </w:numPr>
        <w:spacing w:after="80"/>
      </w:pPr>
      <w:r>
        <w:t>Central Ministries/Departments averaged a 96.89% disposal rate vs. just 45.24% for States/UTs over the same period — a very large institutional performance gap.</w:t>
      </w:r>
    </w:p>
    <w:p w14:paraId="317E86AC" w14:textId="77777777" w:rsidR="001673C5" w:rsidRDefault="00000000">
      <w:pPr>
        <w:pStyle w:val="ListParagraph"/>
        <w:numPr>
          <w:ilvl w:val="0"/>
          <w:numId w:val="1"/>
        </w:numPr>
        <w:spacing w:after="80"/>
      </w:pPr>
      <w:r>
        <w:t>61.13% of all nationally pending grievances (as on 01.11.2019) had already been pending for more than one year — pendency is substantially chronic, not just recent inflow.</w:t>
      </w:r>
    </w:p>
    <w:p w14:paraId="5E013E96" w14:textId="77777777" w:rsidR="001673C5" w:rsidRDefault="00000000">
      <w:pPr>
        <w:pStyle w:val="ListParagraph"/>
        <w:numPr>
          <w:ilvl w:val="0"/>
          <w:numId w:val="1"/>
        </w:numPr>
        <w:spacing w:after="80"/>
      </w:pPr>
      <w:r>
        <w:t>A small number of large States (e.g. Maharashtra, Madhya Pradesh, Rajasthan, Uttar Pradesh) account for a disproportionate share of national pending cases (Fig 3).</w:t>
      </w:r>
    </w:p>
    <w:p w14:paraId="70CAF2FB" w14:textId="77777777" w:rsidR="001673C5" w:rsidRDefault="00000000">
      <w:pPr>
        <w:pStyle w:val="ListParagraph"/>
        <w:numPr>
          <w:ilvl w:val="0"/>
          <w:numId w:val="1"/>
        </w:numPr>
        <w:spacing w:after="80"/>
      </w:pPr>
      <w:r>
        <w:t>K-Means clustering independently confirmed a 2-group performance split (100 'healthy' vs. 24 'high-backlog' entities) using only numeric KPIs, without being told which rows were States.</w:t>
      </w:r>
    </w:p>
    <w:p w14:paraId="34D87601" w14:textId="77777777" w:rsidR="001673C5" w:rsidRDefault="00000000">
      <w:pPr>
        <w:pStyle w:val="ListParagraph"/>
        <w:numPr>
          <w:ilvl w:val="0"/>
          <w:numId w:val="1"/>
        </w:numPr>
        <w:spacing w:after="80"/>
      </w:pPr>
      <w:r>
        <w:t>Receipts and disposal are strongly correlated (r = 0.96, R² = 0.92) — meaning disposal efficiency (rate), not raw volume, is what separates good and poor performers.</w:t>
      </w:r>
    </w:p>
    <w:p w14:paraId="6F33D0B6" w14:textId="77777777" w:rsidR="001673C5" w:rsidRDefault="00000000">
      <w:pPr>
        <w:pStyle w:val="Heading1"/>
        <w:spacing w:before="300" w:after="150"/>
      </w:pPr>
      <w:r>
        <w:t>11. Conclusion</w:t>
      </w:r>
    </w:p>
    <w:p w14:paraId="31DAD9D8" w14:textId="77777777" w:rsidR="001673C5" w:rsidRDefault="00000000">
      <w:pPr>
        <w:spacing w:after="160"/>
        <w:jc w:val="both"/>
      </w:pPr>
      <w:r>
        <w:t>This project builds an end-to-end, honest data-analytics pipeline on a genuine Government of India CPGRAMS grievance-redressal dataset — from raw-CSV cleaning through EDA, department/state comparison, pendency-age analysis, and two appropriate ML techniques (clustering and regression) — without fabricating any data, statistic, or NLP capability the dataset does not support. The resulting insights are directly reproducible from the source file cited in Section 3 and the accompanying Jupyter Notebook.</w:t>
      </w:r>
    </w:p>
    <w:p w14:paraId="33E3F389" w14:textId="77777777" w:rsidR="001673C5" w:rsidRDefault="00000000">
      <w:pPr>
        <w:pStyle w:val="Heading1"/>
        <w:spacing w:before="300" w:after="150"/>
      </w:pPr>
      <w:r>
        <w:t>12. Future Scope</w:t>
      </w:r>
    </w:p>
    <w:p w14:paraId="4B028DDC" w14:textId="77777777" w:rsidR="001673C5" w:rsidRDefault="00000000">
      <w:pPr>
        <w:spacing w:after="160"/>
        <w:jc w:val="both"/>
      </w:pPr>
      <w:r>
        <w:t>This project has been deliberately structured (clean → EDA → KPIs → ML) so it can be extended without a rewrite:</w:t>
      </w:r>
    </w:p>
    <w:p w14:paraId="3C090883" w14:textId="77777777" w:rsidR="001673C5" w:rsidRDefault="00000000">
      <w:pPr>
        <w:pStyle w:val="ListParagraph"/>
        <w:numPr>
          <w:ilvl w:val="0"/>
          <w:numId w:val="1"/>
        </w:numPr>
        <w:spacing w:after="80"/>
      </w:pPr>
      <w:r>
        <w:lastRenderedPageBreak/>
        <w:t>Interactive dashboard: port the KPIs and charts into a Power BI report or a Streamlit app with entity/state filters and live drill-down.</w:t>
      </w:r>
    </w:p>
    <w:p w14:paraId="41987064" w14:textId="77777777" w:rsidR="001673C5" w:rsidRDefault="00000000">
      <w:pPr>
        <w:pStyle w:val="ListParagraph"/>
        <w:numPr>
          <w:ilvl w:val="0"/>
          <w:numId w:val="1"/>
        </w:numPr>
        <w:spacing w:after="80"/>
      </w:pPr>
      <w:r>
        <w:t>NLP / sentiment layer: if a grievance-text-level CPGRAMS export becomes available (e.g. via an RTI request or an official data-sharing arrangement), add complaint-category classification and sentiment analysis on top of the existing entity_type/KPI structure.</w:t>
      </w:r>
    </w:p>
    <w:p w14:paraId="101C8E43" w14:textId="77777777" w:rsidR="001673C5" w:rsidRDefault="00000000">
      <w:pPr>
        <w:pStyle w:val="ListParagraph"/>
        <w:numPr>
          <w:ilvl w:val="0"/>
          <w:numId w:val="1"/>
        </w:numPr>
        <w:spacing w:after="80"/>
      </w:pPr>
      <w:r>
        <w:t>Time-series trend analysis: incorporate the monthly DARPG CPGRAMS performance reports (darpg.gov.in) to convert this single snapshot into a true month-on-month trend model, enabling forecasting of pendency.</w:t>
      </w:r>
    </w:p>
    <w:p w14:paraId="328A6354" w14:textId="77777777" w:rsidR="001673C5" w:rsidRDefault="00000000">
      <w:pPr>
        <w:pStyle w:val="ListParagraph"/>
        <w:numPr>
          <w:ilvl w:val="0"/>
          <w:numId w:val="1"/>
        </w:numPr>
        <w:spacing w:after="80"/>
      </w:pPr>
      <w:r>
        <w:t>Predictive resolution-time model: once case-level, date-stamped data is available, train a model to predict expected resolution time or delay-risk for a new grievance at filing time.</w:t>
      </w:r>
    </w:p>
    <w:p w14:paraId="02114FD5" w14:textId="77777777" w:rsidR="001673C5" w:rsidRDefault="00000000">
      <w:pPr>
        <w:pStyle w:val="ListParagraph"/>
        <w:numPr>
          <w:ilvl w:val="0"/>
          <w:numId w:val="1"/>
        </w:numPr>
        <w:spacing w:after="80"/>
      </w:pPr>
      <w:r>
        <w:t>Automated alerting: flag entities whose chronic-pendency % crosses a threshold, for proactive administrative review.</w:t>
      </w:r>
    </w:p>
    <w:p w14:paraId="6D304856" w14:textId="77777777" w:rsidR="001673C5" w:rsidRDefault="00000000">
      <w:pPr>
        <w:pStyle w:val="Heading1"/>
        <w:spacing w:before="300" w:after="150"/>
      </w:pPr>
      <w:r>
        <w:t>13. References</w:t>
      </w:r>
    </w:p>
    <w:p w14:paraId="705400A8" w14:textId="77777777" w:rsidR="001673C5" w:rsidRDefault="00000000">
      <w:pPr>
        <w:pStyle w:val="ListParagraph"/>
        <w:numPr>
          <w:ilvl w:val="0"/>
          <w:numId w:val="1"/>
        </w:numPr>
        <w:spacing w:after="80"/>
      </w:pPr>
      <w:r>
        <w:t>Open Government Data (OGD) Platform India — data.gov.in/catalog/monthly-department-wise-public-grievance-receipts-and-disposals</w:t>
      </w:r>
    </w:p>
    <w:p w14:paraId="61AA0FB6" w14:textId="77777777" w:rsidR="001673C5" w:rsidRDefault="00000000">
      <w:pPr>
        <w:pStyle w:val="ListParagraph"/>
        <w:numPr>
          <w:ilvl w:val="0"/>
          <w:numId w:val="1"/>
        </w:numPr>
        <w:spacing w:after="80"/>
      </w:pPr>
      <w:r>
        <w:t>Open Government Data (OGD) Platform India — data.gov.in/catalog/public-grievance-details-cpgrams-along-feedback-details</w:t>
      </w:r>
    </w:p>
    <w:p w14:paraId="54299B7F" w14:textId="77777777" w:rsidR="001673C5" w:rsidRDefault="00000000">
      <w:pPr>
        <w:pStyle w:val="ListParagraph"/>
        <w:numPr>
          <w:ilvl w:val="0"/>
          <w:numId w:val="1"/>
        </w:numPr>
        <w:spacing w:after="80"/>
      </w:pPr>
      <w:r>
        <w:t>CPGRAMS Official Portal — pgportal.gov.in</w:t>
      </w:r>
    </w:p>
    <w:p w14:paraId="5B3F43EE" w14:textId="77777777" w:rsidR="001673C5" w:rsidRDefault="00000000">
      <w:pPr>
        <w:pStyle w:val="ListParagraph"/>
        <w:numPr>
          <w:ilvl w:val="0"/>
          <w:numId w:val="1"/>
        </w:numPr>
        <w:spacing w:after="80"/>
      </w:pPr>
      <w:r>
        <w:t>Department of Administrative Reforms &amp; Public Grievances (DARPG) — darpg.gov.in</w:t>
      </w:r>
    </w:p>
    <w:p w14:paraId="251DF7C6" w14:textId="77777777" w:rsidR="001673C5" w:rsidRDefault="00000000">
      <w:pPr>
        <w:pStyle w:val="ListParagraph"/>
        <w:numPr>
          <w:ilvl w:val="0"/>
          <w:numId w:val="1"/>
        </w:numPr>
        <w:spacing w:after="80"/>
      </w:pPr>
      <w:r>
        <w:t>Dataset mirror used for retrieval — github.com/kalyandutta209/cpgrams-statistical-analysis</w:t>
      </w:r>
    </w:p>
    <w:sectPr w:rsidR="001673C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62EE"/>
    <w:multiLevelType w:val="hybridMultilevel"/>
    <w:tmpl w:val="0FA0E474"/>
    <w:lvl w:ilvl="0" w:tplc="BCEE8002">
      <w:start w:val="1"/>
      <w:numFmt w:val="bullet"/>
      <w:lvlText w:val="•"/>
      <w:lvlJc w:val="left"/>
    </w:lvl>
    <w:lvl w:ilvl="1" w:tplc="6EB6C510">
      <w:numFmt w:val="decimal"/>
      <w:lvlText w:val=""/>
      <w:lvlJc w:val="left"/>
    </w:lvl>
    <w:lvl w:ilvl="2" w:tplc="94DAE43A">
      <w:numFmt w:val="decimal"/>
      <w:lvlText w:val=""/>
      <w:lvlJc w:val="left"/>
    </w:lvl>
    <w:lvl w:ilvl="3" w:tplc="15BC24A4">
      <w:numFmt w:val="decimal"/>
      <w:lvlText w:val=""/>
      <w:lvlJc w:val="left"/>
    </w:lvl>
    <w:lvl w:ilvl="4" w:tplc="043818DE">
      <w:numFmt w:val="decimal"/>
      <w:lvlText w:val=""/>
      <w:lvlJc w:val="left"/>
    </w:lvl>
    <w:lvl w:ilvl="5" w:tplc="3FAC338A">
      <w:numFmt w:val="decimal"/>
      <w:lvlText w:val=""/>
      <w:lvlJc w:val="left"/>
    </w:lvl>
    <w:lvl w:ilvl="6" w:tplc="AFBAE56E">
      <w:numFmt w:val="decimal"/>
      <w:lvlText w:val=""/>
      <w:lvlJc w:val="left"/>
    </w:lvl>
    <w:lvl w:ilvl="7" w:tplc="39F287A6">
      <w:numFmt w:val="decimal"/>
      <w:lvlText w:val=""/>
      <w:lvlJc w:val="left"/>
    </w:lvl>
    <w:lvl w:ilvl="8" w:tplc="7D78CAA2">
      <w:numFmt w:val="decimal"/>
      <w:lvlText w:val=""/>
      <w:lvlJc w:val="left"/>
    </w:lvl>
  </w:abstractNum>
  <w:abstractNum w:abstractNumId="1" w15:restartNumberingAfterBreak="0">
    <w:nsid w:val="6100076E"/>
    <w:multiLevelType w:val="hybridMultilevel"/>
    <w:tmpl w:val="21CAC5BA"/>
    <w:lvl w:ilvl="0" w:tplc="260603C6">
      <w:start w:val="1"/>
      <w:numFmt w:val="bullet"/>
      <w:lvlText w:val="●"/>
      <w:lvlJc w:val="left"/>
      <w:pPr>
        <w:ind w:left="720" w:hanging="360"/>
      </w:pPr>
    </w:lvl>
    <w:lvl w:ilvl="1" w:tplc="2FDC773C">
      <w:start w:val="1"/>
      <w:numFmt w:val="bullet"/>
      <w:lvlText w:val="○"/>
      <w:lvlJc w:val="left"/>
      <w:pPr>
        <w:ind w:left="1440" w:hanging="360"/>
      </w:pPr>
    </w:lvl>
    <w:lvl w:ilvl="2" w:tplc="CD80221E">
      <w:start w:val="1"/>
      <w:numFmt w:val="bullet"/>
      <w:lvlText w:val="■"/>
      <w:lvlJc w:val="left"/>
      <w:pPr>
        <w:ind w:left="2160" w:hanging="360"/>
      </w:pPr>
    </w:lvl>
    <w:lvl w:ilvl="3" w:tplc="21BCB2D2">
      <w:start w:val="1"/>
      <w:numFmt w:val="bullet"/>
      <w:lvlText w:val="●"/>
      <w:lvlJc w:val="left"/>
      <w:pPr>
        <w:ind w:left="2880" w:hanging="360"/>
      </w:pPr>
    </w:lvl>
    <w:lvl w:ilvl="4" w:tplc="95B81E22">
      <w:start w:val="1"/>
      <w:numFmt w:val="bullet"/>
      <w:lvlText w:val="○"/>
      <w:lvlJc w:val="left"/>
      <w:pPr>
        <w:ind w:left="3600" w:hanging="360"/>
      </w:pPr>
    </w:lvl>
    <w:lvl w:ilvl="5" w:tplc="3E165E32">
      <w:start w:val="1"/>
      <w:numFmt w:val="bullet"/>
      <w:lvlText w:val="■"/>
      <w:lvlJc w:val="left"/>
      <w:pPr>
        <w:ind w:left="4320" w:hanging="360"/>
      </w:pPr>
    </w:lvl>
    <w:lvl w:ilvl="6" w:tplc="28CC8BCE">
      <w:start w:val="1"/>
      <w:numFmt w:val="bullet"/>
      <w:lvlText w:val="●"/>
      <w:lvlJc w:val="left"/>
      <w:pPr>
        <w:ind w:left="5040" w:hanging="360"/>
      </w:pPr>
    </w:lvl>
    <w:lvl w:ilvl="7" w:tplc="D2A221E0">
      <w:start w:val="1"/>
      <w:numFmt w:val="bullet"/>
      <w:lvlText w:val="●"/>
      <w:lvlJc w:val="left"/>
      <w:pPr>
        <w:ind w:left="5760" w:hanging="360"/>
      </w:pPr>
    </w:lvl>
    <w:lvl w:ilvl="8" w:tplc="E76235E6">
      <w:start w:val="1"/>
      <w:numFmt w:val="bullet"/>
      <w:lvlText w:val="●"/>
      <w:lvlJc w:val="left"/>
      <w:pPr>
        <w:ind w:left="6480" w:hanging="360"/>
      </w:pPr>
    </w:lvl>
  </w:abstractNum>
  <w:num w:numId="1" w16cid:durableId="1423528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3C5"/>
    <w:rsid w:val="001673C5"/>
    <w:rsid w:val="008141F8"/>
    <w:rsid w:val="00E13558"/>
    <w:rsid w:val="00E32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6B0BC"/>
  <w15:docId w15:val="{A96CF952-D0D8-43A1-B70F-C10E1787C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1705</Words>
  <Characters>9725</Characters>
  <Application>Microsoft Office Word</Application>
  <DocSecurity>0</DocSecurity>
  <Lines>81</Lines>
  <Paragraphs>22</Paragraphs>
  <ScaleCrop>false</ScaleCrop>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Nandini Prajapati</cp:lastModifiedBy>
  <cp:revision>3</cp:revision>
  <dcterms:created xsi:type="dcterms:W3CDTF">2026-09-23T07:14:00Z</dcterms:created>
  <dcterms:modified xsi:type="dcterms:W3CDTF">2026-09-23T07:54:00Z</dcterms:modified>
</cp:coreProperties>
</file>